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D2247B">
      <w:pPr>
        <w:spacing w:line="420" w:lineRule="exact"/>
        <w:jc w:val="center"/>
        <w:rPr>
          <w:rFonts w:ascii="仿宋" w:hAnsi="仿宋" w:eastAsia="仿宋"/>
          <w:sz w:val="28"/>
          <w:szCs w:val="28"/>
        </w:rPr>
      </w:pPr>
      <w:bookmarkStart w:id="0" w:name="OLE_LINK3"/>
      <w:r>
        <w:rPr>
          <w:rFonts w:ascii="仿宋" w:hAnsi="仿宋" w:eastAsia="仿宋"/>
          <w:b/>
          <w:bCs/>
          <w:sz w:val="28"/>
          <w:szCs w:val="28"/>
        </w:rPr>
        <w:t>关于永昌系三十一家公司之</w:t>
      </w:r>
      <w:bookmarkEnd w:id="0"/>
      <w:r>
        <w:rPr>
          <w:rFonts w:ascii="仿宋" w:hAnsi="仿宋" w:eastAsia="仿宋"/>
          <w:b/>
          <w:bCs/>
          <w:sz w:val="28"/>
          <w:szCs w:val="28"/>
        </w:rPr>
        <w:t>香格里拉市博峰矿业有限公司</w:t>
      </w:r>
    </w:p>
    <w:p w14:paraId="36CE4D03">
      <w:pPr>
        <w:spacing w:line="420" w:lineRule="exact"/>
        <w:jc w:val="center"/>
        <w:rPr>
          <w:rFonts w:ascii="仿宋" w:hAnsi="仿宋" w:eastAsia="仿宋"/>
          <w:sz w:val="28"/>
          <w:szCs w:val="28"/>
        </w:rPr>
      </w:pPr>
      <w:r>
        <w:rPr>
          <w:rFonts w:ascii="仿宋" w:hAnsi="仿宋" w:eastAsia="仿宋"/>
          <w:b/>
          <w:bCs/>
          <w:sz w:val="28"/>
          <w:szCs w:val="28"/>
        </w:rPr>
        <w:t>《香格里拉县小中甸和平铁矿勘探探矿权》</w:t>
      </w:r>
    </w:p>
    <w:p w14:paraId="236D4D20">
      <w:pPr>
        <w:spacing w:line="420" w:lineRule="exact"/>
        <w:jc w:val="center"/>
        <w:rPr>
          <w:rFonts w:ascii="仿宋" w:hAnsi="仿宋" w:eastAsia="仿宋"/>
          <w:sz w:val="28"/>
          <w:szCs w:val="28"/>
        </w:rPr>
      </w:pPr>
      <w:r>
        <w:rPr>
          <w:rFonts w:ascii="仿宋" w:hAnsi="仿宋" w:eastAsia="仿宋"/>
          <w:b/>
          <w:bCs/>
          <w:sz w:val="28"/>
          <w:szCs w:val="28"/>
        </w:rPr>
        <w:t>标的物介绍</w:t>
      </w:r>
    </w:p>
    <w:p w14:paraId="333480B8">
      <w:pPr>
        <w:spacing w:line="420" w:lineRule="exact"/>
        <w:jc w:val="both"/>
        <w:rPr>
          <w:rFonts w:ascii="仿宋" w:hAnsi="仿宋" w:eastAsia="仿宋"/>
          <w:sz w:val="28"/>
          <w:szCs w:val="28"/>
        </w:rPr>
      </w:pPr>
      <w:r>
        <w:rPr>
          <w:rFonts w:ascii="Calibri" w:hAnsi="Calibri" w:eastAsia="仿宋" w:cs="Calibri"/>
          <w:sz w:val="28"/>
          <w:szCs w:val="28"/>
        </w:rPr>
        <w:t> </w:t>
      </w:r>
    </w:p>
    <w:p w14:paraId="003AE040">
      <w:pPr>
        <w:spacing w:line="420" w:lineRule="exact"/>
        <w:jc w:val="both"/>
        <w:rPr>
          <w:rFonts w:ascii="仿宋" w:hAnsi="仿宋" w:eastAsia="仿宋"/>
          <w:sz w:val="28"/>
          <w:szCs w:val="28"/>
        </w:rPr>
      </w:pPr>
      <w:r>
        <w:rPr>
          <w:rFonts w:ascii="仿宋" w:hAnsi="仿宋" w:eastAsia="仿宋"/>
          <w:sz w:val="28"/>
          <w:szCs w:val="28"/>
        </w:rPr>
        <w:t>标的物名称：香格里拉县小中甸和平铁矿勘探探矿权</w:t>
      </w:r>
    </w:p>
    <w:p w14:paraId="6DB99CB6">
      <w:pPr>
        <w:spacing w:line="420" w:lineRule="exact"/>
        <w:jc w:val="both"/>
        <w:rPr>
          <w:rFonts w:ascii="仿宋" w:hAnsi="仿宋" w:eastAsia="仿宋"/>
          <w:sz w:val="28"/>
          <w:szCs w:val="28"/>
        </w:rPr>
      </w:pPr>
      <w:r>
        <w:rPr>
          <w:rFonts w:ascii="仿宋" w:hAnsi="仿宋" w:eastAsia="仿宋"/>
          <w:sz w:val="28"/>
          <w:szCs w:val="28"/>
        </w:rPr>
        <w:t>探矿权权利人名称：香格里拉市博峰矿业有限公司</w:t>
      </w:r>
    </w:p>
    <w:p w14:paraId="04BDEB6E">
      <w:pPr>
        <w:spacing w:line="420" w:lineRule="exact"/>
        <w:jc w:val="both"/>
        <w:rPr>
          <w:rFonts w:ascii="仿宋" w:hAnsi="仿宋" w:eastAsia="仿宋"/>
          <w:sz w:val="28"/>
          <w:szCs w:val="28"/>
        </w:rPr>
      </w:pPr>
      <w:r>
        <w:rPr>
          <w:rFonts w:ascii="仿宋" w:hAnsi="仿宋" w:eastAsia="仿宋"/>
          <w:sz w:val="28"/>
          <w:szCs w:val="28"/>
        </w:rPr>
        <w:t>矿产资源勘查许可证证号：T53120090402028272</w:t>
      </w:r>
    </w:p>
    <w:p w14:paraId="04FD9FD3">
      <w:pPr>
        <w:spacing w:line="420" w:lineRule="exact"/>
        <w:jc w:val="both"/>
        <w:rPr>
          <w:rFonts w:ascii="仿宋" w:hAnsi="仿宋" w:eastAsia="仿宋"/>
          <w:sz w:val="28"/>
          <w:szCs w:val="28"/>
        </w:rPr>
      </w:pPr>
      <w:r>
        <w:rPr>
          <w:rFonts w:ascii="仿宋" w:hAnsi="仿宋" w:eastAsia="仿宋"/>
          <w:sz w:val="28"/>
          <w:szCs w:val="28"/>
        </w:rPr>
        <w:t>勘查面积：15.43平方公里</w:t>
      </w:r>
    </w:p>
    <w:p w14:paraId="10E9125C">
      <w:pPr>
        <w:spacing w:line="420" w:lineRule="exact"/>
        <w:jc w:val="both"/>
        <w:rPr>
          <w:rFonts w:ascii="仿宋" w:hAnsi="仿宋" w:eastAsia="仿宋"/>
          <w:sz w:val="28"/>
          <w:szCs w:val="28"/>
        </w:rPr>
      </w:pPr>
      <w:r>
        <w:rPr>
          <w:rFonts w:ascii="仿宋" w:hAnsi="仿宋" w:eastAsia="仿宋"/>
          <w:sz w:val="28"/>
          <w:szCs w:val="28"/>
        </w:rPr>
        <w:t>有效期限：2013年9月23日至2015年9月23日（已过期）</w:t>
      </w:r>
    </w:p>
    <w:p w14:paraId="58720972">
      <w:pPr>
        <w:spacing w:line="420" w:lineRule="exact"/>
        <w:jc w:val="both"/>
        <w:rPr>
          <w:rFonts w:ascii="仿宋" w:hAnsi="仿宋" w:eastAsia="仿宋"/>
          <w:sz w:val="28"/>
          <w:szCs w:val="28"/>
        </w:rPr>
      </w:pPr>
      <w:r>
        <w:rPr>
          <w:rFonts w:ascii="仿宋" w:hAnsi="仿宋" w:eastAsia="仿宋"/>
          <w:sz w:val="28"/>
          <w:szCs w:val="28"/>
        </w:rPr>
        <w:t>延期情况：2025年6月管理人向香格里拉市自然资源局提交避让基本草原和基本草原储备区后的《香格里拉县小中甸和平铁矿勘探探矿权联勘联审申请》办理探矿权延续手续，申请延续探矿权面积变更为8.3350平方公里。截止2025年</w:t>
      </w:r>
      <w:r>
        <w:rPr>
          <w:rFonts w:hint="eastAsia" w:ascii="仿宋" w:hAnsi="仿宋" w:eastAsia="仿宋"/>
          <w:sz w:val="28"/>
          <w:szCs w:val="28"/>
          <w:lang w:val="en-US" w:eastAsia="zh-CN"/>
        </w:rPr>
        <w:t>10</w:t>
      </w:r>
      <w:r>
        <w:rPr>
          <w:rFonts w:ascii="仿宋" w:hAnsi="仿宋" w:eastAsia="仿宋"/>
          <w:sz w:val="28"/>
          <w:szCs w:val="28"/>
        </w:rPr>
        <w:t>月</w:t>
      </w:r>
      <w:r>
        <w:rPr>
          <w:rFonts w:hint="eastAsia" w:ascii="仿宋" w:hAnsi="仿宋" w:eastAsia="仿宋"/>
          <w:sz w:val="28"/>
          <w:szCs w:val="28"/>
          <w:lang w:val="en-US" w:eastAsia="zh-CN"/>
        </w:rPr>
        <w:t>27</w:t>
      </w:r>
      <w:r>
        <w:rPr>
          <w:rFonts w:ascii="仿宋" w:hAnsi="仿宋" w:eastAsia="仿宋"/>
          <w:sz w:val="28"/>
          <w:szCs w:val="28"/>
        </w:rPr>
        <w:t>日已经取得香格里拉市交通、生态环境、水务、应急、林草部门</w:t>
      </w:r>
      <w:r>
        <w:rPr>
          <w:rFonts w:hint="eastAsia" w:ascii="仿宋" w:hAnsi="仿宋" w:eastAsia="仿宋"/>
          <w:sz w:val="28"/>
          <w:szCs w:val="28"/>
          <w:lang w:eastAsia="zh-CN"/>
        </w:rPr>
        <w:t>、</w:t>
      </w:r>
      <w:r>
        <w:rPr>
          <w:rFonts w:hint="eastAsia" w:ascii="仿宋" w:hAnsi="仿宋" w:eastAsia="仿宋"/>
          <w:sz w:val="28"/>
          <w:szCs w:val="28"/>
          <w:lang w:val="en-US" w:eastAsia="zh-CN"/>
        </w:rPr>
        <w:t>香格里拉市自然资源局</w:t>
      </w:r>
      <w:r>
        <w:rPr>
          <w:rFonts w:ascii="仿宋" w:hAnsi="仿宋" w:eastAsia="仿宋"/>
          <w:sz w:val="28"/>
          <w:szCs w:val="28"/>
        </w:rPr>
        <w:t>同意通过联勘联审意见</w:t>
      </w:r>
      <w:r>
        <w:rPr>
          <w:rFonts w:hint="eastAsia" w:ascii="仿宋" w:hAnsi="仿宋" w:eastAsia="仿宋"/>
          <w:sz w:val="28"/>
          <w:szCs w:val="28"/>
          <w:lang w:eastAsia="zh-CN"/>
        </w:rPr>
        <w:t>。</w:t>
      </w:r>
      <w:r>
        <w:rPr>
          <w:rFonts w:hint="eastAsia" w:ascii="仿宋" w:hAnsi="仿宋" w:eastAsia="仿宋"/>
          <w:sz w:val="28"/>
          <w:szCs w:val="28"/>
          <w:lang w:val="en-US" w:eastAsia="zh-CN"/>
        </w:rPr>
        <w:t>目前处于迪庆州自然资源局组织开展州级联勘联审阶段</w:t>
      </w:r>
      <w:r>
        <w:rPr>
          <w:rFonts w:ascii="仿宋" w:hAnsi="仿宋" w:eastAsia="仿宋"/>
          <w:sz w:val="28"/>
          <w:szCs w:val="28"/>
        </w:rPr>
        <w:t>，</w:t>
      </w:r>
      <w:r>
        <w:rPr>
          <w:rFonts w:hint="eastAsia" w:ascii="仿宋" w:hAnsi="仿宋" w:eastAsia="仿宋"/>
          <w:sz w:val="28"/>
          <w:szCs w:val="28"/>
          <w:lang w:val="en-US" w:eastAsia="zh-CN"/>
        </w:rPr>
        <w:t>尚未取得迪庆州自然资源和规划局同意办理意见，</w:t>
      </w:r>
      <w:r>
        <w:rPr>
          <w:rFonts w:ascii="仿宋" w:hAnsi="仿宋" w:eastAsia="仿宋"/>
          <w:sz w:val="28"/>
          <w:szCs w:val="28"/>
        </w:rPr>
        <w:t>延续工作尚在办理中。</w:t>
      </w:r>
    </w:p>
    <w:p w14:paraId="29E132D5">
      <w:pPr>
        <w:spacing w:line="420" w:lineRule="exact"/>
        <w:jc w:val="both"/>
        <w:rPr>
          <w:rFonts w:ascii="仿宋" w:hAnsi="仿宋" w:eastAsia="仿宋"/>
          <w:sz w:val="28"/>
          <w:szCs w:val="28"/>
        </w:rPr>
      </w:pPr>
      <w:r>
        <w:rPr>
          <w:rFonts w:ascii="Calibri" w:hAnsi="Calibri" w:eastAsia="仿宋" w:cs="Calibri"/>
          <w:sz w:val="28"/>
          <w:szCs w:val="28"/>
        </w:rPr>
        <w:t> </w:t>
      </w:r>
    </w:p>
    <w:p w14:paraId="3F67D5BE">
      <w:pPr>
        <w:spacing w:line="420" w:lineRule="exact"/>
        <w:jc w:val="both"/>
        <w:rPr>
          <w:rFonts w:ascii="仿宋" w:hAnsi="仿宋" w:eastAsia="仿宋"/>
          <w:sz w:val="28"/>
          <w:szCs w:val="28"/>
        </w:rPr>
      </w:pPr>
      <w:r>
        <w:rPr>
          <w:rFonts w:ascii="仿宋" w:hAnsi="仿宋" w:eastAsia="仿宋"/>
          <w:b/>
          <w:bCs/>
          <w:sz w:val="28"/>
          <w:szCs w:val="28"/>
        </w:rPr>
        <w:t>1、矿区概况</w:t>
      </w:r>
    </w:p>
    <w:p w14:paraId="0D7FB4FD">
      <w:pPr>
        <w:spacing w:line="420" w:lineRule="exact"/>
        <w:jc w:val="both"/>
        <w:rPr>
          <w:rFonts w:ascii="仿宋" w:hAnsi="仿宋" w:eastAsia="仿宋"/>
          <w:sz w:val="28"/>
          <w:szCs w:val="28"/>
        </w:rPr>
      </w:pPr>
      <w:r>
        <w:rPr>
          <w:rFonts w:ascii="仿宋" w:hAnsi="仿宋" w:eastAsia="仿宋"/>
          <w:sz w:val="28"/>
          <w:szCs w:val="28"/>
        </w:rPr>
        <w:t>香格里拉县小中甸和平铁矿勘查区位于香格里拉县170°方向，平距40Km，即小中甸镇和平村一带，行政区划隶属于小中甸镇和平村管辖。地理坐标：东经99°49′30″—99°52′00″，北纬27°27′00″—27°31′00″；勘查区块总面积15.43km2。</w:t>
      </w:r>
    </w:p>
    <w:p w14:paraId="774F1504">
      <w:pPr>
        <w:spacing w:line="420" w:lineRule="exact"/>
        <w:jc w:val="both"/>
        <w:rPr>
          <w:rFonts w:ascii="仿宋" w:hAnsi="仿宋" w:eastAsia="仿宋"/>
          <w:sz w:val="28"/>
          <w:szCs w:val="28"/>
        </w:rPr>
      </w:pPr>
      <w:r>
        <w:rPr>
          <w:rFonts w:ascii="仿宋" w:hAnsi="仿宋" w:eastAsia="仿宋"/>
          <w:sz w:val="28"/>
          <w:szCs w:val="28"/>
        </w:rPr>
        <w:t>矿区位于金沙江上游西面，目前从昆明有新修的214公路国道及飞机航线通达香格里拉县城，香格里拉县城至昆明市635km；矿山经区洼地（二级公路收费站）至香格里拉县城68km，矿区至昆明市公路里程580km，总体来看，矿区东面有原214国道经过，北面与西有吉沙电站三级公路经过，丽江——香格里拉铁路从矿区西侧经过，区内交通属方便。</w:t>
      </w:r>
    </w:p>
    <w:p w14:paraId="2FE622C1">
      <w:pPr>
        <w:spacing w:line="420" w:lineRule="exact"/>
        <w:jc w:val="both"/>
        <w:rPr>
          <w:rFonts w:ascii="仿宋" w:hAnsi="仿宋" w:eastAsia="仿宋"/>
          <w:sz w:val="28"/>
          <w:szCs w:val="28"/>
        </w:rPr>
      </w:pPr>
      <w:r>
        <w:rPr>
          <w:rFonts w:ascii="仿宋" w:hAnsi="仿宋" w:eastAsia="仿宋"/>
          <w:sz w:val="28"/>
          <w:szCs w:val="28"/>
        </w:rPr>
        <w:t>受香格里拉县博峰矿业有限责任公司委托，云南省地质矿产勘查开发局中心实验室于2008年4月开展了云南省香格里拉县小中甸和平铁矿地质普查工作，到2009年1月结束地质野外工作，2009年6月编制了《云南省香格里拉县小中甸和平铁矿普查报告》，并于2009年12月29日取得云南省国土厅储量评审备案证明（云国土资储备字（2009）225号）。</w:t>
      </w:r>
    </w:p>
    <w:p w14:paraId="2AD019F6">
      <w:pPr>
        <w:spacing w:line="420" w:lineRule="exact"/>
        <w:jc w:val="both"/>
        <w:rPr>
          <w:rFonts w:ascii="仿宋" w:hAnsi="仿宋" w:eastAsia="仿宋"/>
          <w:sz w:val="28"/>
          <w:szCs w:val="28"/>
        </w:rPr>
      </w:pPr>
      <w:r>
        <w:rPr>
          <w:rFonts w:ascii="仿宋" w:hAnsi="仿宋" w:eastAsia="仿宋"/>
          <w:sz w:val="28"/>
          <w:szCs w:val="28"/>
        </w:rPr>
        <w:t>根据评审备案证明显示：</w:t>
      </w:r>
    </w:p>
    <w:p w14:paraId="0C80AFA9">
      <w:pPr>
        <w:spacing w:line="420" w:lineRule="exact"/>
        <w:jc w:val="both"/>
        <w:rPr>
          <w:rFonts w:ascii="仿宋" w:hAnsi="仿宋" w:eastAsia="仿宋"/>
          <w:sz w:val="28"/>
          <w:szCs w:val="28"/>
        </w:rPr>
      </w:pPr>
      <w:r>
        <w:rPr>
          <w:rFonts w:ascii="仿宋" w:hAnsi="仿宋" w:eastAsia="仿宋"/>
          <w:sz w:val="28"/>
          <w:szCs w:val="28"/>
        </w:rPr>
        <w:t>小中甸和平铁矿矿石矿物成分简单，主要为赤铁矿，少量褐铁矿和磁铁矿，脉石矿物为硬水铝石和粘土矿物。矿石结构为它形粒状结构、显微鳞片结构，细脉—网状构造、稠密浸染状构造、次块状块状构造。矿石自然类型为沉积赤铁矿石，工业类型为弱磁性贫铁矿石。普查基本查明了矿区地层和构造特征，查明了矿体赋存层位，揭露圈定了4个矿体，对普查重点工作的V</w:t>
      </w:r>
      <w:r>
        <w:rPr>
          <w:rFonts w:ascii="Cambria Math" w:hAnsi="Cambria Math" w:eastAsia="仿宋" w:cs="Cambria Math"/>
          <w:sz w:val="28"/>
          <w:szCs w:val="28"/>
        </w:rPr>
        <w:t>₁</w:t>
      </w:r>
      <w:r>
        <w:rPr>
          <w:rFonts w:ascii="仿宋" w:hAnsi="仿宋" w:eastAsia="仿宋"/>
          <w:sz w:val="28"/>
          <w:szCs w:val="28"/>
        </w:rPr>
        <w:t>主要矿体控制较好，基本查明了矿体形态、产状、厚度、品位及其变化。初步查明了矿石矿物成分，有益有害组分含量，初步确定了矿石自然类型和工业类型。开采技术条件初步查明。野外地质和报告编制基本符合有关规范要求。评审同意通过该报告，可以作为开展进一步地质工作和V</w:t>
      </w:r>
      <w:r>
        <w:rPr>
          <w:rFonts w:ascii="Cambria Math" w:hAnsi="Cambria Math" w:eastAsia="仿宋" w:cs="Cambria Math"/>
          <w:sz w:val="28"/>
          <w:szCs w:val="28"/>
        </w:rPr>
        <w:t>₁</w:t>
      </w:r>
      <w:r>
        <w:rPr>
          <w:rFonts w:ascii="仿宋" w:hAnsi="仿宋" w:eastAsia="仿宋"/>
          <w:sz w:val="28"/>
          <w:szCs w:val="28"/>
        </w:rPr>
        <w:t>矿体开发利用的地质依据。</w:t>
      </w:r>
    </w:p>
    <w:p w14:paraId="3FDFB033">
      <w:pPr>
        <w:spacing w:line="420" w:lineRule="exact"/>
        <w:jc w:val="both"/>
        <w:rPr>
          <w:rFonts w:ascii="仿宋" w:hAnsi="仿宋" w:eastAsia="仿宋"/>
          <w:sz w:val="28"/>
          <w:szCs w:val="28"/>
        </w:rPr>
      </w:pPr>
      <w:r>
        <w:rPr>
          <w:rFonts w:ascii="仿宋" w:hAnsi="仿宋" w:eastAsia="仿宋"/>
          <w:sz w:val="28"/>
          <w:szCs w:val="28"/>
        </w:rPr>
        <w:t>评审通过备案的资源量为：332类矿石量180.93万吨，平均品位TFe33.48%;333类矿石量654.30万吨，平均品位TFe 32.44%;332+333类矿石量835.23万吨，平均品位TFe 32.53%。</w:t>
      </w:r>
    </w:p>
    <w:p w14:paraId="03776B26">
      <w:pPr>
        <w:spacing w:line="420" w:lineRule="exact"/>
        <w:jc w:val="both"/>
        <w:rPr>
          <w:rFonts w:ascii="仿宋" w:hAnsi="仿宋" w:eastAsia="仿宋"/>
          <w:sz w:val="28"/>
          <w:szCs w:val="28"/>
        </w:rPr>
      </w:pPr>
      <w:r>
        <w:rPr>
          <w:rFonts w:ascii="仿宋" w:hAnsi="仿宋" w:eastAsia="仿宋"/>
          <w:b/>
          <w:bCs/>
          <w:sz w:val="28"/>
          <w:szCs w:val="28"/>
        </w:rPr>
        <w:t>2、其它事项</w:t>
      </w:r>
    </w:p>
    <w:p w14:paraId="17564362">
      <w:pPr>
        <w:spacing w:line="420" w:lineRule="exact"/>
        <w:jc w:val="both"/>
        <w:rPr>
          <w:rFonts w:ascii="仿宋" w:hAnsi="仿宋" w:eastAsia="仿宋"/>
          <w:sz w:val="28"/>
          <w:szCs w:val="28"/>
        </w:rPr>
      </w:pPr>
      <w:r>
        <w:rPr>
          <w:rFonts w:ascii="仿宋" w:hAnsi="仿宋" w:eastAsia="仿宋"/>
          <w:sz w:val="28"/>
          <w:szCs w:val="28"/>
        </w:rPr>
        <w:t>1.丽江至香格里拉铁路建设项目压覆部分矿区，矿权人在申请探矿权延续时按铁路管理相关规定进行避让，但是否有压覆补偿尚未明确；</w:t>
      </w:r>
    </w:p>
    <w:p w14:paraId="6363D161">
      <w:pPr>
        <w:spacing w:line="420" w:lineRule="exact"/>
        <w:jc w:val="both"/>
        <w:rPr>
          <w:rFonts w:hint="default" w:ascii="仿宋" w:hAnsi="仿宋" w:eastAsia="仿宋"/>
          <w:sz w:val="28"/>
          <w:szCs w:val="28"/>
          <w:lang w:val="en-US"/>
        </w:rPr>
      </w:pPr>
      <w:r>
        <w:rPr>
          <w:rFonts w:ascii="仿宋" w:hAnsi="仿宋" w:eastAsia="仿宋"/>
          <w:sz w:val="28"/>
          <w:szCs w:val="28"/>
        </w:rPr>
        <w:t>2.目前矿业权人正在办理探矿权延续变更工作。截止2025年</w:t>
      </w:r>
      <w:r>
        <w:rPr>
          <w:rFonts w:hint="eastAsia" w:ascii="仿宋" w:hAnsi="仿宋" w:eastAsia="仿宋"/>
          <w:sz w:val="28"/>
          <w:szCs w:val="28"/>
          <w:lang w:val="en-US" w:eastAsia="zh-CN"/>
        </w:rPr>
        <w:t>10</w:t>
      </w:r>
      <w:r>
        <w:rPr>
          <w:rFonts w:ascii="仿宋" w:hAnsi="仿宋" w:eastAsia="仿宋"/>
          <w:sz w:val="28"/>
          <w:szCs w:val="28"/>
        </w:rPr>
        <w:t>月</w:t>
      </w:r>
      <w:r>
        <w:rPr>
          <w:rFonts w:hint="eastAsia" w:ascii="仿宋" w:hAnsi="仿宋" w:eastAsia="仿宋"/>
          <w:sz w:val="28"/>
          <w:szCs w:val="28"/>
          <w:lang w:val="en-US" w:eastAsia="zh-CN"/>
        </w:rPr>
        <w:t>27</w:t>
      </w:r>
      <w:r>
        <w:rPr>
          <w:rFonts w:ascii="仿宋" w:hAnsi="仿宋" w:eastAsia="仿宋"/>
          <w:sz w:val="28"/>
          <w:szCs w:val="28"/>
        </w:rPr>
        <w:t>日已经取得香格里拉市交通、生态环境、水务、应急、林草部门</w:t>
      </w:r>
      <w:r>
        <w:rPr>
          <w:rFonts w:hint="eastAsia" w:ascii="仿宋" w:hAnsi="仿宋" w:eastAsia="仿宋"/>
          <w:sz w:val="28"/>
          <w:szCs w:val="28"/>
          <w:lang w:eastAsia="zh-CN"/>
        </w:rPr>
        <w:t>、</w:t>
      </w:r>
      <w:r>
        <w:rPr>
          <w:rFonts w:hint="eastAsia" w:ascii="仿宋" w:hAnsi="仿宋" w:eastAsia="仿宋"/>
          <w:sz w:val="28"/>
          <w:szCs w:val="28"/>
          <w:lang w:val="en-US" w:eastAsia="zh-CN"/>
        </w:rPr>
        <w:t>香格里拉市自然资源局</w:t>
      </w:r>
      <w:r>
        <w:rPr>
          <w:rFonts w:ascii="仿宋" w:hAnsi="仿宋" w:eastAsia="仿宋"/>
          <w:sz w:val="28"/>
          <w:szCs w:val="28"/>
        </w:rPr>
        <w:t>同意通过联勘联审意见</w:t>
      </w:r>
      <w:r>
        <w:rPr>
          <w:rFonts w:hint="eastAsia" w:ascii="仿宋" w:hAnsi="仿宋" w:eastAsia="仿宋"/>
          <w:sz w:val="28"/>
          <w:szCs w:val="28"/>
          <w:lang w:eastAsia="zh-CN"/>
        </w:rPr>
        <w:t>。</w:t>
      </w:r>
      <w:r>
        <w:rPr>
          <w:rFonts w:ascii="仿宋" w:hAnsi="仿宋" w:eastAsia="仿宋"/>
          <w:sz w:val="28"/>
          <w:szCs w:val="28"/>
        </w:rPr>
        <w:t>尚未取得香格里拉市自然资源局综合审查意见，</w:t>
      </w:r>
      <w:r>
        <w:rPr>
          <w:rFonts w:hint="eastAsia" w:ascii="仿宋" w:hAnsi="仿宋" w:eastAsia="仿宋"/>
          <w:sz w:val="28"/>
          <w:szCs w:val="28"/>
          <w:lang w:val="en-US" w:eastAsia="zh-CN"/>
        </w:rPr>
        <w:t>目前处于迪庆州自然资源局组织开展州级联勘联审阶段，尚未取得迪庆州自然资源和规划局同意办理的审查意见。</w:t>
      </w:r>
      <w:bookmarkStart w:id="1" w:name="_GoBack"/>
      <w:bookmarkEnd w:id="1"/>
    </w:p>
    <w:p w14:paraId="70F2B6D5">
      <w:pPr>
        <w:spacing w:line="420" w:lineRule="exact"/>
        <w:jc w:val="both"/>
        <w:rPr>
          <w:rFonts w:ascii="仿宋" w:hAnsi="仿宋" w:eastAsia="仿宋"/>
          <w:sz w:val="28"/>
          <w:szCs w:val="28"/>
        </w:rPr>
      </w:pPr>
      <w:r>
        <w:rPr>
          <w:rFonts w:ascii="仿宋" w:hAnsi="仿宋" w:eastAsia="仿宋"/>
          <w:sz w:val="28"/>
          <w:szCs w:val="28"/>
        </w:rPr>
        <w:t>3.该矿权能否顺利办理延续以及以后能否办理探矿权转采矿权存在不确定性。</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3041"/>
    <w:rsid w:val="00343041"/>
    <w:rsid w:val="007A7B06"/>
    <w:rsid w:val="00CA5754"/>
    <w:rsid w:val="00D03F9F"/>
    <w:rsid w:val="0FEF000C"/>
    <w:rsid w:val="2DF126AA"/>
    <w:rsid w:val="534B4395"/>
    <w:rsid w:val="54065CB8"/>
    <w:rsid w:val="6FEB7E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2">
    <w:name w:val="heading 1"/>
    <w:basedOn w:val="1"/>
    <w:next w:val="1"/>
    <w:link w:val="17"/>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18"/>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19"/>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20"/>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21"/>
    <w:semiHidden/>
    <w:unhideWhenUsed/>
    <w:qFormat/>
    <w:uiPriority w:val="9"/>
    <w:pPr>
      <w:keepNext/>
      <w:keepLines/>
      <w:spacing w:before="80" w:after="40"/>
      <w:outlineLvl w:val="4"/>
    </w:pPr>
    <w:rPr>
      <w:rFonts w:cstheme="majorBidi"/>
      <w:color w:val="2F5597" w:themeColor="accent1" w:themeShade="BF"/>
      <w:sz w:val="24"/>
    </w:rPr>
  </w:style>
  <w:style w:type="paragraph" w:styleId="7">
    <w:name w:val="heading 6"/>
    <w:basedOn w:val="1"/>
    <w:next w:val="1"/>
    <w:link w:val="22"/>
    <w:semiHidden/>
    <w:unhideWhenUsed/>
    <w:qFormat/>
    <w:uiPriority w:val="9"/>
    <w:pPr>
      <w:keepNext/>
      <w:keepLines/>
      <w:spacing w:before="40" w:after="0"/>
      <w:outlineLvl w:val="5"/>
    </w:pPr>
    <w:rPr>
      <w:rFonts w:cstheme="majorBidi"/>
      <w:b/>
      <w:bCs/>
      <w:color w:val="2F5597" w:themeColor="accent1" w:themeShade="BF"/>
    </w:rPr>
  </w:style>
  <w:style w:type="paragraph" w:styleId="8">
    <w:name w:val="heading 7"/>
    <w:basedOn w:val="1"/>
    <w:next w:val="1"/>
    <w:link w:val="23"/>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4"/>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5"/>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6">
    <w:name w:val="Default Paragraph Font"/>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11">
    <w:name w:val="footer"/>
    <w:basedOn w:val="1"/>
    <w:link w:val="36"/>
    <w:unhideWhenUsed/>
    <w:qFormat/>
    <w:uiPriority w:val="99"/>
    <w:pPr>
      <w:tabs>
        <w:tab w:val="center" w:pos="4153"/>
        <w:tab w:val="right" w:pos="8306"/>
      </w:tabs>
      <w:snapToGrid w:val="0"/>
      <w:spacing w:line="240" w:lineRule="auto"/>
    </w:pPr>
    <w:rPr>
      <w:sz w:val="18"/>
      <w:szCs w:val="18"/>
    </w:rPr>
  </w:style>
  <w:style w:type="paragraph" w:styleId="12">
    <w:name w:val="header"/>
    <w:basedOn w:val="1"/>
    <w:link w:val="35"/>
    <w:unhideWhenUsed/>
    <w:uiPriority w:val="99"/>
    <w:pPr>
      <w:tabs>
        <w:tab w:val="center" w:pos="4153"/>
        <w:tab w:val="right" w:pos="8306"/>
      </w:tabs>
      <w:snapToGrid w:val="0"/>
      <w:spacing w:line="240" w:lineRule="auto"/>
      <w:jc w:val="center"/>
    </w:pPr>
    <w:rPr>
      <w:sz w:val="18"/>
      <w:szCs w:val="18"/>
    </w:rPr>
  </w:style>
  <w:style w:type="paragraph" w:styleId="13">
    <w:name w:val="Subtitle"/>
    <w:basedOn w:val="1"/>
    <w:next w:val="1"/>
    <w:link w:val="27"/>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6"/>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character" w:customStyle="1" w:styleId="17">
    <w:name w:val="标题 1 字符"/>
    <w:basedOn w:val="16"/>
    <w:link w:val="2"/>
    <w:qFormat/>
    <w:uiPriority w:val="9"/>
    <w:rPr>
      <w:rFonts w:asciiTheme="majorHAnsi" w:hAnsiTheme="majorHAnsi" w:eastAsiaTheme="majorEastAsia" w:cstheme="majorBidi"/>
      <w:color w:val="2F5597" w:themeColor="accent1" w:themeShade="BF"/>
      <w:sz w:val="48"/>
      <w:szCs w:val="48"/>
    </w:rPr>
  </w:style>
  <w:style w:type="character" w:customStyle="1" w:styleId="18">
    <w:name w:val="标题 2 字符"/>
    <w:basedOn w:val="16"/>
    <w:link w:val="3"/>
    <w:semiHidden/>
    <w:qFormat/>
    <w:uiPriority w:val="9"/>
    <w:rPr>
      <w:rFonts w:asciiTheme="majorHAnsi" w:hAnsiTheme="majorHAnsi" w:eastAsiaTheme="majorEastAsia" w:cstheme="majorBidi"/>
      <w:color w:val="2F5597" w:themeColor="accent1" w:themeShade="BF"/>
      <w:sz w:val="40"/>
      <w:szCs w:val="40"/>
    </w:rPr>
  </w:style>
  <w:style w:type="character" w:customStyle="1" w:styleId="19">
    <w:name w:val="标题 3 字符"/>
    <w:basedOn w:val="16"/>
    <w:link w:val="4"/>
    <w:semiHidden/>
    <w:qFormat/>
    <w:uiPriority w:val="9"/>
    <w:rPr>
      <w:rFonts w:asciiTheme="majorHAnsi" w:hAnsiTheme="majorHAnsi" w:eastAsiaTheme="majorEastAsia" w:cstheme="majorBidi"/>
      <w:color w:val="2F5597" w:themeColor="accent1" w:themeShade="BF"/>
      <w:sz w:val="32"/>
      <w:szCs w:val="32"/>
    </w:rPr>
  </w:style>
  <w:style w:type="character" w:customStyle="1" w:styleId="20">
    <w:name w:val="标题 4 字符"/>
    <w:basedOn w:val="16"/>
    <w:link w:val="5"/>
    <w:semiHidden/>
    <w:qFormat/>
    <w:uiPriority w:val="9"/>
    <w:rPr>
      <w:rFonts w:cstheme="majorBidi"/>
      <w:color w:val="2F5597" w:themeColor="accent1" w:themeShade="BF"/>
      <w:sz w:val="28"/>
      <w:szCs w:val="28"/>
    </w:rPr>
  </w:style>
  <w:style w:type="character" w:customStyle="1" w:styleId="21">
    <w:name w:val="标题 5 字符"/>
    <w:basedOn w:val="16"/>
    <w:link w:val="6"/>
    <w:semiHidden/>
    <w:qFormat/>
    <w:uiPriority w:val="9"/>
    <w:rPr>
      <w:rFonts w:cstheme="majorBidi"/>
      <w:color w:val="2F5597" w:themeColor="accent1" w:themeShade="BF"/>
      <w:sz w:val="24"/>
    </w:rPr>
  </w:style>
  <w:style w:type="character" w:customStyle="1" w:styleId="22">
    <w:name w:val="标题 6 字符"/>
    <w:basedOn w:val="16"/>
    <w:link w:val="7"/>
    <w:semiHidden/>
    <w:qFormat/>
    <w:uiPriority w:val="9"/>
    <w:rPr>
      <w:rFonts w:cstheme="majorBidi"/>
      <w:b/>
      <w:bCs/>
      <w:color w:val="2F5597" w:themeColor="accent1" w:themeShade="BF"/>
    </w:rPr>
  </w:style>
  <w:style w:type="character" w:customStyle="1" w:styleId="23">
    <w:name w:val="标题 7 字符"/>
    <w:basedOn w:val="16"/>
    <w:link w:val="8"/>
    <w:semiHidden/>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4">
    <w:name w:val="标题 8 字符"/>
    <w:basedOn w:val="16"/>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5">
    <w:name w:val="标题 9 字符"/>
    <w:basedOn w:val="16"/>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6">
    <w:name w:val="标题 字符"/>
    <w:basedOn w:val="16"/>
    <w:link w:val="14"/>
    <w:qFormat/>
    <w:uiPriority w:val="10"/>
    <w:rPr>
      <w:rFonts w:asciiTheme="majorHAnsi" w:hAnsiTheme="majorHAnsi" w:eastAsiaTheme="majorEastAsia" w:cstheme="majorBidi"/>
      <w:spacing w:val="-10"/>
      <w:kern w:val="28"/>
      <w:sz w:val="56"/>
      <w:szCs w:val="56"/>
    </w:rPr>
  </w:style>
  <w:style w:type="character" w:customStyle="1" w:styleId="27">
    <w:name w:val="副标题 字符"/>
    <w:basedOn w:val="16"/>
    <w:link w:val="13"/>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8">
    <w:name w:val="Quote"/>
    <w:basedOn w:val="1"/>
    <w:next w:val="1"/>
    <w:link w:val="29"/>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9">
    <w:name w:val="引用 字符"/>
    <w:basedOn w:val="16"/>
    <w:link w:val="28"/>
    <w:uiPriority w:val="29"/>
    <w:rPr>
      <w:i/>
      <w:iCs/>
      <w:color w:val="404040" w:themeColor="text1" w:themeTint="BF"/>
      <w14:textFill>
        <w14:solidFill>
          <w14:schemeClr w14:val="tx1">
            <w14:lumMod w14:val="75000"/>
            <w14:lumOff w14:val="25000"/>
          </w14:schemeClr>
        </w14:solidFill>
      </w14:textFill>
    </w:rPr>
  </w:style>
  <w:style w:type="paragraph" w:styleId="30">
    <w:name w:val="List Paragraph"/>
    <w:basedOn w:val="1"/>
    <w:qFormat/>
    <w:uiPriority w:val="34"/>
    <w:pPr>
      <w:ind w:left="720"/>
      <w:contextualSpacing/>
    </w:pPr>
  </w:style>
  <w:style w:type="character" w:customStyle="1" w:styleId="31">
    <w:name w:val="Intense Emphasis"/>
    <w:basedOn w:val="16"/>
    <w:qFormat/>
    <w:uiPriority w:val="21"/>
    <w:rPr>
      <w:i/>
      <w:iCs/>
      <w:color w:val="2F5597" w:themeColor="accent1" w:themeShade="BF"/>
    </w:rPr>
  </w:style>
  <w:style w:type="paragraph" w:styleId="32">
    <w:name w:val="Intense Quote"/>
    <w:basedOn w:val="1"/>
    <w:next w:val="1"/>
    <w:link w:val="33"/>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3">
    <w:name w:val="明显引用 字符"/>
    <w:basedOn w:val="16"/>
    <w:link w:val="32"/>
    <w:uiPriority w:val="30"/>
    <w:rPr>
      <w:i/>
      <w:iCs/>
      <w:color w:val="2F5597" w:themeColor="accent1" w:themeShade="BF"/>
    </w:rPr>
  </w:style>
  <w:style w:type="character" w:customStyle="1" w:styleId="34">
    <w:name w:val="Intense Reference"/>
    <w:basedOn w:val="16"/>
    <w:qFormat/>
    <w:uiPriority w:val="32"/>
    <w:rPr>
      <w:b/>
      <w:bCs/>
      <w:smallCaps/>
      <w:color w:val="2F5597" w:themeColor="accent1" w:themeShade="BF"/>
      <w:spacing w:val="5"/>
    </w:rPr>
  </w:style>
  <w:style w:type="character" w:customStyle="1" w:styleId="35">
    <w:name w:val="页眉 字符"/>
    <w:basedOn w:val="16"/>
    <w:link w:val="12"/>
    <w:qFormat/>
    <w:uiPriority w:val="99"/>
    <w:rPr>
      <w:sz w:val="18"/>
      <w:szCs w:val="18"/>
    </w:rPr>
  </w:style>
  <w:style w:type="character" w:customStyle="1" w:styleId="36">
    <w:name w:val="页脚 字符"/>
    <w:basedOn w:val="16"/>
    <w:link w:val="11"/>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1324</Words>
  <Characters>1485</Characters>
  <Lines>10</Lines>
  <Paragraphs>2</Paragraphs>
  <TotalTime>4</TotalTime>
  <ScaleCrop>false</ScaleCrop>
  <LinksUpToDate>false</LinksUpToDate>
  <CharactersWithSpaces>1489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2025-10-23T02:06:00Z</dcterms:created>
  <dc:creator>xiaoya deng</dc:creator>
  <cp:lastModifiedBy>童长春</cp:lastModifiedBy>
  <dcterms:modified xsi:type="dcterms:W3CDTF">2025-10-23T07:47:49Z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eyJoZGlkIjoiNGIxZWE1YjFjYzA1ZGE1MGRhNTM1Mzk0ZjE4NzA1ZWMiLCJ1c2VySWQiOiIyNDUwOTM3NzMifQ==</vt:lpwstr>
  </property>
  <property fmtid="{D5CDD505-2E9C-101B-9397-08002B2CF9AE}" pid="3" name="KSOProductBuildVer">
    <vt:lpwstr>2052-12.1.0.23125</vt:lpwstr>
  </property>
  <property fmtid="{D5CDD505-2E9C-101B-9397-08002B2CF9AE}" pid="4" name="ICV">
    <vt:lpwstr>7299DB11CDC24EE2B6428A2CE9A856D4_12</vt:lpwstr>
  </property>
</Properties>
</file>