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3D9EB">
      <w:pPr>
        <w:spacing w:line="420" w:lineRule="exact"/>
        <w:jc w:val="center"/>
        <w:rPr>
          <w:rFonts w:ascii="仿宋" w:hAnsi="仿宋" w:eastAsia="仿宋"/>
          <w:sz w:val="28"/>
          <w:szCs w:val="28"/>
        </w:rPr>
      </w:pPr>
      <w:bookmarkStart w:id="0" w:name="OLE_LINK2"/>
      <w:r>
        <w:rPr>
          <w:rFonts w:ascii="仿宋" w:hAnsi="仿宋" w:eastAsia="仿宋"/>
          <w:b/>
          <w:bCs/>
          <w:sz w:val="28"/>
          <w:szCs w:val="28"/>
        </w:rPr>
        <w:t>关于永昌系三十一家公司之</w:t>
      </w:r>
      <w:bookmarkEnd w:id="0"/>
      <w:r>
        <w:rPr>
          <w:rFonts w:ascii="仿宋" w:hAnsi="仿宋" w:eastAsia="仿宋"/>
          <w:b/>
          <w:bCs/>
          <w:sz w:val="28"/>
          <w:szCs w:val="28"/>
        </w:rPr>
        <w:t>贡山县隆鑫矿业有限公司</w:t>
      </w:r>
    </w:p>
    <w:p w14:paraId="18FBD0C9">
      <w:pPr>
        <w:spacing w:line="420" w:lineRule="exact"/>
        <w:jc w:val="center"/>
        <w:rPr>
          <w:rFonts w:ascii="仿宋" w:hAnsi="仿宋" w:eastAsia="仿宋"/>
          <w:sz w:val="28"/>
          <w:szCs w:val="28"/>
        </w:rPr>
      </w:pPr>
      <w:r>
        <w:rPr>
          <w:rFonts w:ascii="仿宋" w:hAnsi="仿宋" w:eastAsia="仿宋"/>
          <w:b/>
          <w:bCs/>
          <w:sz w:val="28"/>
          <w:szCs w:val="28"/>
        </w:rPr>
        <w:t>《云南省福贡县九尼铁多金属矿勘探探矿权》</w:t>
      </w:r>
    </w:p>
    <w:p w14:paraId="0F855C48">
      <w:pPr>
        <w:spacing w:line="420" w:lineRule="exact"/>
        <w:jc w:val="center"/>
        <w:rPr>
          <w:rFonts w:ascii="仿宋" w:hAnsi="仿宋" w:eastAsia="仿宋"/>
          <w:sz w:val="28"/>
          <w:szCs w:val="28"/>
        </w:rPr>
      </w:pPr>
      <w:r>
        <w:rPr>
          <w:rFonts w:ascii="仿宋" w:hAnsi="仿宋" w:eastAsia="仿宋"/>
          <w:b/>
          <w:bCs/>
          <w:sz w:val="28"/>
          <w:szCs w:val="28"/>
        </w:rPr>
        <w:t>竞买须知</w:t>
      </w:r>
    </w:p>
    <w:p w14:paraId="0A31DE8C">
      <w:pPr>
        <w:spacing w:line="420" w:lineRule="exact"/>
        <w:jc w:val="both"/>
        <w:rPr>
          <w:rFonts w:ascii="仿宋" w:hAnsi="仿宋" w:eastAsia="仿宋"/>
          <w:sz w:val="28"/>
          <w:szCs w:val="28"/>
        </w:rPr>
      </w:pPr>
      <w:r>
        <w:rPr>
          <w:rFonts w:ascii="Calibri" w:hAnsi="Calibri" w:eastAsia="仿宋" w:cs="Calibri"/>
          <w:sz w:val="28"/>
          <w:szCs w:val="28"/>
        </w:rPr>
        <w:t> </w:t>
      </w:r>
    </w:p>
    <w:p w14:paraId="363350AA">
      <w:pPr>
        <w:spacing w:line="420" w:lineRule="exact"/>
        <w:ind w:firstLine="560" w:firstLineChars="200"/>
        <w:jc w:val="both"/>
        <w:rPr>
          <w:rFonts w:ascii="仿宋" w:hAnsi="仿宋" w:eastAsia="仿宋"/>
          <w:sz w:val="28"/>
          <w:szCs w:val="28"/>
        </w:rPr>
      </w:pPr>
      <w:r>
        <w:rPr>
          <w:rFonts w:ascii="仿宋" w:hAnsi="仿宋" w:eastAsia="仿宋"/>
          <w:sz w:val="28"/>
          <w:szCs w:val="28"/>
        </w:rPr>
        <w:t>昆明安宁永昌物资经贸集团有限公司管理人、安宁市永昌钢铁有限公司管理人（以下简称管理人）将于2025年</w:t>
      </w:r>
      <w:r>
        <w:rPr>
          <w:rFonts w:hint="eastAsia" w:ascii="仿宋" w:hAnsi="仿宋" w:eastAsia="仿宋"/>
          <w:sz w:val="28"/>
          <w:szCs w:val="28"/>
        </w:rPr>
        <w:t>11</w:t>
      </w:r>
      <w:r>
        <w:rPr>
          <w:rFonts w:ascii="仿宋" w:hAnsi="仿宋" w:eastAsia="仿宋"/>
          <w:sz w:val="28"/>
          <w:szCs w:val="28"/>
        </w:rPr>
        <w:t>月</w:t>
      </w:r>
      <w:r>
        <w:rPr>
          <w:rFonts w:hint="eastAsia" w:ascii="仿宋" w:hAnsi="仿宋" w:eastAsia="仿宋"/>
          <w:sz w:val="28"/>
          <w:szCs w:val="28"/>
          <w:lang w:val="en-US" w:eastAsia="zh-CN"/>
        </w:rPr>
        <w:t>12</w:t>
      </w:r>
      <w:r>
        <w:rPr>
          <w:rFonts w:ascii="仿宋" w:hAnsi="仿宋" w:eastAsia="仿宋"/>
          <w:sz w:val="28"/>
          <w:szCs w:val="28"/>
        </w:rPr>
        <w:t>日10时至2025年</w:t>
      </w:r>
      <w:r>
        <w:rPr>
          <w:rFonts w:hint="eastAsia" w:ascii="仿宋" w:hAnsi="仿宋" w:eastAsia="仿宋"/>
          <w:sz w:val="28"/>
          <w:szCs w:val="28"/>
        </w:rPr>
        <w:t>12</w:t>
      </w:r>
      <w:r>
        <w:rPr>
          <w:rFonts w:ascii="仿宋" w:hAnsi="仿宋" w:eastAsia="仿宋"/>
          <w:sz w:val="28"/>
          <w:szCs w:val="28"/>
        </w:rPr>
        <w:t>月</w:t>
      </w:r>
      <w:r>
        <w:rPr>
          <w:rFonts w:hint="eastAsia" w:ascii="仿宋" w:hAnsi="仿宋" w:eastAsia="仿宋"/>
          <w:sz w:val="28"/>
          <w:szCs w:val="28"/>
          <w:lang w:val="en-US" w:eastAsia="zh-CN"/>
        </w:rPr>
        <w:t>11</w:t>
      </w:r>
      <w:r>
        <w:rPr>
          <w:rFonts w:ascii="仿宋" w:hAnsi="仿宋" w:eastAsia="仿宋"/>
          <w:sz w:val="28"/>
          <w:szCs w:val="28"/>
        </w:rPr>
        <w:t>日10时止（延时除外）在淘宝网阿里拍卖破产强清平台网址</w:t>
      </w:r>
      <w:r>
        <w:fldChar w:fldCharType="begin"/>
      </w:r>
      <w:r>
        <w:instrText xml:space="preserve"> HYPERLINK "https://susong-item.taobao.com/auction/596449397545.htm?spm=a213w.6688509.tabs.19.1b301734v0oUwx" </w:instrText>
      </w:r>
      <w:r>
        <w:fldChar w:fldCharType="separate"/>
      </w:r>
      <w:r>
        <w:rPr>
          <w:rStyle w:val="15"/>
          <w:rFonts w:ascii="仿宋" w:hAnsi="仿宋" w:eastAsia="仿宋"/>
          <w:sz w:val="28"/>
          <w:szCs w:val="28"/>
        </w:rPr>
        <w:t>：https://susong.taobao.com</w:t>
      </w:r>
      <w:r>
        <w:rPr>
          <w:rStyle w:val="15"/>
          <w:rFonts w:ascii="仿宋" w:hAnsi="仿宋" w:eastAsia="仿宋"/>
          <w:sz w:val="28"/>
          <w:szCs w:val="28"/>
        </w:rPr>
        <w:fldChar w:fldCharType="end"/>
      </w:r>
      <w:r>
        <w:rPr>
          <w:rFonts w:ascii="仿宋" w:hAnsi="仿宋" w:eastAsia="仿宋"/>
          <w:sz w:val="28"/>
          <w:szCs w:val="28"/>
        </w:rPr>
        <w:t>，对登记</w:t>
      </w:r>
      <w:bookmarkStart w:id="1" w:name="OLE_LINK1"/>
      <w:r>
        <w:rPr>
          <w:rFonts w:ascii="仿宋" w:hAnsi="仿宋" w:eastAsia="仿宋"/>
          <w:sz w:val="28"/>
          <w:szCs w:val="28"/>
        </w:rPr>
        <w:t>于贡山县隆鑫矿业有限公司</w:t>
      </w:r>
      <w:bookmarkEnd w:id="1"/>
      <w:r>
        <w:rPr>
          <w:rFonts w:ascii="仿宋" w:hAnsi="仿宋" w:eastAsia="仿宋"/>
          <w:sz w:val="28"/>
          <w:szCs w:val="28"/>
        </w:rPr>
        <w:t>名下《云南省福贡县九尼铁多金属矿勘探探矿权》（勘查许可证证号：T53120081002016720）进行公开拍卖活动（处置单位：昆明安宁永昌物资经贸集团有限公司管理人、安宁市永昌钢铁有限公司管理人；监督单位：云南省安宁市人民法院）。现就网上拍卖有关事宜敬告各位竞买人：</w:t>
      </w:r>
    </w:p>
    <w:p w14:paraId="69AA5F40">
      <w:pPr>
        <w:spacing w:line="420" w:lineRule="exact"/>
        <w:ind w:firstLine="560" w:firstLineChars="200"/>
        <w:jc w:val="both"/>
        <w:rPr>
          <w:rFonts w:ascii="仿宋" w:hAnsi="仿宋" w:eastAsia="仿宋"/>
          <w:sz w:val="28"/>
          <w:szCs w:val="28"/>
        </w:rPr>
      </w:pPr>
      <w:r>
        <w:rPr>
          <w:rFonts w:ascii="仿宋" w:hAnsi="仿宋" w:eastAsia="仿宋"/>
          <w:sz w:val="28"/>
          <w:szCs w:val="28"/>
        </w:rPr>
        <w:t>一、本《竞买须知》根据相关法律规定制订，竞买人应认真仔细阅读，了解本须知的全部内容。竞买人报名参与竞买，表示完全知晓本次拍卖活动的全部内容。</w:t>
      </w:r>
    </w:p>
    <w:p w14:paraId="4814FDC1">
      <w:pPr>
        <w:spacing w:line="420" w:lineRule="exact"/>
        <w:ind w:firstLine="560" w:firstLineChars="200"/>
        <w:jc w:val="both"/>
        <w:rPr>
          <w:rFonts w:ascii="仿宋" w:hAnsi="仿宋" w:eastAsia="仿宋"/>
          <w:sz w:val="28"/>
          <w:szCs w:val="28"/>
        </w:rPr>
      </w:pPr>
      <w:r>
        <w:rPr>
          <w:rFonts w:ascii="仿宋" w:hAnsi="仿宋" w:eastAsia="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6857B758">
      <w:pPr>
        <w:spacing w:line="420" w:lineRule="exact"/>
        <w:ind w:firstLine="560" w:firstLineChars="200"/>
        <w:jc w:val="both"/>
        <w:rPr>
          <w:rFonts w:ascii="仿宋" w:hAnsi="仿宋" w:eastAsia="仿宋"/>
          <w:sz w:val="28"/>
          <w:szCs w:val="28"/>
        </w:rPr>
      </w:pPr>
      <w:r>
        <w:rPr>
          <w:rFonts w:ascii="仿宋" w:hAnsi="仿宋" w:eastAsia="仿宋"/>
          <w:sz w:val="28"/>
          <w:szCs w:val="28"/>
        </w:rPr>
        <w:t>三、拍卖标的：本次拍卖标的物为登记于贡山县隆鑫矿业有限公司名下《云南省福贡县九尼铁多金属矿勘探探矿权》（勘查许可证证号：T53120081002016720），地理位置：云南省福贡县、贡山县境内，勘查面积：5.03km2，有效期限：2016年2月2日至2018年2月2日。</w:t>
      </w:r>
    </w:p>
    <w:p w14:paraId="082189D5">
      <w:pPr>
        <w:spacing w:line="420" w:lineRule="exact"/>
        <w:ind w:firstLine="562" w:firstLineChars="200"/>
        <w:jc w:val="both"/>
        <w:rPr>
          <w:rFonts w:ascii="仿宋" w:hAnsi="仿宋" w:eastAsia="仿宋"/>
          <w:sz w:val="28"/>
          <w:szCs w:val="28"/>
        </w:rPr>
      </w:pPr>
      <w:r>
        <w:rPr>
          <w:rFonts w:ascii="仿宋" w:hAnsi="仿宋" w:eastAsia="仿宋"/>
          <w:b/>
          <w:bCs/>
          <w:sz w:val="28"/>
          <w:szCs w:val="28"/>
        </w:rPr>
        <w:t>该探矿权存在到期未延期的情况，请竞买人自行向相关部门咨询转移登记相关事项。</w:t>
      </w:r>
    </w:p>
    <w:p w14:paraId="09B16236">
      <w:pPr>
        <w:spacing w:line="420" w:lineRule="exact"/>
        <w:ind w:firstLine="562" w:firstLineChars="200"/>
        <w:jc w:val="both"/>
        <w:rPr>
          <w:rFonts w:ascii="仿宋" w:hAnsi="仿宋" w:eastAsia="仿宋"/>
          <w:sz w:val="28"/>
          <w:szCs w:val="28"/>
        </w:rPr>
      </w:pPr>
      <w:r>
        <w:rPr>
          <w:rFonts w:ascii="仿宋" w:hAnsi="仿宋" w:eastAsia="仿宋"/>
          <w:b/>
          <w:bCs/>
          <w:sz w:val="28"/>
          <w:szCs w:val="28"/>
        </w:rPr>
        <w:t>四、本次拍卖标的物以其现状为准，管理人不承担拍卖标的物的瑕疵保证责任。除拍卖文件披露外，竞买人应对拍卖标的物的实际状况以及瑕疵(含显性、隐性瑕疵)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75115D13">
      <w:pPr>
        <w:spacing w:line="420" w:lineRule="exact"/>
        <w:ind w:firstLine="562" w:firstLineChars="200"/>
        <w:jc w:val="both"/>
        <w:rPr>
          <w:rFonts w:ascii="仿宋" w:hAnsi="仿宋" w:eastAsia="仿宋"/>
          <w:sz w:val="28"/>
          <w:szCs w:val="28"/>
        </w:rPr>
      </w:pPr>
      <w:r>
        <w:rPr>
          <w:rFonts w:ascii="仿宋" w:hAnsi="仿宋" w:eastAsia="仿宋"/>
          <w:b/>
          <w:bCs/>
          <w:sz w:val="28"/>
          <w:szCs w:val="28"/>
        </w:rPr>
        <w:t>五、竞买人需要先报名缴纳等同于标的物变卖价全款金额的变卖预缴款，才能取得变卖参与资格；至少一人报名且出价不低于变卖价，方可成交。</w:t>
      </w:r>
    </w:p>
    <w:p w14:paraId="362C893B">
      <w:pPr>
        <w:spacing w:line="420" w:lineRule="exact"/>
        <w:ind w:firstLine="562" w:firstLineChars="200"/>
        <w:jc w:val="both"/>
        <w:rPr>
          <w:rFonts w:ascii="仿宋" w:hAnsi="仿宋" w:eastAsia="仿宋"/>
          <w:sz w:val="28"/>
          <w:szCs w:val="28"/>
        </w:rPr>
      </w:pPr>
      <w:r>
        <w:rPr>
          <w:rFonts w:ascii="仿宋" w:hAnsi="仿宋" w:eastAsia="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6599627D">
      <w:pPr>
        <w:spacing w:line="420" w:lineRule="exact"/>
        <w:ind w:firstLine="560" w:firstLineChars="200"/>
        <w:jc w:val="both"/>
        <w:rPr>
          <w:rFonts w:ascii="仿宋" w:hAnsi="仿宋" w:eastAsia="仿宋"/>
          <w:sz w:val="28"/>
          <w:szCs w:val="28"/>
        </w:rPr>
      </w:pPr>
      <w:r>
        <w:rPr>
          <w:rFonts w:ascii="仿宋" w:hAnsi="仿宋" w:eastAsia="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48644F3E">
      <w:pPr>
        <w:spacing w:line="420" w:lineRule="exact"/>
        <w:ind w:firstLine="560" w:firstLineChars="200"/>
        <w:jc w:val="both"/>
        <w:rPr>
          <w:rFonts w:ascii="仿宋" w:hAnsi="仿宋" w:eastAsia="仿宋"/>
          <w:sz w:val="28"/>
          <w:szCs w:val="28"/>
        </w:rPr>
      </w:pPr>
      <w:r>
        <w:rPr>
          <w:rFonts w:ascii="仿宋" w:hAnsi="仿宋" w:eastAsia="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4B40E4B3">
      <w:pPr>
        <w:spacing w:line="420" w:lineRule="exact"/>
        <w:ind w:firstLine="562" w:firstLineChars="200"/>
        <w:jc w:val="both"/>
        <w:rPr>
          <w:rFonts w:ascii="仿宋" w:hAnsi="仿宋" w:eastAsia="仿宋"/>
          <w:sz w:val="28"/>
          <w:szCs w:val="28"/>
        </w:rPr>
      </w:pPr>
      <w:r>
        <w:rPr>
          <w:rFonts w:ascii="仿宋" w:hAnsi="仿宋" w:eastAsia="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有关税费及明确的或不明确的一切关联费用，全部由买受人承担。</w:t>
      </w:r>
    </w:p>
    <w:p w14:paraId="13928571">
      <w:pPr>
        <w:spacing w:line="420" w:lineRule="exact"/>
        <w:ind w:firstLine="562" w:firstLineChars="200"/>
        <w:jc w:val="both"/>
        <w:rPr>
          <w:rFonts w:ascii="仿宋" w:hAnsi="仿宋" w:eastAsia="仿宋"/>
          <w:sz w:val="28"/>
          <w:szCs w:val="28"/>
        </w:rPr>
      </w:pPr>
      <w:r>
        <w:rPr>
          <w:rFonts w:ascii="仿宋" w:hAnsi="仿宋" w:eastAsia="仿宋"/>
          <w:b/>
          <w:bCs/>
          <w:sz w:val="28"/>
          <w:szCs w:val="28"/>
        </w:rPr>
        <w:t>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7715EE6E">
      <w:pPr>
        <w:spacing w:line="420" w:lineRule="exact"/>
        <w:ind w:firstLine="562" w:firstLineChars="200"/>
        <w:jc w:val="both"/>
        <w:rPr>
          <w:rFonts w:ascii="仿宋" w:hAnsi="仿宋" w:eastAsia="仿宋"/>
          <w:sz w:val="28"/>
          <w:szCs w:val="28"/>
        </w:rPr>
      </w:pPr>
      <w:r>
        <w:rPr>
          <w:rFonts w:ascii="仿宋" w:hAnsi="仿宋" w:eastAsia="仿宋"/>
          <w:b/>
          <w:bCs/>
          <w:sz w:val="28"/>
          <w:szCs w:val="28"/>
        </w:rPr>
        <w:t>本标的物存在综合服务费，综合服务费金额为系统成交价的0.5%，由买受人承担。缴费方式：标的物竞拍成功后，网拍平台会生成一笔待支付的综合服务费订单，买受人应自竞价结束后7日内全部缴纳，并确认收货。</w:t>
      </w:r>
    </w:p>
    <w:p w14:paraId="1F68DC83">
      <w:pPr>
        <w:spacing w:line="420" w:lineRule="exact"/>
        <w:ind w:firstLine="562" w:firstLineChars="200"/>
        <w:jc w:val="both"/>
        <w:rPr>
          <w:rFonts w:ascii="仿宋" w:hAnsi="仿宋" w:eastAsia="仿宋"/>
          <w:sz w:val="28"/>
          <w:szCs w:val="28"/>
        </w:rPr>
      </w:pPr>
      <w:r>
        <w:rPr>
          <w:rFonts w:ascii="仿宋" w:hAnsi="仿宋" w:eastAsia="仿宋"/>
          <w:b/>
          <w:bCs/>
          <w:sz w:val="28"/>
          <w:szCs w:val="28"/>
        </w:rPr>
        <w:t>单个标的软件服务费及综合服务费两项费用合计金额上限为100万元，由买受人承担，与管理人无关。</w:t>
      </w:r>
    </w:p>
    <w:p w14:paraId="14E04C75">
      <w:pPr>
        <w:spacing w:line="420" w:lineRule="exact"/>
        <w:ind w:firstLine="560" w:firstLineChars="200"/>
        <w:jc w:val="both"/>
        <w:rPr>
          <w:rFonts w:ascii="仿宋" w:hAnsi="仿宋" w:eastAsia="仿宋"/>
          <w:sz w:val="28"/>
          <w:szCs w:val="28"/>
        </w:rPr>
      </w:pPr>
      <w:r>
        <w:rPr>
          <w:rFonts w:ascii="仿宋" w:hAnsi="仿宋" w:eastAsia="仿宋"/>
          <w:sz w:val="28"/>
          <w:szCs w:val="28"/>
        </w:rPr>
        <w:t>十、本次拍卖活动计价货币为人民币，拍卖时的起拍价、成交价均不含买受人在拍卖标的物交割、过户时所发生的相关费用和税费，管理人将配合买受人办理标的物移交及过户登记手续。</w:t>
      </w:r>
    </w:p>
    <w:p w14:paraId="7BE1E730">
      <w:pPr>
        <w:spacing w:line="420" w:lineRule="exact"/>
        <w:ind w:firstLine="560" w:firstLineChars="200"/>
        <w:jc w:val="both"/>
        <w:rPr>
          <w:rFonts w:ascii="仿宋" w:hAnsi="仿宋" w:eastAsia="仿宋"/>
          <w:sz w:val="28"/>
          <w:szCs w:val="28"/>
        </w:rPr>
      </w:pPr>
      <w:r>
        <w:rPr>
          <w:rFonts w:ascii="仿宋" w:hAnsi="仿宋" w:eastAsia="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246F0F9B">
      <w:pPr>
        <w:spacing w:line="420" w:lineRule="exact"/>
        <w:ind w:firstLine="562" w:firstLineChars="200"/>
        <w:jc w:val="both"/>
        <w:rPr>
          <w:rFonts w:ascii="仿宋" w:hAnsi="仿宋" w:eastAsia="仿宋"/>
          <w:sz w:val="28"/>
          <w:szCs w:val="28"/>
        </w:rPr>
      </w:pPr>
      <w:r>
        <w:rPr>
          <w:rFonts w:ascii="仿宋" w:hAnsi="仿宋" w:eastAsia="仿宋"/>
          <w:b/>
          <w:bCs/>
          <w:sz w:val="28"/>
          <w:szCs w:val="28"/>
        </w:rPr>
        <w:t>十二、拍卖成交后，买受人应在拍卖成交后10日内通过淘宝订单支付或通过银行转账支付尾款。买受人逾期未支付拍卖款或未办理交接手续，管理人可以重新拍卖，已缴纳的保证金及已支付的价款不予退还，依次用于支付拍卖产生的费用损失、弥补重新拍卖价款低于原拍卖价款的差价。</w:t>
      </w:r>
      <w:r>
        <w:rPr>
          <w:rFonts w:ascii="仿宋" w:hAnsi="仿宋" w:eastAsia="仿宋"/>
          <w:sz w:val="28"/>
          <w:szCs w:val="28"/>
        </w:rPr>
        <w:t>重新拍卖时，原买受人不得参加竞买。拍卖成交后买受人悔拍的，已缴纳的保证金及已支付的价款不予退还，依次用于支付拍卖产生的费用损失、弥补重新拍卖价款低于原拍卖价款的差价。已缴纳的保证金及已支付的价款数额不足以弥补拍卖费用损失以及重新拍卖价款低于原拍卖价款的差价的，管理人可向悔拍人追索。</w:t>
      </w:r>
    </w:p>
    <w:p w14:paraId="53B667D4">
      <w:pPr>
        <w:spacing w:line="420" w:lineRule="exact"/>
        <w:ind w:firstLine="562" w:firstLineChars="200"/>
        <w:jc w:val="both"/>
        <w:rPr>
          <w:rFonts w:ascii="仿宋" w:hAnsi="仿宋" w:eastAsia="仿宋"/>
          <w:sz w:val="28"/>
          <w:szCs w:val="28"/>
        </w:rPr>
      </w:pPr>
      <w:r>
        <w:rPr>
          <w:rFonts w:ascii="仿宋" w:hAnsi="仿宋" w:eastAsia="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17BA048A">
      <w:pPr>
        <w:spacing w:line="420" w:lineRule="exact"/>
        <w:ind w:firstLine="560" w:firstLineChars="200"/>
        <w:jc w:val="both"/>
        <w:rPr>
          <w:rFonts w:ascii="仿宋" w:hAnsi="仿宋" w:eastAsia="仿宋"/>
          <w:sz w:val="28"/>
          <w:szCs w:val="28"/>
        </w:rPr>
      </w:pPr>
      <w:r>
        <w:rPr>
          <w:rFonts w:ascii="仿宋" w:hAnsi="仿宋" w:eastAsia="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564CD169">
      <w:pPr>
        <w:spacing w:line="420" w:lineRule="exact"/>
        <w:ind w:firstLine="560" w:firstLineChars="200"/>
        <w:jc w:val="both"/>
        <w:rPr>
          <w:rFonts w:ascii="仿宋" w:hAnsi="仿宋" w:eastAsia="仿宋"/>
          <w:sz w:val="28"/>
          <w:szCs w:val="28"/>
        </w:rPr>
      </w:pPr>
      <w:r>
        <w:rPr>
          <w:rFonts w:ascii="仿宋" w:hAnsi="仿宋" w:eastAsia="仿宋"/>
          <w:sz w:val="28"/>
          <w:szCs w:val="28"/>
        </w:rPr>
        <w:t>十五、特别声明：本拍品为破产财产，管理人通过淘宝网司法辅助服务平台进行拍卖。凡发现拍卖中有违规行为，可如实举报。</w:t>
      </w:r>
    </w:p>
    <w:p w14:paraId="5C0A9A96">
      <w:pPr>
        <w:spacing w:line="420" w:lineRule="exact"/>
        <w:ind w:firstLine="560" w:firstLineChars="200"/>
        <w:jc w:val="both"/>
        <w:rPr>
          <w:rFonts w:ascii="仿宋" w:hAnsi="仿宋" w:eastAsia="仿宋"/>
          <w:sz w:val="28"/>
          <w:szCs w:val="28"/>
        </w:rPr>
      </w:pPr>
      <w:r>
        <w:rPr>
          <w:rFonts w:ascii="仿宋" w:hAnsi="仿宋" w:eastAsia="仿宋"/>
          <w:sz w:val="28"/>
          <w:szCs w:val="28"/>
        </w:rPr>
        <w:t>十六、本次拍卖公告、拍卖须知由管理人行使解释权，其他未尽事宜，请向管理人咨询。</w:t>
      </w:r>
    </w:p>
    <w:p w14:paraId="1DD9467C">
      <w:pPr>
        <w:spacing w:line="420" w:lineRule="exact"/>
        <w:ind w:firstLine="560" w:firstLineChars="200"/>
        <w:jc w:val="both"/>
        <w:rPr>
          <w:rFonts w:ascii="仿宋" w:hAnsi="仿宋" w:eastAsia="仿宋"/>
          <w:sz w:val="28"/>
          <w:szCs w:val="28"/>
        </w:rPr>
      </w:pPr>
      <w:r>
        <w:rPr>
          <w:rFonts w:ascii="仿宋" w:hAnsi="仿宋" w:eastAsia="仿宋"/>
          <w:sz w:val="28"/>
          <w:szCs w:val="28"/>
        </w:rPr>
        <w:t>法院监督电话:0871-68697803</w:t>
      </w:r>
    </w:p>
    <w:p w14:paraId="3371BC4B">
      <w:pPr>
        <w:spacing w:line="420" w:lineRule="exact"/>
        <w:ind w:firstLine="560" w:firstLineChars="200"/>
        <w:jc w:val="both"/>
        <w:rPr>
          <w:rFonts w:ascii="仿宋" w:hAnsi="仿宋" w:eastAsia="仿宋"/>
          <w:sz w:val="28"/>
          <w:szCs w:val="28"/>
        </w:rPr>
      </w:pPr>
      <w:r>
        <w:rPr>
          <w:rFonts w:ascii="仿宋" w:hAnsi="仿宋" w:eastAsia="仿宋"/>
          <w:sz w:val="28"/>
          <w:szCs w:val="28"/>
        </w:rPr>
        <w:t>管理人咨询电话:</w:t>
      </w:r>
      <w:r>
        <w:rPr>
          <w:rFonts w:hint="eastAsia" w:ascii="仿宋" w:hAnsi="仿宋" w:eastAsia="仿宋"/>
          <w:sz w:val="28"/>
          <w:szCs w:val="28"/>
          <w:lang w:val="en-US" w:eastAsia="zh-CN"/>
        </w:rPr>
        <w:t>童总，</w:t>
      </w:r>
      <w:bookmarkStart w:id="2" w:name="_GoBack"/>
      <w:bookmarkEnd w:id="2"/>
      <w:r>
        <w:rPr>
          <w:rFonts w:hint="eastAsia" w:ascii="仿宋" w:hAnsi="仿宋" w:eastAsia="仿宋"/>
          <w:sz w:val="28"/>
          <w:szCs w:val="28"/>
        </w:rPr>
        <w:t>17387017205</w:t>
      </w:r>
      <w:r>
        <w:rPr>
          <w:rFonts w:ascii="仿宋" w:hAnsi="仿宋" w:eastAsia="仿宋"/>
          <w:sz w:val="28"/>
          <w:szCs w:val="28"/>
        </w:rPr>
        <w:t>。</w:t>
      </w:r>
    </w:p>
    <w:p w14:paraId="2D515A65">
      <w:pPr>
        <w:spacing w:line="420" w:lineRule="exact"/>
        <w:ind w:firstLine="560" w:firstLineChars="200"/>
        <w:jc w:val="both"/>
        <w:rPr>
          <w:rFonts w:ascii="仿宋" w:hAnsi="仿宋" w:eastAsia="仿宋"/>
          <w:sz w:val="28"/>
          <w:szCs w:val="28"/>
        </w:rPr>
      </w:pPr>
      <w:r>
        <w:rPr>
          <w:rFonts w:ascii="仿宋" w:hAnsi="仿宋" w:eastAsia="仿宋"/>
          <w:sz w:val="28"/>
          <w:szCs w:val="28"/>
        </w:rPr>
        <w:t>淘宝技术咨询:400-822-2870</w:t>
      </w:r>
    </w:p>
    <w:p w14:paraId="2505A3AB">
      <w:pPr>
        <w:spacing w:line="420" w:lineRule="exact"/>
        <w:ind w:firstLine="560" w:firstLineChars="200"/>
        <w:jc w:val="both"/>
        <w:rPr>
          <w:rFonts w:ascii="仿宋" w:hAnsi="仿宋" w:eastAsia="仿宋"/>
          <w:sz w:val="28"/>
          <w:szCs w:val="28"/>
        </w:rPr>
      </w:pPr>
      <w:r>
        <w:rPr>
          <w:rFonts w:ascii="仿宋" w:hAnsi="仿宋" w:eastAsia="仿宋"/>
          <w:sz w:val="28"/>
          <w:szCs w:val="28"/>
        </w:rPr>
        <w:t>若有疑问，可向管理人咨询</w:t>
      </w:r>
      <w:r>
        <w:rPr>
          <w:rFonts w:ascii="Calibri" w:hAnsi="Calibri" w:eastAsia="仿宋" w:cs="Calibri"/>
          <w:sz w:val="28"/>
          <w:szCs w:val="28"/>
        </w:rPr>
        <w:t> </w:t>
      </w:r>
    </w:p>
    <w:p w14:paraId="64649BD4">
      <w:pPr>
        <w:spacing w:line="420" w:lineRule="exact"/>
        <w:jc w:val="both"/>
        <w:rPr>
          <w:rFonts w:ascii="仿宋" w:hAnsi="仿宋" w:eastAsia="仿宋"/>
          <w:sz w:val="28"/>
          <w:szCs w:val="28"/>
        </w:rPr>
      </w:pPr>
      <w:r>
        <w:rPr>
          <w:rFonts w:ascii="Calibri" w:hAnsi="Calibri" w:eastAsia="仿宋" w:cs="Calibri"/>
          <w:sz w:val="28"/>
          <w:szCs w:val="28"/>
        </w:rPr>
        <w:t>      </w:t>
      </w:r>
    </w:p>
    <w:p w14:paraId="02BB0383">
      <w:pPr>
        <w:spacing w:line="420" w:lineRule="exact"/>
        <w:jc w:val="both"/>
        <w:rPr>
          <w:rFonts w:ascii="仿宋" w:hAnsi="仿宋" w:eastAsia="仿宋"/>
          <w:sz w:val="28"/>
          <w:szCs w:val="28"/>
        </w:rPr>
      </w:pPr>
      <w:r>
        <w:rPr>
          <w:rFonts w:ascii="Calibri" w:hAnsi="Calibri" w:eastAsia="仿宋" w:cs="Calibri"/>
          <w:sz w:val="28"/>
          <w:szCs w:val="28"/>
        </w:rPr>
        <w:t> </w:t>
      </w:r>
    </w:p>
    <w:p w14:paraId="5B8276DB">
      <w:pPr>
        <w:spacing w:line="420" w:lineRule="exact"/>
        <w:jc w:val="right"/>
        <w:rPr>
          <w:rFonts w:ascii="仿宋" w:hAnsi="仿宋" w:eastAsia="仿宋"/>
          <w:sz w:val="28"/>
          <w:szCs w:val="28"/>
        </w:rPr>
      </w:pPr>
      <w:r>
        <w:rPr>
          <w:rFonts w:ascii="仿宋" w:hAnsi="仿宋" w:eastAsia="仿宋"/>
          <w:sz w:val="28"/>
          <w:szCs w:val="28"/>
        </w:rPr>
        <w:t>永昌系三十一家公司管理人</w:t>
      </w:r>
    </w:p>
    <w:p w14:paraId="3716873A">
      <w:pPr>
        <w:spacing w:line="420" w:lineRule="exact"/>
        <w:jc w:val="right"/>
        <w:rPr>
          <w:rFonts w:ascii="仿宋" w:hAnsi="仿宋" w:eastAsia="仿宋"/>
          <w:sz w:val="28"/>
          <w:szCs w:val="28"/>
        </w:rPr>
      </w:pPr>
      <w:r>
        <w:rPr>
          <w:rFonts w:ascii="仿宋" w:hAnsi="仿宋" w:eastAsia="仿宋"/>
          <w:sz w:val="28"/>
          <w:szCs w:val="28"/>
        </w:rPr>
        <w:t>二〇二五年</w:t>
      </w:r>
      <w:r>
        <w:rPr>
          <w:rFonts w:hint="eastAsia" w:ascii="仿宋" w:hAnsi="仿宋" w:eastAsia="仿宋"/>
          <w:sz w:val="28"/>
          <w:szCs w:val="28"/>
        </w:rPr>
        <w:t>十</w:t>
      </w:r>
      <w:r>
        <w:rPr>
          <w:rFonts w:ascii="仿宋" w:hAnsi="仿宋" w:eastAsia="仿宋"/>
          <w:sz w:val="28"/>
          <w:szCs w:val="28"/>
        </w:rPr>
        <w:t>月</w:t>
      </w:r>
      <w:r>
        <w:rPr>
          <w:rFonts w:hint="eastAsia" w:ascii="仿宋" w:hAnsi="仿宋" w:eastAsia="仿宋"/>
          <w:sz w:val="28"/>
          <w:szCs w:val="28"/>
        </w:rPr>
        <w:t>二十</w:t>
      </w:r>
      <w:r>
        <w:rPr>
          <w:rFonts w:hint="eastAsia" w:ascii="仿宋" w:hAnsi="仿宋" w:eastAsia="仿宋"/>
          <w:sz w:val="28"/>
          <w:szCs w:val="28"/>
          <w:lang w:val="en-US" w:eastAsia="zh-CN"/>
        </w:rPr>
        <w:t>七</w:t>
      </w:r>
      <w:r>
        <w:rPr>
          <w:rFonts w:ascii="仿宋" w:hAnsi="仿宋" w:eastAsia="仿宋"/>
          <w:sz w:val="28"/>
          <w:szCs w:val="28"/>
        </w:rPr>
        <w:t>日</w:t>
      </w:r>
    </w:p>
    <w:p w14:paraId="0A8FC8FE">
      <w:pPr>
        <w:spacing w:line="420" w:lineRule="exact"/>
        <w:jc w:val="right"/>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等线 Light">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25B"/>
    <w:rsid w:val="0010341D"/>
    <w:rsid w:val="00522C1C"/>
    <w:rsid w:val="00A0525B"/>
    <w:rsid w:val="6DF94DF3"/>
    <w:rsid w:val="FBF7A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15">
    <w:name w:val="Hyperlink"/>
    <w:basedOn w:val="14"/>
    <w:unhideWhenUsed/>
    <w:uiPriority w:val="99"/>
    <w:rPr>
      <w:color w:val="0563C1" w:themeColor="hyperlink"/>
      <w:u w:val="single"/>
      <w14:textFill>
        <w14:solidFill>
          <w14:schemeClr w14:val="hlink"/>
        </w14:solidFill>
      </w14:textFill>
    </w:rPr>
  </w:style>
  <w:style w:type="character" w:customStyle="1" w:styleId="16">
    <w:name w:val="标题 1 字符"/>
    <w:basedOn w:val="14"/>
    <w:link w:val="2"/>
    <w:uiPriority w:val="9"/>
    <w:rPr>
      <w:rFonts w:asciiTheme="majorHAnsi" w:hAnsiTheme="majorHAnsi" w:eastAsiaTheme="majorEastAsia" w:cstheme="majorBidi"/>
      <w:color w:val="2F5597" w:themeColor="accent1" w:themeShade="BF"/>
      <w:sz w:val="48"/>
      <w:szCs w:val="48"/>
    </w:rPr>
  </w:style>
  <w:style w:type="character" w:customStyle="1" w:styleId="17">
    <w:name w:val="标题 3 字符"/>
    <w:basedOn w:val="14"/>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18">
    <w:name w:val="标题 2 字符"/>
    <w:basedOn w:val="14"/>
    <w:link w:val="3"/>
    <w:semiHidden/>
    <w:uiPriority w:val="9"/>
    <w:rPr>
      <w:rFonts w:asciiTheme="majorHAnsi" w:hAnsiTheme="majorHAnsi" w:eastAsiaTheme="majorEastAsia" w:cstheme="majorBidi"/>
      <w:color w:val="2F5597" w:themeColor="accent1" w:themeShade="BF"/>
      <w:sz w:val="40"/>
      <w:szCs w:val="40"/>
    </w:rPr>
  </w:style>
  <w:style w:type="character" w:customStyle="1" w:styleId="19">
    <w:name w:val="标题 4 字符"/>
    <w:basedOn w:val="14"/>
    <w:link w:val="5"/>
    <w:semiHidden/>
    <w:uiPriority w:val="9"/>
    <w:rPr>
      <w:rFonts w:cstheme="majorBidi"/>
      <w:color w:val="2F5597" w:themeColor="accent1" w:themeShade="BF"/>
      <w:sz w:val="28"/>
      <w:szCs w:val="28"/>
    </w:rPr>
  </w:style>
  <w:style w:type="character" w:customStyle="1" w:styleId="20">
    <w:name w:val="标题 5 字符"/>
    <w:basedOn w:val="14"/>
    <w:link w:val="6"/>
    <w:semiHidden/>
    <w:uiPriority w:val="9"/>
    <w:rPr>
      <w:rFonts w:cstheme="majorBidi"/>
      <w:color w:val="2F5597" w:themeColor="accent1" w:themeShade="BF"/>
      <w:sz w:val="24"/>
    </w:rPr>
  </w:style>
  <w:style w:type="character" w:customStyle="1" w:styleId="21">
    <w:name w:val="标题 6 字符"/>
    <w:basedOn w:val="14"/>
    <w:link w:val="7"/>
    <w:semiHidden/>
    <w:uiPriority w:val="9"/>
    <w:rPr>
      <w:rFonts w:cstheme="majorBidi"/>
      <w:b/>
      <w:bCs/>
      <w:color w:val="2F5597" w:themeColor="accent1" w:themeShade="BF"/>
    </w:rPr>
  </w:style>
  <w:style w:type="character" w:customStyle="1" w:styleId="22">
    <w:name w:val="标题 7 字符"/>
    <w:basedOn w:val="14"/>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4"/>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4"/>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4"/>
    <w:link w:val="12"/>
    <w:uiPriority w:val="10"/>
    <w:rPr>
      <w:rFonts w:asciiTheme="majorHAnsi" w:hAnsiTheme="majorHAnsi" w:eastAsiaTheme="majorEastAsia" w:cstheme="majorBidi"/>
      <w:spacing w:val="-10"/>
      <w:kern w:val="28"/>
      <w:sz w:val="56"/>
      <w:szCs w:val="56"/>
    </w:rPr>
  </w:style>
  <w:style w:type="character" w:customStyle="1" w:styleId="26">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4"/>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4"/>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明显引用 字符"/>
    <w:basedOn w:val="14"/>
    <w:link w:val="31"/>
    <w:qFormat/>
    <w:uiPriority w:val="30"/>
    <w:rPr>
      <w:i/>
      <w:iCs/>
      <w:color w:val="2F5597" w:themeColor="accent1" w:themeShade="BF"/>
    </w:rPr>
  </w:style>
  <w:style w:type="character" w:customStyle="1" w:styleId="33">
    <w:name w:val="Intense Reference"/>
    <w:basedOn w:val="14"/>
    <w:qFormat/>
    <w:uiPriority w:val="32"/>
    <w:rPr>
      <w:b/>
      <w:bCs/>
      <w:smallCaps/>
      <w:color w:val="2F5597" w:themeColor="accent1" w:themeShade="BF"/>
      <w:spacing w:val="5"/>
    </w:rPr>
  </w:style>
  <w:style w:type="character" w:customStyle="1" w:styleId="34">
    <w:name w:val="Unresolved Mention"/>
    <w:basedOn w:val="1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2576</Words>
  <Characters>2704</Characters>
  <Lines>20</Lines>
  <Paragraphs>5</Paragraphs>
  <TotalTime>3</TotalTime>
  <ScaleCrop>false</ScaleCrop>
  <LinksUpToDate>false</LinksUpToDate>
  <CharactersWithSpaces>2714</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2025-10-23T10:15:00Z</dcterms:created>
  <dc:creator>xiaoya deng</dc:creator>
  <cp:lastModifiedBy>范星儿</cp:lastModifiedBy>
  <dcterms:modified xsi:type="dcterms:W3CDTF">2025-10-27T11:26:29Z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eyJoZGlkIjoiNGIxZWE1YjFjYzA1ZGE1MGRhNTM1Mzk0ZjE4NzA1ZWMiLCJ1c2VySWQiOiIyNDUwOTM3NzMifQ==</vt:lpwstr>
  </property>
  <property fmtid="{D5CDD505-2E9C-101B-9397-08002B2CF9AE}" pid="3" name="KSOProductBuildVer">
    <vt:lpwstr>2052-12.1.23141.23141</vt:lpwstr>
  </property>
  <property fmtid="{D5CDD505-2E9C-101B-9397-08002B2CF9AE}" pid="4" name="ICV">
    <vt:lpwstr>A064BF9C34BF4C9AACEA661BA7149C29_12</vt:lpwstr>
  </property>
</Properties>
</file>