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132C13">
      <w:pPr>
        <w:spacing w:line="420" w:lineRule="exact"/>
        <w:jc w:val="center"/>
        <w:rPr>
          <w:rFonts w:ascii="仿宋" w:hAnsi="仿宋" w:eastAsia="仿宋"/>
          <w:sz w:val="28"/>
          <w:szCs w:val="28"/>
        </w:rPr>
      </w:pPr>
      <w:r>
        <w:rPr>
          <w:rFonts w:ascii="仿宋" w:hAnsi="仿宋" w:eastAsia="仿宋"/>
          <w:b/>
          <w:bCs/>
          <w:sz w:val="28"/>
          <w:szCs w:val="28"/>
        </w:rPr>
        <w:t>标的物介绍</w:t>
      </w:r>
    </w:p>
    <w:p w14:paraId="747D6DF8">
      <w:pPr>
        <w:numPr>
          <w:ilvl w:val="0"/>
          <w:numId w:val="1"/>
        </w:numPr>
        <w:spacing w:line="420" w:lineRule="exact"/>
        <w:ind w:firstLine="560" w:firstLineChars="200"/>
        <w:jc w:val="both"/>
        <w:rPr>
          <w:rFonts w:hint="eastAsia" w:ascii="仿宋" w:hAnsi="仿宋" w:eastAsia="仿宋"/>
          <w:sz w:val="28"/>
          <w:szCs w:val="28"/>
          <w:lang w:val="en-US" w:eastAsia="zh-CN"/>
        </w:rPr>
      </w:pPr>
      <w:r>
        <w:rPr>
          <w:rFonts w:hint="eastAsia" w:ascii="仿宋" w:hAnsi="仿宋" w:eastAsia="仿宋"/>
          <w:sz w:val="28"/>
          <w:szCs w:val="28"/>
          <w:lang w:val="en-US" w:eastAsia="zh-CN"/>
        </w:rPr>
        <w:t>基本情况</w:t>
      </w:r>
    </w:p>
    <w:p w14:paraId="548EA1ED">
      <w:pPr>
        <w:numPr>
          <w:numId w:val="0"/>
        </w:numPr>
        <w:spacing w:line="420" w:lineRule="exact"/>
        <w:ind w:firstLine="560" w:firstLineChars="200"/>
        <w:jc w:val="both"/>
        <w:rPr>
          <w:rFonts w:ascii="仿宋" w:hAnsi="仿宋" w:eastAsia="仿宋"/>
          <w:sz w:val="28"/>
          <w:szCs w:val="28"/>
        </w:rPr>
      </w:pPr>
      <w:r>
        <w:rPr>
          <w:rFonts w:ascii="仿宋" w:hAnsi="仿宋" w:eastAsia="仿宋"/>
          <w:sz w:val="28"/>
          <w:szCs w:val="28"/>
        </w:rPr>
        <w:t>普洱市景东彝族自治县大街乡景东里竹山铁矿有限公司厂区的一套磨机机器设备及配件资产。评估资产具体为:</w:t>
      </w:r>
    </w:p>
    <w:p w14:paraId="7EE6F6CE">
      <w:pPr>
        <w:spacing w:line="420" w:lineRule="exact"/>
        <w:ind w:firstLine="560" w:firstLineChars="200"/>
        <w:jc w:val="both"/>
        <w:rPr>
          <w:rFonts w:ascii="仿宋" w:hAnsi="仿宋" w:eastAsia="仿宋"/>
          <w:sz w:val="28"/>
          <w:szCs w:val="28"/>
        </w:rPr>
      </w:pPr>
      <w:r>
        <w:rPr>
          <w:rFonts w:ascii="仿宋" w:hAnsi="仿宋" w:eastAsia="仿宋"/>
          <w:sz w:val="28"/>
          <w:szCs w:val="28"/>
        </w:rPr>
        <w:t>铁矿石磨机及配件一套，型号:Φ5500*8500，整机总重约530吨，设计产能620T/h，生产制造商:中信重工机械股份有限公司。包括:筒体及配套组件:大小齿轮(轴承);配套同步电机一台，型号:TDMK4500-30，功率4500KW;减速机一台，型号:ZZF840，输入功率37KW，传动比1131;磨机静压轴承液压站一套，型号:E691G，油箱容积3500L，额定压力12/0.63MPa，额定流量140x2/420L/min;进料、出料组(部)件;控制部件等。约于2013年 10月购置运抵生产厂区，完成筒体部分、主电机、减速机、液压站配套机组等主要部分机组(件)的安装，未完成进料组件、出料组件等部件的配套整体安装，未调试运转投入生产运营实际使用。</w:t>
      </w:r>
    </w:p>
    <w:p w14:paraId="7D974ABF">
      <w:pPr>
        <w:spacing w:line="420" w:lineRule="exact"/>
        <w:ind w:firstLine="560" w:firstLineChars="200"/>
        <w:jc w:val="both"/>
        <w:rPr>
          <w:rFonts w:ascii="仿宋" w:hAnsi="仿宋" w:eastAsia="仿宋"/>
          <w:sz w:val="28"/>
          <w:szCs w:val="28"/>
        </w:rPr>
      </w:pPr>
      <w:r>
        <w:rPr>
          <w:rFonts w:ascii="仿宋" w:hAnsi="仿宋" w:eastAsia="仿宋"/>
          <w:sz w:val="28"/>
          <w:szCs w:val="28"/>
        </w:rPr>
        <w:t>经现场勘察调查，铁矿石磨机及配件，露天安装(置)于进厂区大门左前方的现浇钢混设备基础上，筒体及大小轴承、齿圈均无遮盖，外观整体陈旧，有漆面部分局部脱漆带污(锈)迹，无漆部分已生锈;主电机及减速机配套设备装置设置无围护钢架、压型瓦遮雨棚基本完整;磨机静压轴承液压站动力电机(泵)设置无围护钢架、压型瓦遮雨棚已局部损坏;部分未安装机件(架)露天散落筒体基础旁杂草中，其他配件露天放置或放置厂房内，截止评估基准日待评估铁矿石磨机所在厂区安排人员看护，未完成进料组件、出料组件等部件的配套整体安装，未调试运转投入生产运营实际使用。</w:t>
      </w:r>
    </w:p>
    <w:p w14:paraId="3CB6CF51">
      <w:pPr>
        <w:numPr>
          <w:ilvl w:val="0"/>
          <w:numId w:val="1"/>
        </w:numPr>
        <w:spacing w:line="420" w:lineRule="exact"/>
        <w:ind w:left="0" w:leftChars="0" w:firstLine="560" w:firstLineChars="200"/>
        <w:jc w:val="both"/>
        <w:rPr>
          <w:rFonts w:hint="eastAsia" w:ascii="仿宋" w:hAnsi="仿宋" w:eastAsia="仿宋"/>
          <w:sz w:val="28"/>
          <w:szCs w:val="28"/>
          <w:lang w:val="en-US" w:eastAsia="zh-CN"/>
        </w:rPr>
      </w:pPr>
      <w:r>
        <w:rPr>
          <w:rFonts w:hint="eastAsia" w:ascii="仿宋" w:hAnsi="仿宋" w:eastAsia="仿宋"/>
          <w:sz w:val="28"/>
          <w:szCs w:val="28"/>
          <w:lang w:val="en-US" w:eastAsia="zh-CN"/>
        </w:rPr>
        <w:t>其它</w:t>
      </w:r>
    </w:p>
    <w:p w14:paraId="0768D9DB">
      <w:pPr>
        <w:widowControl w:val="0"/>
        <w:numPr>
          <w:numId w:val="0"/>
        </w:numPr>
        <w:spacing w:after="160" w:line="420" w:lineRule="exact"/>
        <w:ind w:firstLine="560" w:firstLineChars="200"/>
        <w:jc w:val="both"/>
        <w:rPr>
          <w:rFonts w:hint="default" w:ascii="仿宋" w:hAnsi="仿宋" w:eastAsia="仿宋" w:cstheme="minorBidi"/>
          <w:kern w:val="2"/>
          <w:sz w:val="28"/>
          <w:szCs w:val="28"/>
          <w:vertAlign w:val="baseline"/>
          <w:lang w:val="en-US" w:eastAsia="zh-CN" w:bidi="ar-SA"/>
          <w14:ligatures w14:val="standardContextual"/>
        </w:rPr>
      </w:pPr>
      <w:r>
        <w:rPr>
          <w:rFonts w:hint="default" w:ascii="仿宋" w:hAnsi="仿宋" w:eastAsia="仿宋" w:cstheme="minorBidi"/>
          <w:kern w:val="2"/>
          <w:sz w:val="28"/>
          <w:szCs w:val="28"/>
          <w:vertAlign w:val="baseline"/>
          <w:lang w:val="en-US" w:eastAsia="zh-CN" w:bidi="ar-SA"/>
          <w14:ligatures w14:val="standardContextual"/>
        </w:rPr>
        <w:t>1.标的物以实物现状为准，管理人不承担本标的任何瑕疵担保责任（包括</w:t>
      </w:r>
      <w:r>
        <w:rPr>
          <w:rFonts w:hint="eastAsia" w:ascii="仿宋" w:hAnsi="仿宋" w:eastAsia="仿宋" w:cstheme="minorBidi"/>
          <w:kern w:val="2"/>
          <w:sz w:val="28"/>
          <w:szCs w:val="28"/>
          <w:vertAlign w:val="baseline"/>
          <w:lang w:val="en-US" w:eastAsia="zh-CN" w:bidi="ar-SA"/>
          <w14:ligatures w14:val="standardContextual"/>
        </w:rPr>
        <w:t>设备完整性</w:t>
      </w:r>
      <w:r>
        <w:rPr>
          <w:rFonts w:hint="default" w:ascii="仿宋" w:hAnsi="仿宋" w:eastAsia="仿宋" w:cstheme="minorBidi"/>
          <w:kern w:val="2"/>
          <w:sz w:val="28"/>
          <w:szCs w:val="28"/>
          <w:vertAlign w:val="baseline"/>
          <w:lang w:val="en-US" w:eastAsia="zh-CN" w:bidi="ar-SA"/>
          <w14:ligatures w14:val="standardContextual"/>
        </w:rPr>
        <w:t>、</w:t>
      </w:r>
      <w:r>
        <w:rPr>
          <w:rFonts w:hint="eastAsia" w:ascii="仿宋" w:hAnsi="仿宋" w:eastAsia="仿宋" w:cstheme="minorBidi"/>
          <w:kern w:val="2"/>
          <w:sz w:val="28"/>
          <w:szCs w:val="28"/>
          <w:vertAlign w:val="baseline"/>
          <w:lang w:val="en-US" w:eastAsia="zh-CN" w:bidi="ar-SA"/>
          <w14:ligatures w14:val="standardContextual"/>
        </w:rPr>
        <w:t>功能可靠性</w:t>
      </w:r>
      <w:r>
        <w:rPr>
          <w:rFonts w:hint="default" w:ascii="仿宋" w:hAnsi="仿宋" w:eastAsia="仿宋" w:cstheme="minorBidi"/>
          <w:kern w:val="2"/>
          <w:sz w:val="28"/>
          <w:szCs w:val="28"/>
          <w:vertAlign w:val="baseline"/>
          <w:lang w:val="en-US" w:eastAsia="zh-CN" w:bidi="ar-SA"/>
          <w14:ligatures w14:val="standardContextual"/>
        </w:rPr>
        <w:t>等），均按现状进行拍卖。有意者请亲自实地看样，未看样的竞买人视为对本标的实物现状的确认，责任自负。</w:t>
      </w:r>
    </w:p>
    <w:p w14:paraId="131BEBE5">
      <w:pPr>
        <w:widowControl w:val="0"/>
        <w:numPr>
          <w:numId w:val="0"/>
        </w:numPr>
        <w:spacing w:after="160" w:line="420" w:lineRule="exact"/>
        <w:ind w:left="0" w:leftChars="0" w:firstLine="560" w:firstLineChars="0"/>
        <w:jc w:val="both"/>
        <w:rPr>
          <w:rFonts w:hint="default" w:ascii="仿宋" w:hAnsi="仿宋" w:eastAsia="仿宋" w:cstheme="minorBidi"/>
          <w:kern w:val="2"/>
          <w:sz w:val="28"/>
          <w:szCs w:val="28"/>
          <w:vertAlign w:val="baseline"/>
          <w:lang w:val="en-US" w:eastAsia="zh-CN" w:bidi="ar-SA"/>
          <w14:ligatures w14:val="standardContextual"/>
        </w:rPr>
      </w:pPr>
      <w:r>
        <w:rPr>
          <w:rFonts w:hint="default" w:ascii="仿宋" w:hAnsi="仿宋" w:eastAsia="仿宋" w:cstheme="minorBidi"/>
          <w:kern w:val="2"/>
          <w:sz w:val="28"/>
          <w:szCs w:val="28"/>
          <w:vertAlign w:val="baseline"/>
          <w:lang w:val="en-US" w:eastAsia="zh-CN" w:bidi="ar-SA"/>
          <w14:ligatures w14:val="standardContextual"/>
        </w:rPr>
        <w:t>2.拍卖成交后</w:t>
      </w:r>
      <w:r>
        <w:rPr>
          <w:rFonts w:hint="eastAsia" w:ascii="仿宋" w:hAnsi="仿宋" w:eastAsia="仿宋" w:cstheme="minorBidi"/>
          <w:kern w:val="2"/>
          <w:sz w:val="28"/>
          <w:szCs w:val="28"/>
          <w:vertAlign w:val="baseline"/>
          <w:lang w:val="en-US" w:eastAsia="zh-CN" w:bidi="ar-SA"/>
          <w14:ligatures w14:val="standardContextual"/>
        </w:rPr>
        <w:t>管理人</w:t>
      </w:r>
      <w:r>
        <w:rPr>
          <w:rFonts w:hint="default" w:ascii="仿宋" w:hAnsi="仿宋" w:eastAsia="仿宋" w:cstheme="minorBidi"/>
          <w:kern w:val="2"/>
          <w:sz w:val="28"/>
          <w:szCs w:val="28"/>
          <w:vertAlign w:val="baseline"/>
          <w:lang w:val="en-US" w:eastAsia="zh-CN" w:bidi="ar-SA"/>
          <w14:ligatures w14:val="standardContextual"/>
        </w:rPr>
        <w:t>不提供</w:t>
      </w:r>
      <w:r>
        <w:rPr>
          <w:rFonts w:hint="eastAsia" w:ascii="仿宋" w:hAnsi="仿宋" w:eastAsia="仿宋" w:cstheme="minorBidi"/>
          <w:kern w:val="2"/>
          <w:sz w:val="28"/>
          <w:szCs w:val="28"/>
          <w:vertAlign w:val="baseline"/>
          <w:lang w:val="en-US" w:eastAsia="zh-CN" w:bidi="ar-SA"/>
          <w14:ligatures w14:val="standardContextual"/>
        </w:rPr>
        <w:t>拆卸及</w:t>
      </w:r>
      <w:r>
        <w:rPr>
          <w:rFonts w:hint="default" w:ascii="仿宋" w:hAnsi="仿宋" w:eastAsia="仿宋" w:cstheme="minorBidi"/>
          <w:kern w:val="2"/>
          <w:sz w:val="28"/>
          <w:szCs w:val="28"/>
          <w:vertAlign w:val="baseline"/>
          <w:lang w:val="en-US" w:eastAsia="zh-CN" w:bidi="ar-SA"/>
          <w14:ligatures w14:val="standardContextual"/>
        </w:rPr>
        <w:t>运输服务；移交时所产生的过磅费、装卸费、运输费及其他所有费用均由买受人自行承担。</w:t>
      </w:r>
      <w:r>
        <w:rPr>
          <w:rFonts w:hint="eastAsia" w:ascii="仿宋" w:hAnsi="仿宋" w:eastAsia="仿宋" w:cstheme="minorBidi"/>
          <w:kern w:val="2"/>
          <w:sz w:val="28"/>
          <w:szCs w:val="28"/>
          <w:vertAlign w:val="baseline"/>
          <w:lang w:val="en-US" w:eastAsia="zh-CN" w:bidi="ar-SA"/>
          <w14:ligatures w14:val="standardContextual"/>
        </w:rPr>
        <w:t>在拆卸、运输过程中确保安全，如出现安全事故所有责任均有买受人自行承担。</w:t>
      </w:r>
    </w:p>
    <w:p w14:paraId="47847760">
      <w:pPr>
        <w:widowControl w:val="0"/>
        <w:numPr>
          <w:numId w:val="0"/>
        </w:numPr>
        <w:spacing w:after="160" w:line="420" w:lineRule="exact"/>
        <w:ind w:firstLine="560" w:firstLineChars="200"/>
        <w:jc w:val="both"/>
        <w:rPr>
          <w:rFonts w:hint="eastAsia" w:ascii="仿宋" w:hAnsi="仿宋" w:eastAsia="仿宋" w:cstheme="minorBidi"/>
          <w:kern w:val="2"/>
          <w:sz w:val="28"/>
          <w:szCs w:val="28"/>
          <w:vertAlign w:val="baseline"/>
          <w:lang w:val="en-US" w:eastAsia="zh-CN" w:bidi="ar-SA"/>
          <w14:ligatures w14:val="standardContextual"/>
        </w:rPr>
      </w:pPr>
      <w:r>
        <w:rPr>
          <w:rFonts w:hint="eastAsia" w:ascii="仿宋" w:hAnsi="仿宋" w:eastAsia="仿宋" w:cstheme="minorBidi"/>
          <w:kern w:val="2"/>
          <w:sz w:val="28"/>
          <w:szCs w:val="28"/>
          <w:vertAlign w:val="baseline"/>
          <w:lang w:val="en-US" w:eastAsia="zh-CN" w:bidi="ar-SA"/>
          <w14:ligatures w14:val="standardContextual"/>
        </w:rPr>
        <w:t>3、买受人需于</w:t>
      </w:r>
      <w:bookmarkStart w:id="0" w:name="_GoBack"/>
      <w:bookmarkEnd w:id="0"/>
      <w:r>
        <w:rPr>
          <w:rFonts w:hint="eastAsia" w:ascii="仿宋" w:hAnsi="仿宋" w:eastAsia="仿宋" w:cstheme="minorBidi"/>
          <w:kern w:val="2"/>
          <w:sz w:val="28"/>
          <w:szCs w:val="28"/>
          <w:vertAlign w:val="baseline"/>
          <w:lang w:val="en-US" w:eastAsia="zh-CN" w:bidi="ar-SA"/>
          <w14:ligatures w14:val="standardContextual"/>
        </w:rPr>
        <w:t>成交之日起15日内将设备拆卸运出，腾空场地，逾期不腾空场地造成的一切费用和损失由买受人自行承担。</w:t>
      </w:r>
    </w:p>
    <w:p w14:paraId="6CCA7AC8">
      <w:pPr>
        <w:widowControl w:val="0"/>
        <w:numPr>
          <w:numId w:val="0"/>
        </w:numPr>
        <w:spacing w:after="160" w:line="420" w:lineRule="exact"/>
        <w:ind w:firstLine="560" w:firstLineChars="200"/>
        <w:jc w:val="both"/>
        <w:rPr>
          <w:rFonts w:hint="default" w:ascii="仿宋" w:hAnsi="仿宋" w:eastAsia="仿宋" w:cstheme="minorBidi"/>
          <w:kern w:val="2"/>
          <w:sz w:val="28"/>
          <w:szCs w:val="28"/>
          <w:vertAlign w:val="baseline"/>
          <w:lang w:val="en-US" w:eastAsia="zh-CN" w:bidi="ar-SA"/>
          <w14:ligatures w14:val="standardContextual"/>
        </w:rPr>
      </w:pPr>
      <w:r>
        <w:rPr>
          <w:rFonts w:hint="eastAsia" w:ascii="仿宋" w:hAnsi="仿宋" w:eastAsia="仿宋" w:cstheme="minorBidi"/>
          <w:kern w:val="2"/>
          <w:sz w:val="28"/>
          <w:szCs w:val="28"/>
          <w:vertAlign w:val="baseline"/>
          <w:lang w:val="en-US" w:eastAsia="zh-CN" w:bidi="ar-SA"/>
          <w14:ligatures w14:val="standardContextual"/>
        </w:rPr>
        <w:t>4、因设备所在地距离国道较远，设备体积大、重量重、</w:t>
      </w:r>
      <w:r>
        <w:rPr>
          <w:rFonts w:hint="eastAsia" w:ascii="仿宋" w:hAnsi="仿宋" w:eastAsia="仿宋" w:cstheme="minorBidi"/>
          <w:kern w:val="2"/>
          <w:sz w:val="28"/>
          <w:szCs w:val="28"/>
          <w:vertAlign w:val="baseline"/>
          <w:lang w:val="en-US" w:eastAsia="zh-CN" w:bidi="ar-SA"/>
          <w14:ligatures w14:val="standardContextual"/>
        </w:rPr>
        <w:t>部分运输路段道路狭窄、经过窄桥，</w:t>
      </w:r>
      <w:r>
        <w:rPr>
          <w:rFonts w:hint="eastAsia" w:ascii="仿宋" w:hAnsi="仿宋" w:eastAsia="仿宋" w:cstheme="minorBidi"/>
          <w:kern w:val="2"/>
          <w:sz w:val="28"/>
          <w:szCs w:val="28"/>
          <w:vertAlign w:val="baseline"/>
          <w:lang w:val="en-US" w:eastAsia="zh-CN" w:bidi="ar-SA"/>
          <w14:ligatures w14:val="standardContextual"/>
        </w:rPr>
        <w:t>买受人务必提前做好运输路线勘测</w:t>
      </w:r>
      <w:r>
        <w:rPr>
          <w:rFonts w:hint="eastAsia" w:ascii="仿宋" w:hAnsi="仿宋" w:eastAsia="仿宋" w:cstheme="minorBidi"/>
          <w:kern w:val="2"/>
          <w:sz w:val="28"/>
          <w:szCs w:val="28"/>
          <w:vertAlign w:val="baseline"/>
          <w:lang w:val="en-US" w:eastAsia="zh-CN" w:bidi="ar-SA"/>
          <w14:ligatures w14:val="standardContextual"/>
        </w:rPr>
        <w:t>。买受人可能</w:t>
      </w:r>
      <w:r>
        <w:rPr>
          <w:rFonts w:hint="eastAsia" w:ascii="仿宋" w:hAnsi="仿宋" w:eastAsia="仿宋" w:cstheme="minorBidi"/>
          <w:kern w:val="2"/>
          <w:sz w:val="28"/>
          <w:szCs w:val="28"/>
          <w:vertAlign w:val="baseline"/>
          <w:lang w:val="en-US" w:eastAsia="zh-CN" w:bidi="ar-SA"/>
          <w14:ligatures w14:val="standardContextual"/>
        </w:rPr>
        <w:t>需与村民协商拆除部分房屋、电力线路、加固桥梁才能安全通行。由此产生的相关费用由买受人自行承担。</w:t>
      </w:r>
    </w:p>
    <w:p w14:paraId="60963475">
      <w:pPr>
        <w:spacing w:line="420" w:lineRule="exact"/>
        <w:ind w:firstLine="560" w:firstLineChars="200"/>
        <w:jc w:val="both"/>
        <w:rPr>
          <w:rFonts w:ascii="仿宋" w:hAnsi="仿宋" w:eastAsia="仿宋"/>
          <w:sz w:val="28"/>
          <w:szCs w:val="28"/>
        </w:rPr>
      </w:pPr>
    </w:p>
    <w:p w14:paraId="5A55AC21">
      <w:pPr>
        <w:spacing w:line="420" w:lineRule="exact"/>
        <w:jc w:val="both"/>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STFangsong">
    <w:altName w:val="宋体"/>
    <w:panose1 w:val="02010600040101010101"/>
    <w:charset w:val="86"/>
    <w:family w:val="auto"/>
    <w:pitch w:val="default"/>
    <w:sig w:usb0="00000000" w:usb1="0000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8DE3B1"/>
    <w:multiLevelType w:val="singleLevel"/>
    <w:tmpl w:val="528DE3B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1D4"/>
    <w:rsid w:val="006A51D4"/>
    <w:rsid w:val="00947381"/>
    <w:rsid w:val="00D716A8"/>
    <w:rsid w:val="19E73463"/>
    <w:rsid w:val="48F702A0"/>
    <w:rsid w:val="4BF076A6"/>
    <w:rsid w:val="77FE6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6"/>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8"/>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19"/>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0"/>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1"/>
    <w:semiHidden/>
    <w:unhideWhenUsed/>
    <w:qFormat/>
    <w:uiPriority w:val="9"/>
    <w:pPr>
      <w:keepNext/>
      <w:keepLines/>
      <w:spacing w:before="40" w:after="0"/>
      <w:outlineLvl w:val="5"/>
    </w:pPr>
    <w:rPr>
      <w:rFonts w:cstheme="majorBidi"/>
      <w:b/>
      <w:bCs/>
      <w:color w:val="2F5597" w:themeColor="accent1" w:themeShade="BF"/>
    </w:rPr>
  </w:style>
  <w:style w:type="paragraph" w:styleId="8">
    <w:name w:val="heading 7"/>
    <w:basedOn w:val="1"/>
    <w:next w:val="1"/>
    <w:link w:val="22"/>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4"/>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5">
    <w:name w:val="Default Paragraph Font"/>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11">
    <w:name w:val="Subtitle"/>
    <w:basedOn w:val="1"/>
    <w:next w:val="1"/>
    <w:link w:val="26"/>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Title"/>
    <w:basedOn w:val="1"/>
    <w:next w:val="1"/>
    <w:link w:val="25"/>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标题 1 字符"/>
    <w:basedOn w:val="15"/>
    <w:link w:val="2"/>
    <w:uiPriority w:val="9"/>
    <w:rPr>
      <w:rFonts w:asciiTheme="majorHAnsi" w:hAnsiTheme="majorHAnsi" w:eastAsiaTheme="majorEastAsia" w:cstheme="majorBidi"/>
      <w:color w:val="2F5597" w:themeColor="accent1" w:themeShade="BF"/>
      <w:sz w:val="48"/>
      <w:szCs w:val="48"/>
    </w:rPr>
  </w:style>
  <w:style w:type="character" w:customStyle="1" w:styleId="17">
    <w:name w:val="标题 2 字符"/>
    <w:basedOn w:val="15"/>
    <w:link w:val="3"/>
    <w:semiHidden/>
    <w:uiPriority w:val="9"/>
    <w:rPr>
      <w:rFonts w:asciiTheme="majorHAnsi" w:hAnsiTheme="majorHAnsi" w:eastAsiaTheme="majorEastAsia" w:cstheme="majorBidi"/>
      <w:color w:val="2F5597" w:themeColor="accent1" w:themeShade="BF"/>
      <w:sz w:val="40"/>
      <w:szCs w:val="40"/>
    </w:rPr>
  </w:style>
  <w:style w:type="character" w:customStyle="1" w:styleId="18">
    <w:name w:val="标题 3 字符"/>
    <w:basedOn w:val="15"/>
    <w:link w:val="4"/>
    <w:semiHidden/>
    <w:uiPriority w:val="9"/>
    <w:rPr>
      <w:rFonts w:asciiTheme="majorHAnsi" w:hAnsiTheme="majorHAnsi" w:eastAsiaTheme="majorEastAsia" w:cstheme="majorBidi"/>
      <w:color w:val="2F5597" w:themeColor="accent1" w:themeShade="BF"/>
      <w:sz w:val="32"/>
      <w:szCs w:val="32"/>
    </w:rPr>
  </w:style>
  <w:style w:type="character" w:customStyle="1" w:styleId="19">
    <w:name w:val="标题 4 字符"/>
    <w:basedOn w:val="15"/>
    <w:link w:val="5"/>
    <w:semiHidden/>
    <w:uiPriority w:val="9"/>
    <w:rPr>
      <w:rFonts w:cstheme="majorBidi"/>
      <w:color w:val="2F5597" w:themeColor="accent1" w:themeShade="BF"/>
      <w:sz w:val="28"/>
      <w:szCs w:val="28"/>
    </w:rPr>
  </w:style>
  <w:style w:type="character" w:customStyle="1" w:styleId="20">
    <w:name w:val="标题 5 字符"/>
    <w:basedOn w:val="15"/>
    <w:link w:val="6"/>
    <w:semiHidden/>
    <w:uiPriority w:val="9"/>
    <w:rPr>
      <w:rFonts w:cstheme="majorBidi"/>
      <w:color w:val="2F5597" w:themeColor="accent1" w:themeShade="BF"/>
      <w:sz w:val="24"/>
    </w:rPr>
  </w:style>
  <w:style w:type="character" w:customStyle="1" w:styleId="21">
    <w:name w:val="标题 6 字符"/>
    <w:basedOn w:val="15"/>
    <w:link w:val="7"/>
    <w:semiHidden/>
    <w:uiPriority w:val="9"/>
    <w:rPr>
      <w:rFonts w:cstheme="majorBidi"/>
      <w:b/>
      <w:bCs/>
      <w:color w:val="2F5597" w:themeColor="accent1" w:themeShade="BF"/>
    </w:rPr>
  </w:style>
  <w:style w:type="character" w:customStyle="1" w:styleId="22">
    <w:name w:val="标题 7 字符"/>
    <w:basedOn w:val="15"/>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3">
    <w:name w:val="标题 8 字符"/>
    <w:basedOn w:val="15"/>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4">
    <w:name w:val="标题 9 字符"/>
    <w:basedOn w:val="15"/>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字符"/>
    <w:basedOn w:val="15"/>
    <w:link w:val="12"/>
    <w:uiPriority w:val="10"/>
    <w:rPr>
      <w:rFonts w:asciiTheme="majorHAnsi" w:hAnsiTheme="majorHAnsi" w:eastAsiaTheme="majorEastAsia" w:cstheme="majorBidi"/>
      <w:spacing w:val="-10"/>
      <w:kern w:val="28"/>
      <w:sz w:val="56"/>
      <w:szCs w:val="56"/>
    </w:rPr>
  </w:style>
  <w:style w:type="character" w:customStyle="1" w:styleId="26">
    <w:name w:val="副标题 字符"/>
    <w:basedOn w:val="15"/>
    <w:link w:val="11"/>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引用 字符"/>
    <w:basedOn w:val="15"/>
    <w:link w:val="27"/>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Intense Emphasis"/>
    <w:basedOn w:val="15"/>
    <w:qFormat/>
    <w:uiPriority w:val="21"/>
    <w:rPr>
      <w:i/>
      <w:iCs/>
      <w:color w:val="2F5597" w:themeColor="accent1" w:themeShade="BF"/>
    </w:rPr>
  </w:style>
  <w:style w:type="paragraph" w:styleId="31">
    <w:name w:val="Intense Quote"/>
    <w:basedOn w:val="1"/>
    <w:next w:val="1"/>
    <w:link w:val="32"/>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2">
    <w:name w:val="明显引用 字符"/>
    <w:basedOn w:val="15"/>
    <w:link w:val="31"/>
    <w:uiPriority w:val="30"/>
    <w:rPr>
      <w:i/>
      <w:iCs/>
      <w:color w:val="2F5597" w:themeColor="accent1" w:themeShade="BF"/>
    </w:rPr>
  </w:style>
  <w:style w:type="character" w:customStyle="1" w:styleId="33">
    <w:name w:val="Intense Reference"/>
    <w:basedOn w:val="15"/>
    <w:qFormat/>
    <w:uiPriority w:val="32"/>
    <w:rPr>
      <w:b/>
      <w:bCs/>
      <w:smallCaps/>
      <w:color w:val="2F5597" w:themeColor="accent1" w:themeShade="BF"/>
      <w:spacing w:val="5"/>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558</Words>
  <Characters>642</Characters>
  <Lines>4</Lines>
  <Paragraphs>1</Paragraphs>
  <TotalTime>2</TotalTime>
  <ScaleCrop>false</ScaleCrop>
  <LinksUpToDate>false</LinksUpToDate>
  <CharactersWithSpaces>643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2025-10-23T02:48:00Z</dcterms:created>
  <dc:creator>xiaoya deng</dc:creator>
  <cp:lastModifiedBy>童长春</cp:lastModifiedBy>
  <dcterms:modified xsi:type="dcterms:W3CDTF">2025-10-23T07:32:23Z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eyJoZGlkIjoiNGIxZWE1YjFjYzA1ZGE1MGRhNTM1Mzk0ZjE4NzA1ZWMiLCJ1c2VySWQiOiIyNDUwOTM3NzMifQ==</vt:lpwstr>
  </property>
  <property fmtid="{D5CDD505-2E9C-101B-9397-08002B2CF9AE}" pid="3" name="KSOProductBuildVer">
    <vt:lpwstr>2052-12.1.0.23125</vt:lpwstr>
  </property>
  <property fmtid="{D5CDD505-2E9C-101B-9397-08002B2CF9AE}" pid="4" name="ICV">
    <vt:lpwstr>DAA66DFB9F934A008868FE24D2C73A8D_12</vt:lpwstr>
  </property>
</Properties>
</file>