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ED986">
      <w:pPr>
        <w:spacing w:line="420" w:lineRule="exact"/>
        <w:jc w:val="center"/>
        <w:rPr>
          <w:rFonts w:ascii="仿宋" w:hAnsi="仿宋" w:eastAsia="仿宋"/>
          <w:sz w:val="28"/>
          <w:szCs w:val="28"/>
        </w:rPr>
      </w:pPr>
      <w:bookmarkStart w:id="0" w:name="OLE_LINK2"/>
      <w:r>
        <w:rPr>
          <w:rFonts w:ascii="仿宋" w:hAnsi="仿宋" w:eastAsia="仿宋"/>
          <w:b/>
          <w:bCs/>
          <w:sz w:val="28"/>
          <w:szCs w:val="28"/>
        </w:rPr>
        <w:t>关于永昌系三十一家公司之</w:t>
      </w:r>
      <w:bookmarkEnd w:id="0"/>
      <w:r>
        <w:rPr>
          <w:rFonts w:ascii="仿宋" w:hAnsi="仿宋" w:eastAsia="仿宋"/>
          <w:b/>
          <w:bCs/>
          <w:sz w:val="28"/>
          <w:szCs w:val="28"/>
        </w:rPr>
        <w:t>景东里竹山铁矿有限责任公司名下机器设备资产竞买须知</w:t>
      </w:r>
    </w:p>
    <w:p w14:paraId="627BCF81">
      <w:pPr>
        <w:spacing w:line="420" w:lineRule="exact"/>
        <w:jc w:val="both"/>
        <w:rPr>
          <w:rFonts w:ascii="仿宋" w:hAnsi="仿宋" w:eastAsia="仿宋"/>
          <w:sz w:val="28"/>
          <w:szCs w:val="28"/>
        </w:rPr>
      </w:pPr>
      <w:r>
        <w:rPr>
          <w:rFonts w:ascii="Calibri" w:hAnsi="Calibri" w:eastAsia="仿宋" w:cs="Calibri"/>
          <w:sz w:val="28"/>
          <w:szCs w:val="28"/>
        </w:rPr>
        <w:t> </w:t>
      </w:r>
    </w:p>
    <w:p w14:paraId="42D4824C">
      <w:pPr>
        <w:spacing w:line="420" w:lineRule="exact"/>
        <w:ind w:firstLine="560" w:firstLineChars="200"/>
        <w:jc w:val="both"/>
        <w:rPr>
          <w:rFonts w:ascii="仿宋" w:hAnsi="仿宋" w:eastAsia="仿宋"/>
          <w:sz w:val="28"/>
          <w:szCs w:val="28"/>
        </w:rPr>
      </w:pPr>
      <w:r>
        <w:rPr>
          <w:rFonts w:ascii="仿宋" w:hAnsi="仿宋" w:eastAsia="仿宋"/>
          <w:sz w:val="28"/>
          <w:szCs w:val="28"/>
        </w:rPr>
        <w:t>昆明安宁永昌物资经贸集团有限公司管理人、安宁市永昌钢铁有限公司管理人（以下简称管理人）将于2025年</w:t>
      </w:r>
      <w:r>
        <w:rPr>
          <w:rFonts w:hint="eastAsia" w:ascii="仿宋" w:hAnsi="仿宋" w:eastAsia="仿宋"/>
          <w:sz w:val="28"/>
          <w:szCs w:val="28"/>
        </w:rPr>
        <w:t>11</w:t>
      </w:r>
      <w:r>
        <w:rPr>
          <w:rFonts w:ascii="仿宋" w:hAnsi="仿宋" w:eastAsia="仿宋"/>
          <w:sz w:val="28"/>
          <w:szCs w:val="28"/>
        </w:rPr>
        <w:t>月</w:t>
      </w:r>
      <w:r>
        <w:rPr>
          <w:rFonts w:hint="eastAsia" w:ascii="仿宋" w:hAnsi="仿宋" w:eastAsia="仿宋"/>
          <w:sz w:val="28"/>
          <w:szCs w:val="28"/>
          <w:lang w:val="en-US" w:eastAsia="zh-CN"/>
        </w:rPr>
        <w:t>12</w:t>
      </w:r>
      <w:r>
        <w:rPr>
          <w:rFonts w:ascii="仿宋" w:hAnsi="仿宋" w:eastAsia="仿宋"/>
          <w:sz w:val="28"/>
          <w:szCs w:val="28"/>
        </w:rPr>
        <w:t>日10时至2025年</w:t>
      </w:r>
      <w:r>
        <w:rPr>
          <w:rFonts w:hint="eastAsia" w:ascii="仿宋" w:hAnsi="仿宋" w:eastAsia="仿宋"/>
          <w:sz w:val="28"/>
          <w:szCs w:val="28"/>
        </w:rPr>
        <w:t>12</w:t>
      </w:r>
      <w:r>
        <w:rPr>
          <w:rFonts w:ascii="仿宋" w:hAnsi="仿宋" w:eastAsia="仿宋"/>
          <w:sz w:val="28"/>
          <w:szCs w:val="28"/>
        </w:rPr>
        <w:t>月</w:t>
      </w:r>
      <w:r>
        <w:rPr>
          <w:rFonts w:hint="eastAsia" w:ascii="仿宋" w:hAnsi="仿宋" w:eastAsia="仿宋"/>
          <w:sz w:val="28"/>
          <w:szCs w:val="28"/>
          <w:lang w:val="en-US" w:eastAsia="zh-CN"/>
        </w:rPr>
        <w:t>11</w:t>
      </w:r>
      <w:r>
        <w:rPr>
          <w:rFonts w:ascii="仿宋" w:hAnsi="仿宋" w:eastAsia="仿宋"/>
          <w:sz w:val="28"/>
          <w:szCs w:val="28"/>
        </w:rPr>
        <w:t>日10时止（延时除外）在淘宝网阿里拍卖破产强清平台网址</w:t>
      </w:r>
      <w:r>
        <w:fldChar w:fldCharType="begin"/>
      </w:r>
      <w:r>
        <w:instrText xml:space="preserve"> HYPERLINK "https://susong-item.taobao.com/auction/596449397545.htm?spm=a213w.6688509.tabs.20.139d1e66bF1G7S" </w:instrText>
      </w:r>
      <w:r>
        <w:fldChar w:fldCharType="separate"/>
      </w:r>
      <w:r>
        <w:rPr>
          <w:rStyle w:val="15"/>
          <w:rFonts w:ascii="仿宋" w:hAnsi="仿宋" w:eastAsia="仿宋"/>
          <w:sz w:val="28"/>
          <w:szCs w:val="28"/>
        </w:rPr>
        <w:t>：https://susong.taobao.com</w:t>
      </w:r>
      <w:r>
        <w:rPr>
          <w:rStyle w:val="15"/>
          <w:rFonts w:ascii="仿宋" w:hAnsi="仿宋" w:eastAsia="仿宋"/>
          <w:sz w:val="28"/>
          <w:szCs w:val="28"/>
        </w:rPr>
        <w:fldChar w:fldCharType="end"/>
      </w:r>
      <w:r>
        <w:rPr>
          <w:rFonts w:ascii="仿宋" w:hAnsi="仿宋" w:eastAsia="仿宋"/>
          <w:sz w:val="28"/>
          <w:szCs w:val="28"/>
        </w:rPr>
        <w:t>，对存放于存放于云南省普洱市景东彝族自治县大街乡景东里竹山铁矿有限公司厂区的一套磨机机器设备及配件资产，进行公开拍卖活动（处置单位：昆明安宁永昌物资经贸集团有限公司管理人、安宁市永昌钢铁有限公司管理人；监督单位：云南省安宁市人民法院）。现就网上拍卖有关事宜敬告各位竞买人：</w:t>
      </w:r>
    </w:p>
    <w:p w14:paraId="6D976FCE">
      <w:pPr>
        <w:spacing w:line="420" w:lineRule="exact"/>
        <w:ind w:firstLine="560" w:firstLineChars="200"/>
        <w:jc w:val="both"/>
        <w:rPr>
          <w:rFonts w:ascii="仿宋" w:hAnsi="仿宋" w:eastAsia="仿宋"/>
          <w:sz w:val="28"/>
          <w:szCs w:val="28"/>
        </w:rPr>
      </w:pPr>
      <w:r>
        <w:rPr>
          <w:rFonts w:ascii="仿宋" w:hAnsi="仿宋" w:eastAsia="仿宋"/>
          <w:sz w:val="28"/>
          <w:szCs w:val="28"/>
        </w:rPr>
        <w:t>一、本《竞买须知》根据相关法律规定制订，竞买人应认真仔细阅读，了解本须知的全部内容。竞买人报名参与竞买，表示完全知晓本次拍卖活动的全部内容。</w:t>
      </w:r>
    </w:p>
    <w:p w14:paraId="65A915A3">
      <w:pPr>
        <w:spacing w:line="420" w:lineRule="exact"/>
        <w:ind w:firstLine="560" w:firstLineChars="200"/>
        <w:jc w:val="both"/>
        <w:rPr>
          <w:rFonts w:ascii="仿宋" w:hAnsi="仿宋" w:eastAsia="仿宋"/>
          <w:sz w:val="28"/>
          <w:szCs w:val="28"/>
        </w:rPr>
      </w:pPr>
      <w:r>
        <w:rPr>
          <w:rFonts w:ascii="仿宋" w:hAnsi="仿宋" w:eastAsia="仿宋"/>
          <w:sz w:val="28"/>
          <w:szCs w:val="28"/>
        </w:rPr>
        <w:t>二、本次拍卖活动遵循“公开、公平、公正、诚实守信”的原则，拍卖活动具备法律效力。参加本次拍卖活动的竞买人必须遵守淘宝网阿里拍卖破产强清平台规则、本须知以及拍卖公告的各项条款，并对自己的行为承担法律责任。</w:t>
      </w:r>
    </w:p>
    <w:p w14:paraId="22B00C52">
      <w:pPr>
        <w:spacing w:line="420" w:lineRule="exact"/>
        <w:ind w:firstLine="560" w:firstLineChars="200"/>
        <w:jc w:val="both"/>
        <w:rPr>
          <w:rFonts w:ascii="仿宋" w:hAnsi="仿宋" w:eastAsia="仿宋"/>
          <w:sz w:val="28"/>
          <w:szCs w:val="28"/>
        </w:rPr>
      </w:pPr>
      <w:r>
        <w:rPr>
          <w:rFonts w:ascii="仿宋" w:hAnsi="仿宋" w:eastAsia="仿宋"/>
          <w:sz w:val="28"/>
          <w:szCs w:val="28"/>
        </w:rPr>
        <w:t>三、拍卖标的：</w:t>
      </w:r>
    </w:p>
    <w:p w14:paraId="56D5742A">
      <w:pPr>
        <w:spacing w:line="420" w:lineRule="exact"/>
        <w:ind w:firstLine="560" w:firstLineChars="200"/>
        <w:jc w:val="both"/>
        <w:rPr>
          <w:rFonts w:ascii="仿宋" w:hAnsi="仿宋" w:eastAsia="仿宋"/>
          <w:sz w:val="28"/>
          <w:szCs w:val="28"/>
        </w:rPr>
      </w:pPr>
      <w:r>
        <w:rPr>
          <w:rFonts w:ascii="仿宋" w:hAnsi="仿宋" w:eastAsia="仿宋"/>
          <w:sz w:val="28"/>
          <w:szCs w:val="28"/>
        </w:rPr>
        <w:t>存放云南省普洱市景东彝族自治县大街乡景东里竹山铁矿有限公司厂区的一套磨机机器设备及配件资产。铁矿石磨机及配件一套，型号:Φ5500*8500，整机总重约530吨，设计产能620T/h，生产制造商:中信重工机械股份有限公司。包括:筒体及配套组件:大小齿轮(轴承);配套同步电机一台，型号:TDMK4500-30，功率4500KW;减速机一台，型号:ZZF840，输入功率37KW，传动比1131;磨机静压轴承液压站一套，型号:E691G，油箱容积3500L，额定压力12/0.63MPa，额定流量140x2/420L/min;进料、出料组(部)件;控制部件等。约于2013年 10月购置运抵生产厂区，完成筒体部分、主电机、减速机、液压站配套机组等主要部分机组(件)的安装，未完成进料组件、出料组件等部件的配套整体安装，未调试运转投入生产运营实际使用。</w:t>
      </w:r>
    </w:p>
    <w:p w14:paraId="55D648F2">
      <w:pPr>
        <w:spacing w:line="420" w:lineRule="exact"/>
        <w:ind w:firstLine="562" w:firstLineChars="200"/>
        <w:jc w:val="both"/>
        <w:rPr>
          <w:rFonts w:ascii="仿宋" w:hAnsi="仿宋" w:eastAsia="仿宋"/>
          <w:sz w:val="28"/>
          <w:szCs w:val="28"/>
        </w:rPr>
      </w:pPr>
      <w:r>
        <w:rPr>
          <w:rFonts w:ascii="仿宋" w:hAnsi="仿宋" w:eastAsia="仿宋"/>
          <w:b/>
          <w:bCs/>
          <w:sz w:val="28"/>
          <w:szCs w:val="28"/>
        </w:rPr>
        <w:t>四、标的物以实物现状为准，管理人不承担本标的任何瑕疵担保责任（包括包括设备完好性，功能完整性等），均按现状进行拍卖。有意者请亲自实地看样，未看样的竞买人视为对本标的实物现状的确认，责任自负。除拍卖文件披露外，竞买人应对拍卖标的物的实际状况以及瑕疵(含显性、隐性瑕疵) 等自行调查核实、承担投资风险。有意者请亲自实地看样，未看样的竞买人视为对标的物及相关实物现状的确认，责任自负。由此产生的问题也不影响拍卖成交结果及成交价格。</w:t>
      </w:r>
    </w:p>
    <w:p w14:paraId="18B95604">
      <w:pPr>
        <w:spacing w:line="420" w:lineRule="exact"/>
        <w:ind w:firstLine="560" w:firstLineChars="200"/>
        <w:jc w:val="both"/>
        <w:rPr>
          <w:rFonts w:ascii="仿宋" w:hAnsi="仿宋" w:eastAsia="仿宋"/>
          <w:sz w:val="28"/>
          <w:szCs w:val="28"/>
        </w:rPr>
      </w:pPr>
      <w:r>
        <w:rPr>
          <w:rFonts w:ascii="仿宋" w:hAnsi="仿宋" w:eastAsia="仿宋"/>
          <w:sz w:val="28"/>
          <w:szCs w:val="28"/>
        </w:rPr>
        <w:t>五、</w:t>
      </w:r>
      <w:r>
        <w:rPr>
          <w:rFonts w:ascii="仿宋" w:hAnsi="仿宋" w:eastAsia="仿宋"/>
          <w:b/>
          <w:bCs/>
          <w:sz w:val="28"/>
          <w:szCs w:val="28"/>
        </w:rPr>
        <w:t>竞买人需要先报名缴纳等同于标的物拍卖价全款金额的拍卖预缴款，才能取得拍卖参与资格；至少一人报名且出价不低于拍卖价，方可成交。</w:t>
      </w:r>
    </w:p>
    <w:p w14:paraId="192592B9">
      <w:pPr>
        <w:spacing w:line="420" w:lineRule="exact"/>
        <w:ind w:firstLine="562" w:firstLineChars="200"/>
        <w:jc w:val="both"/>
        <w:rPr>
          <w:rFonts w:ascii="仿宋" w:hAnsi="仿宋" w:eastAsia="仿宋"/>
          <w:sz w:val="28"/>
          <w:szCs w:val="28"/>
        </w:rPr>
      </w:pPr>
      <w:r>
        <w:rPr>
          <w:rFonts w:ascii="仿宋" w:hAnsi="仿宋" w:eastAsia="仿宋"/>
          <w:b/>
          <w:bCs/>
          <w:sz w:val="28"/>
          <w:szCs w:val="28"/>
        </w:rPr>
        <w:t>六、管理人对拍卖标的物所作的说明和提供的图片等，仅供竞买人参考，不构成对标的物的任何担保。竞买人一旦作出竞买决定，即表明已完全了解财产状况，并接受标的物的现状和一切已知及未知的瑕疵。</w:t>
      </w:r>
    </w:p>
    <w:p w14:paraId="517A90AF">
      <w:pPr>
        <w:spacing w:line="420" w:lineRule="exact"/>
        <w:ind w:firstLine="560" w:firstLineChars="200"/>
        <w:jc w:val="both"/>
        <w:rPr>
          <w:rFonts w:ascii="仿宋" w:hAnsi="仿宋" w:eastAsia="仿宋"/>
          <w:sz w:val="28"/>
          <w:szCs w:val="28"/>
        </w:rPr>
      </w:pPr>
      <w:r>
        <w:rPr>
          <w:rFonts w:ascii="仿宋" w:hAnsi="仿宋" w:eastAsia="仿宋"/>
          <w:sz w:val="28"/>
          <w:szCs w:val="28"/>
        </w:rPr>
        <w:t>七、凡具备完全民事行为能力的公民、法人和其他组织均可参加竞买（负责监督的人民法院、网络服务提供者、承担拍卖辅助工作的社会机构或者组织的工作人员及其近亲属不得参与竞买并不得委托他人代为竞买与其行为相关的拍卖标的物。）法律、行政法规、司法解释对买受人资格或者条件有特殊规定的，竞买人应当具备规定的资格或者条件。</w:t>
      </w:r>
    </w:p>
    <w:p w14:paraId="660D5C5E">
      <w:pPr>
        <w:spacing w:line="420" w:lineRule="exact"/>
        <w:ind w:firstLine="560" w:firstLineChars="200"/>
        <w:jc w:val="both"/>
        <w:rPr>
          <w:rFonts w:ascii="仿宋" w:hAnsi="仿宋" w:eastAsia="仿宋"/>
          <w:sz w:val="28"/>
          <w:szCs w:val="28"/>
        </w:rPr>
      </w:pPr>
      <w:r>
        <w:rPr>
          <w:rFonts w:ascii="仿宋" w:hAnsi="仿宋" w:eastAsia="仿宋"/>
          <w:sz w:val="28"/>
          <w:szCs w:val="28"/>
        </w:rPr>
        <w:t>八、竞买人可委托代理人（具备完全民事行为能力的自然人）进行，但须在竞买开始前与管理人沟通办理委托手续；竞买成功后，竞买人（法定代表人、其他组织的负责人）须与委托代理人一同到管理人处办理交付或权属转移手续。管理人对竞得人提交的相关材料进行核查。如核查发现委托手续不全，竞买活动认定为委托代理人的个人行为；或核查发现竞得人资金来源与申报不符或违反规定的，均取消竞得资格，已交纳的竞买保证金不予退还。</w:t>
      </w:r>
    </w:p>
    <w:p w14:paraId="299D7757">
      <w:pPr>
        <w:spacing w:line="420" w:lineRule="exact"/>
        <w:ind w:firstLine="562" w:firstLineChars="200"/>
        <w:jc w:val="both"/>
        <w:rPr>
          <w:rFonts w:ascii="仿宋" w:hAnsi="仿宋" w:eastAsia="仿宋"/>
          <w:sz w:val="28"/>
          <w:szCs w:val="28"/>
        </w:rPr>
      </w:pPr>
      <w:r>
        <w:rPr>
          <w:rFonts w:ascii="仿宋" w:hAnsi="仿宋" w:eastAsia="仿宋"/>
          <w:b/>
          <w:bCs/>
          <w:sz w:val="28"/>
          <w:szCs w:val="28"/>
        </w:rPr>
        <w:t>九、对于拍卖标的的过户及交付，竞买人应在竞买前自行向有关部门了解相关规定及政策，若因不符合办证及过户条件导致无法过户的，由买受人自行承担无法办证或过户等责任。标的物过户登记手续（如有）由买受人自行办理，办理权证过程中应交纳或补交的有关税费及明确的或不明确的一切关联费用，全部由买受人承担。</w:t>
      </w:r>
    </w:p>
    <w:p w14:paraId="18F7FB61">
      <w:pPr>
        <w:spacing w:line="420" w:lineRule="exact"/>
        <w:ind w:firstLine="562" w:firstLineChars="200"/>
        <w:jc w:val="both"/>
        <w:rPr>
          <w:rFonts w:ascii="仿宋" w:hAnsi="仿宋" w:eastAsia="仿宋"/>
          <w:sz w:val="28"/>
          <w:szCs w:val="28"/>
        </w:rPr>
      </w:pPr>
      <w:r>
        <w:rPr>
          <w:rFonts w:ascii="仿宋" w:hAnsi="仿宋" w:eastAsia="仿宋"/>
          <w:b/>
          <w:bCs/>
          <w:sz w:val="28"/>
          <w:szCs w:val="28"/>
        </w:rPr>
        <w:t>依据《阿里拍卖平台破产资产处置频道收费规则》规定，拍卖成交后，买受人应按系统成交价总额的0.5%向淘宝支付软件服务费，单个标的软件服务费金额上限为50万（人民币：伍拾万元整）；该服务费为淘宝网平台单方收取，与管理人无关，该部分费用不包含在本次拍卖价款中，需买受人另行向淘宝平台支付。如因买受人未及时支付软件服务费，导致买受人交至淘宝拍卖平台的竞买保证金无法按规定时间转至管理人账户，视为买受人逾期付款，所引发的所有不利后果等均由买受人自行承担。</w:t>
      </w:r>
    </w:p>
    <w:p w14:paraId="7C73899B">
      <w:pPr>
        <w:spacing w:line="420" w:lineRule="exact"/>
        <w:ind w:firstLine="562" w:firstLineChars="200"/>
        <w:jc w:val="both"/>
        <w:rPr>
          <w:rFonts w:ascii="仿宋" w:hAnsi="仿宋" w:eastAsia="仿宋"/>
          <w:sz w:val="28"/>
          <w:szCs w:val="28"/>
        </w:rPr>
      </w:pPr>
      <w:r>
        <w:rPr>
          <w:rFonts w:ascii="仿宋" w:hAnsi="仿宋" w:eastAsia="仿宋"/>
          <w:b/>
          <w:bCs/>
          <w:sz w:val="28"/>
          <w:szCs w:val="28"/>
        </w:rPr>
        <w:t>本标的物存在综合服务费，综合服务费金额为系统成交价的0.5%，由买受人承担。缴费方式：标的物竞拍成功后，网拍平台会生成一笔待支付的综合服务费订单，买受人应自竞价结束后7日内全部缴纳，并确认收货。</w:t>
      </w:r>
    </w:p>
    <w:p w14:paraId="7773098C">
      <w:pPr>
        <w:spacing w:line="420" w:lineRule="exact"/>
        <w:ind w:firstLine="562" w:firstLineChars="200"/>
        <w:jc w:val="both"/>
        <w:rPr>
          <w:rFonts w:ascii="仿宋" w:hAnsi="仿宋" w:eastAsia="仿宋"/>
          <w:sz w:val="28"/>
          <w:szCs w:val="28"/>
        </w:rPr>
      </w:pPr>
      <w:r>
        <w:rPr>
          <w:rFonts w:ascii="仿宋" w:hAnsi="仿宋" w:eastAsia="仿宋"/>
          <w:b/>
          <w:bCs/>
          <w:sz w:val="28"/>
          <w:szCs w:val="28"/>
        </w:rPr>
        <w:t>单个标的软件服务费及综合服务费两项费用合计金额上限为100万元，由买受人承担，与管理人无关。</w:t>
      </w:r>
    </w:p>
    <w:p w14:paraId="13424503">
      <w:pPr>
        <w:spacing w:line="420" w:lineRule="exact"/>
        <w:ind w:firstLine="562" w:firstLineChars="200"/>
        <w:jc w:val="both"/>
        <w:rPr>
          <w:rFonts w:ascii="仿宋" w:hAnsi="仿宋" w:eastAsia="仿宋"/>
          <w:sz w:val="28"/>
          <w:szCs w:val="28"/>
        </w:rPr>
      </w:pPr>
      <w:r>
        <w:rPr>
          <w:rFonts w:ascii="仿宋" w:hAnsi="仿宋" w:eastAsia="仿宋"/>
          <w:b/>
          <w:bCs/>
          <w:sz w:val="28"/>
          <w:szCs w:val="28"/>
        </w:rPr>
        <w:t>十、本次拍卖活动计价货币为人民币，拍卖时的起拍价、成交价均不含买受人在拍卖标的物交割、过户时所发生的相关费用和税费，管理人将配合买受人办理标的物移交及过户登记手续。拍卖成交后管理人不提供拆除、运输服务；移交时所产生的过磅费、装卸费、运输费及其他所有费用均由买受人自行承担。</w:t>
      </w:r>
    </w:p>
    <w:p w14:paraId="705E2F05">
      <w:pPr>
        <w:spacing w:line="420" w:lineRule="exact"/>
        <w:ind w:firstLine="560" w:firstLineChars="200"/>
        <w:jc w:val="both"/>
        <w:rPr>
          <w:rFonts w:ascii="仿宋" w:hAnsi="仿宋" w:eastAsia="仿宋"/>
          <w:sz w:val="28"/>
          <w:szCs w:val="28"/>
        </w:rPr>
      </w:pPr>
      <w:r>
        <w:rPr>
          <w:rFonts w:ascii="仿宋" w:hAnsi="仿宋" w:eastAsia="仿宋"/>
          <w:sz w:val="28"/>
          <w:szCs w:val="28"/>
        </w:rPr>
        <w:t>十一、参加竞买的人应当遵守拍卖公告、拍卖须知的规定，不得阻挠其他竞买人竞拍，不得操纵、垄断竞拍价格，严禁竞买人恶意串标，上述行为一经发现，将取消其竞买资格，并追究相关的法律责任。</w:t>
      </w:r>
    </w:p>
    <w:p w14:paraId="683ED617">
      <w:pPr>
        <w:spacing w:line="420" w:lineRule="exact"/>
        <w:ind w:firstLine="562" w:firstLineChars="200"/>
        <w:jc w:val="both"/>
        <w:rPr>
          <w:rFonts w:ascii="仿宋" w:hAnsi="仿宋" w:eastAsia="仿宋"/>
          <w:sz w:val="28"/>
          <w:szCs w:val="28"/>
        </w:rPr>
      </w:pPr>
      <w:r>
        <w:rPr>
          <w:rFonts w:ascii="仿宋" w:hAnsi="仿宋" w:eastAsia="仿宋"/>
          <w:b/>
          <w:bCs/>
          <w:sz w:val="28"/>
          <w:szCs w:val="28"/>
        </w:rPr>
        <w:t>十二、拍卖成交后，买受人应在拍卖成交后10日内通过淘宝订单支付或通过银行转账支付尾款。买受人逾期未支付拍卖款或未办理交接手续，管理人可以重新拍卖，已缴纳的保证金及已支付的价款不予退还，依次用于支付拍卖产生的费用损失、弥补重新拍卖价款低于原拍卖价款的差价。</w:t>
      </w:r>
      <w:r>
        <w:rPr>
          <w:rFonts w:ascii="仿宋" w:hAnsi="仿宋" w:eastAsia="仿宋"/>
          <w:sz w:val="28"/>
          <w:szCs w:val="28"/>
        </w:rPr>
        <w:t>重新拍卖时，原买受人不得参加竞买。保证金及已支付的价款数额不足以弥补拍卖费用损失以及重新拍卖价款低于原拍卖价款的差价的，管理人可向悔拍人追索。</w:t>
      </w:r>
    </w:p>
    <w:p w14:paraId="4DA8132F">
      <w:pPr>
        <w:spacing w:line="420" w:lineRule="exact"/>
        <w:ind w:firstLine="562" w:firstLineChars="200"/>
        <w:jc w:val="both"/>
        <w:rPr>
          <w:rFonts w:ascii="仿宋" w:hAnsi="仿宋" w:eastAsia="仿宋"/>
          <w:sz w:val="28"/>
          <w:szCs w:val="28"/>
        </w:rPr>
      </w:pPr>
      <w:r>
        <w:rPr>
          <w:rFonts w:ascii="仿宋" w:hAnsi="仿宋" w:eastAsia="仿宋"/>
          <w:b/>
          <w:bCs/>
          <w:sz w:val="28"/>
          <w:szCs w:val="28"/>
        </w:rPr>
        <w:t>十三、买受人应于付清全部拍卖成交款后三日内（遇节假日顺延）凭付款凭证及相关身份材料到管理人处（地址：云南省安宁市百花东路85号永昌集团302室）签署拍卖成交确认文件。</w:t>
      </w:r>
    </w:p>
    <w:p w14:paraId="43F4E251">
      <w:pPr>
        <w:spacing w:line="420" w:lineRule="exact"/>
        <w:ind w:firstLine="560" w:firstLineChars="200"/>
        <w:jc w:val="both"/>
        <w:rPr>
          <w:rFonts w:ascii="仿宋" w:hAnsi="仿宋" w:eastAsia="仿宋"/>
          <w:sz w:val="28"/>
          <w:szCs w:val="28"/>
        </w:rPr>
      </w:pPr>
      <w:r>
        <w:rPr>
          <w:rFonts w:ascii="仿宋" w:hAnsi="仿宋" w:eastAsia="仿宋"/>
          <w:sz w:val="28"/>
          <w:szCs w:val="28"/>
        </w:rPr>
        <w:t>十四、为便于买受人及时收到管理人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与本次拍卖有关文书无法送达或未能及时送达，竞买人自行承担由此可能产生的法律后果。</w:t>
      </w:r>
    </w:p>
    <w:p w14:paraId="249B1B03">
      <w:pPr>
        <w:spacing w:line="420" w:lineRule="exact"/>
        <w:ind w:firstLine="560" w:firstLineChars="200"/>
        <w:jc w:val="both"/>
        <w:rPr>
          <w:rFonts w:ascii="仿宋" w:hAnsi="仿宋" w:eastAsia="仿宋"/>
          <w:sz w:val="28"/>
          <w:szCs w:val="28"/>
        </w:rPr>
      </w:pPr>
      <w:r>
        <w:rPr>
          <w:rFonts w:ascii="仿宋" w:hAnsi="仿宋" w:eastAsia="仿宋"/>
          <w:sz w:val="28"/>
          <w:szCs w:val="28"/>
        </w:rPr>
        <w:t>十五、特别声明：本拍品为破产财产，管理人通过淘宝网司法辅助服务平台进行拍卖。凡发现拍卖中有违规行为，可如实举报。</w:t>
      </w:r>
    </w:p>
    <w:p w14:paraId="6D6816E8">
      <w:pPr>
        <w:spacing w:line="420" w:lineRule="exact"/>
        <w:ind w:firstLine="560" w:firstLineChars="200"/>
        <w:jc w:val="both"/>
        <w:rPr>
          <w:rFonts w:ascii="仿宋" w:hAnsi="仿宋" w:eastAsia="仿宋"/>
          <w:sz w:val="28"/>
          <w:szCs w:val="28"/>
        </w:rPr>
      </w:pPr>
      <w:r>
        <w:rPr>
          <w:rFonts w:ascii="仿宋" w:hAnsi="仿宋" w:eastAsia="仿宋"/>
          <w:sz w:val="28"/>
          <w:szCs w:val="28"/>
        </w:rPr>
        <w:t>十六、本次拍卖公告、拍卖须知由管理人行使解释权，其他未尽事宜，请向管理人咨询。</w:t>
      </w:r>
    </w:p>
    <w:p w14:paraId="4D43B3CC">
      <w:pPr>
        <w:spacing w:line="420" w:lineRule="exact"/>
        <w:ind w:firstLine="560" w:firstLineChars="200"/>
        <w:jc w:val="both"/>
        <w:rPr>
          <w:rFonts w:ascii="仿宋" w:hAnsi="仿宋" w:eastAsia="仿宋"/>
          <w:sz w:val="28"/>
          <w:szCs w:val="28"/>
        </w:rPr>
      </w:pPr>
      <w:r>
        <w:rPr>
          <w:rFonts w:ascii="仿宋" w:hAnsi="仿宋" w:eastAsia="仿宋"/>
          <w:sz w:val="28"/>
          <w:szCs w:val="28"/>
        </w:rPr>
        <w:t>法院监督电话:0871-68697803</w:t>
      </w:r>
    </w:p>
    <w:p w14:paraId="39557A24">
      <w:pPr>
        <w:spacing w:line="420" w:lineRule="exact"/>
        <w:ind w:firstLine="560" w:firstLineChars="200"/>
        <w:jc w:val="both"/>
        <w:rPr>
          <w:rFonts w:ascii="仿宋" w:hAnsi="仿宋" w:eastAsia="仿宋"/>
          <w:sz w:val="28"/>
          <w:szCs w:val="28"/>
        </w:rPr>
      </w:pPr>
      <w:r>
        <w:rPr>
          <w:rFonts w:ascii="仿宋" w:hAnsi="仿宋" w:eastAsia="仿宋"/>
          <w:sz w:val="28"/>
          <w:szCs w:val="28"/>
        </w:rPr>
        <w:t>管理人咨询电话:童总，17387017205。</w:t>
      </w:r>
    </w:p>
    <w:p w14:paraId="1F3B9989">
      <w:pPr>
        <w:spacing w:line="420" w:lineRule="exact"/>
        <w:ind w:firstLine="560" w:firstLineChars="200"/>
        <w:jc w:val="both"/>
        <w:rPr>
          <w:rFonts w:ascii="仿宋" w:hAnsi="仿宋" w:eastAsia="仿宋"/>
          <w:sz w:val="28"/>
          <w:szCs w:val="28"/>
        </w:rPr>
      </w:pPr>
      <w:r>
        <w:rPr>
          <w:rFonts w:ascii="仿宋" w:hAnsi="仿宋" w:eastAsia="仿宋"/>
          <w:sz w:val="28"/>
          <w:szCs w:val="28"/>
        </w:rPr>
        <w:t>淘宝技术咨询:400-822-2870</w:t>
      </w:r>
    </w:p>
    <w:p w14:paraId="4C7DEA2C">
      <w:pPr>
        <w:spacing w:line="420" w:lineRule="exact"/>
        <w:ind w:firstLine="560" w:firstLineChars="200"/>
        <w:jc w:val="both"/>
        <w:rPr>
          <w:rFonts w:ascii="仿宋" w:hAnsi="仿宋" w:eastAsia="仿宋"/>
          <w:sz w:val="28"/>
          <w:szCs w:val="28"/>
        </w:rPr>
      </w:pPr>
      <w:r>
        <w:rPr>
          <w:rFonts w:ascii="仿宋" w:hAnsi="仿宋" w:eastAsia="仿宋"/>
          <w:sz w:val="28"/>
          <w:szCs w:val="28"/>
        </w:rPr>
        <w:t>若有疑问，可向管理人咨询</w:t>
      </w:r>
      <w:r>
        <w:rPr>
          <w:rFonts w:ascii="Calibri" w:hAnsi="Calibri" w:eastAsia="仿宋" w:cs="Calibri"/>
          <w:sz w:val="28"/>
          <w:szCs w:val="28"/>
        </w:rPr>
        <w:t> </w:t>
      </w:r>
    </w:p>
    <w:p w14:paraId="6243A503">
      <w:pPr>
        <w:spacing w:line="420" w:lineRule="exact"/>
        <w:jc w:val="right"/>
        <w:rPr>
          <w:rFonts w:ascii="Calibri" w:hAnsi="Calibri" w:eastAsia="仿宋" w:cs="Calibri"/>
          <w:sz w:val="28"/>
          <w:szCs w:val="28"/>
        </w:rPr>
      </w:pPr>
      <w:bookmarkStart w:id="1" w:name="_GoBack"/>
      <w:r>
        <w:rPr>
          <w:rFonts w:ascii="Calibri" w:hAnsi="Calibri" w:eastAsia="仿宋" w:cs="Calibri"/>
          <w:sz w:val="28"/>
          <w:szCs w:val="28"/>
        </w:rPr>
        <w:t>     </w:t>
      </w:r>
    </w:p>
    <w:p w14:paraId="158D65D1">
      <w:pPr>
        <w:spacing w:line="420" w:lineRule="exact"/>
        <w:jc w:val="right"/>
        <w:rPr>
          <w:rFonts w:ascii="仿宋" w:hAnsi="仿宋" w:eastAsia="仿宋"/>
          <w:sz w:val="28"/>
          <w:szCs w:val="28"/>
        </w:rPr>
      </w:pPr>
      <w:r>
        <w:rPr>
          <w:rFonts w:ascii="Calibri" w:hAnsi="Calibri" w:eastAsia="仿宋" w:cs="Calibri"/>
          <w:sz w:val="28"/>
          <w:szCs w:val="28"/>
        </w:rPr>
        <w:t> </w:t>
      </w:r>
      <w:r>
        <w:rPr>
          <w:rFonts w:ascii="仿宋" w:hAnsi="仿宋" w:eastAsia="仿宋"/>
          <w:sz w:val="28"/>
          <w:szCs w:val="28"/>
        </w:rPr>
        <w:t>永昌系三十一家公司管理人</w:t>
      </w:r>
    </w:p>
    <w:p w14:paraId="6C87AF81">
      <w:pPr>
        <w:spacing w:line="420" w:lineRule="exact"/>
        <w:jc w:val="right"/>
        <w:rPr>
          <w:rFonts w:ascii="仿宋" w:hAnsi="仿宋" w:eastAsia="仿宋"/>
          <w:sz w:val="28"/>
          <w:szCs w:val="28"/>
        </w:rPr>
      </w:pPr>
      <w:r>
        <w:rPr>
          <w:rFonts w:ascii="仿宋" w:hAnsi="仿宋" w:eastAsia="仿宋"/>
          <w:sz w:val="28"/>
          <w:szCs w:val="28"/>
        </w:rPr>
        <w:t>二〇二五年</w:t>
      </w:r>
      <w:r>
        <w:rPr>
          <w:rFonts w:hint="eastAsia" w:ascii="仿宋" w:hAnsi="仿宋" w:eastAsia="仿宋"/>
          <w:sz w:val="28"/>
          <w:szCs w:val="28"/>
        </w:rPr>
        <w:t>十</w:t>
      </w:r>
      <w:r>
        <w:rPr>
          <w:rFonts w:ascii="仿宋" w:hAnsi="仿宋" w:eastAsia="仿宋"/>
          <w:sz w:val="28"/>
          <w:szCs w:val="28"/>
        </w:rPr>
        <w:t>月</w:t>
      </w:r>
      <w:r>
        <w:rPr>
          <w:rFonts w:hint="eastAsia" w:ascii="仿宋" w:hAnsi="仿宋" w:eastAsia="仿宋"/>
          <w:sz w:val="28"/>
          <w:szCs w:val="28"/>
        </w:rPr>
        <w:t>二十</w:t>
      </w:r>
      <w:r>
        <w:rPr>
          <w:rFonts w:hint="eastAsia" w:ascii="仿宋" w:hAnsi="仿宋" w:eastAsia="仿宋"/>
          <w:sz w:val="28"/>
          <w:szCs w:val="28"/>
          <w:lang w:val="en-US" w:eastAsia="zh-CN"/>
        </w:rPr>
        <w:t>七</w:t>
      </w:r>
      <w:r>
        <w:rPr>
          <w:rFonts w:ascii="仿宋" w:hAnsi="仿宋" w:eastAsia="仿宋"/>
          <w:sz w:val="28"/>
          <w:szCs w:val="28"/>
        </w:rPr>
        <w:t>日</w:t>
      </w:r>
    </w:p>
    <w:bookmarkEnd w:id="1"/>
    <w:p w14:paraId="29560B4F">
      <w:pPr>
        <w:spacing w:line="420" w:lineRule="exact"/>
        <w:jc w:val="both"/>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STFangsong">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等线 Light">
    <w:altName w:val="汉仪中等线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E5E"/>
    <w:rsid w:val="007B2362"/>
    <w:rsid w:val="00947381"/>
    <w:rsid w:val="00C22E5E"/>
    <w:rsid w:val="284D302B"/>
    <w:rsid w:val="2E4358B3"/>
    <w:rsid w:val="43B753A5"/>
    <w:rsid w:val="6122434D"/>
    <w:rsid w:val="7CAF58DA"/>
    <w:rsid w:val="7F5931D8"/>
    <w:rsid w:val="E5DF2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1"/>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customStyle="1" w:styleId="16">
    <w:name w:val="标题 1 字符"/>
    <w:basedOn w:val="14"/>
    <w:link w:val="2"/>
    <w:qFormat/>
    <w:uiPriority w:val="9"/>
    <w:rPr>
      <w:rFonts w:asciiTheme="majorHAnsi" w:hAnsiTheme="majorHAnsi" w:eastAsiaTheme="majorEastAsia" w:cstheme="majorBidi"/>
      <w:color w:val="2F5597" w:themeColor="accent1" w:themeShade="BF"/>
      <w:sz w:val="48"/>
      <w:szCs w:val="48"/>
    </w:rPr>
  </w:style>
  <w:style w:type="character" w:customStyle="1" w:styleId="17">
    <w:name w:val="标题 3 字符"/>
    <w:basedOn w:val="14"/>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18">
    <w:name w:val="标题 2 字符"/>
    <w:basedOn w:val="14"/>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9">
    <w:name w:val="标题 4 字符"/>
    <w:basedOn w:val="14"/>
    <w:link w:val="5"/>
    <w:semiHidden/>
    <w:uiPriority w:val="9"/>
    <w:rPr>
      <w:rFonts w:cstheme="majorBidi"/>
      <w:color w:val="2F5597" w:themeColor="accent1" w:themeShade="BF"/>
      <w:sz w:val="28"/>
      <w:szCs w:val="28"/>
    </w:rPr>
  </w:style>
  <w:style w:type="character" w:customStyle="1" w:styleId="20">
    <w:name w:val="标题 5 字符"/>
    <w:basedOn w:val="14"/>
    <w:link w:val="6"/>
    <w:semiHidden/>
    <w:uiPriority w:val="9"/>
    <w:rPr>
      <w:rFonts w:cstheme="majorBidi"/>
      <w:color w:val="2F5597" w:themeColor="accent1" w:themeShade="BF"/>
      <w:sz w:val="24"/>
    </w:rPr>
  </w:style>
  <w:style w:type="character" w:customStyle="1" w:styleId="21">
    <w:name w:val="标题 6 字符"/>
    <w:basedOn w:val="14"/>
    <w:link w:val="7"/>
    <w:semiHidden/>
    <w:qFormat/>
    <w:uiPriority w:val="9"/>
    <w:rPr>
      <w:rFonts w:cstheme="majorBidi"/>
      <w:b/>
      <w:bCs/>
      <w:color w:val="2F5597" w:themeColor="accent1" w:themeShade="BF"/>
    </w:rPr>
  </w:style>
  <w:style w:type="character" w:customStyle="1" w:styleId="22">
    <w:name w:val="标题 7 字符"/>
    <w:basedOn w:val="14"/>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4"/>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4"/>
    <w:qFormat/>
    <w:uiPriority w:val="21"/>
    <w:rPr>
      <w:i/>
      <w:iCs/>
      <w:color w:val="2F5597" w:themeColor="accent1" w:themeShade="BF"/>
    </w:rPr>
  </w:style>
  <w:style w:type="paragraph" w:styleId="31">
    <w:name w:val="Intense Quote"/>
    <w:basedOn w:val="1"/>
    <w:next w:val="1"/>
    <w:link w:val="3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2">
    <w:name w:val="明显引用 字符"/>
    <w:basedOn w:val="14"/>
    <w:link w:val="31"/>
    <w:qFormat/>
    <w:uiPriority w:val="30"/>
    <w:rPr>
      <w:i/>
      <w:iCs/>
      <w:color w:val="2F5597" w:themeColor="accent1" w:themeShade="BF"/>
    </w:rPr>
  </w:style>
  <w:style w:type="character" w:customStyle="1" w:styleId="33">
    <w:name w:val="Intense Reference"/>
    <w:basedOn w:val="14"/>
    <w:qFormat/>
    <w:uiPriority w:val="32"/>
    <w:rPr>
      <w:b/>
      <w:bCs/>
      <w:smallCaps/>
      <w:color w:val="2F5597" w:themeColor="accent1" w:themeShade="BF"/>
      <w:spacing w:val="5"/>
    </w:rPr>
  </w:style>
  <w:style w:type="character" w:customStyle="1" w:styleId="34">
    <w:name w:val="Unresolved Mention"/>
    <w:basedOn w:val="1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2764</Words>
  <Characters>2930</Characters>
  <Lines>21</Lines>
  <Paragraphs>6</Paragraphs>
  <TotalTime>1</TotalTime>
  <ScaleCrop>false</ScaleCrop>
  <LinksUpToDate>false</LinksUpToDate>
  <CharactersWithSpaces>2940</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2025-10-23T10:48:00Z</dcterms:created>
  <dc:creator>xiaoya deng</dc:creator>
  <cp:lastModifiedBy>范星儿</cp:lastModifiedBy>
  <dcterms:modified xsi:type="dcterms:W3CDTF">2025-10-27T11:16:03Z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eyJoZGlkIjoiNGIxZWE1YjFjYzA1ZGE1MGRhNTM1Mzk0ZjE4NzA1ZWMiLCJ1c2VySWQiOiIyNDUwOTM3NzMifQ==</vt:lpwstr>
  </property>
  <property fmtid="{D5CDD505-2E9C-101B-9397-08002B2CF9AE}" pid="3" name="KSOProductBuildVer">
    <vt:lpwstr>2052-12.1.23141.23141</vt:lpwstr>
  </property>
  <property fmtid="{D5CDD505-2E9C-101B-9397-08002B2CF9AE}" pid="4" name="ICV">
    <vt:lpwstr>29BEBE58EDF94B5DA243BA68A4DBD14B_12</vt:lpwstr>
  </property>
</Properties>
</file>