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F1EA35">
      <w:pPr>
        <w:keepNext w:val="0"/>
        <w:keepLines w:val="0"/>
        <w:pageBreakBefore w:val="0"/>
        <w:kinsoku/>
        <w:wordWrap/>
        <w:overflowPunct/>
        <w:topLinePunct w:val="0"/>
        <w:autoSpaceDE/>
        <w:autoSpaceDN/>
        <w:bidi w:val="0"/>
        <w:adjustRightInd/>
        <w:snapToGrid/>
        <w:spacing w:beforeAutospacing="0" w:afterAutospacing="0" w:line="460" w:lineRule="exact"/>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衢州市衢江宸健中医骨伤医院有限公司</w:t>
      </w:r>
    </w:p>
    <w:p w14:paraId="52E7C3AA">
      <w:pPr>
        <w:keepNext w:val="0"/>
        <w:keepLines w:val="0"/>
        <w:pageBreakBefore w:val="0"/>
        <w:kinsoku/>
        <w:wordWrap/>
        <w:overflowPunct/>
        <w:topLinePunct w:val="0"/>
        <w:autoSpaceDE/>
        <w:autoSpaceDN/>
        <w:bidi w:val="0"/>
        <w:adjustRightInd/>
        <w:snapToGrid/>
        <w:spacing w:beforeAutospacing="0" w:afterAutospacing="0" w:line="460" w:lineRule="exact"/>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意向重整投资人招募公告</w:t>
      </w:r>
    </w:p>
    <w:p w14:paraId="3F1081E3">
      <w:pPr>
        <w:keepNext w:val="0"/>
        <w:keepLines w:val="0"/>
        <w:pageBreakBefore w:val="0"/>
        <w:kinsoku/>
        <w:wordWrap/>
        <w:overflowPunct/>
        <w:topLinePunct w:val="0"/>
        <w:autoSpaceDE/>
        <w:autoSpaceDN/>
        <w:bidi w:val="0"/>
        <w:adjustRightInd/>
        <w:snapToGrid/>
        <w:spacing w:beforeAutospacing="0" w:afterAutospacing="0" w:line="460" w:lineRule="exact"/>
        <w:jc w:val="center"/>
        <w:textAlignment w:val="auto"/>
        <w:rPr>
          <w:rFonts w:hint="eastAsia" w:ascii="宋体" w:hAnsi="宋体" w:eastAsia="宋体" w:cs="宋体"/>
          <w:b/>
          <w:bCs/>
          <w:sz w:val="36"/>
          <w:szCs w:val="36"/>
          <w:lang w:val="en-US" w:eastAsia="zh-CN"/>
        </w:rPr>
      </w:pPr>
    </w:p>
    <w:p w14:paraId="66CFDF24">
      <w:pPr>
        <w:keepNext w:val="0"/>
        <w:keepLines w:val="0"/>
        <w:pageBreakBefore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衢州市衢江区人民法院于2025年8月15日裁定受理衢州市衢江宸健中医骨伤医院有限公司（以下简称宸健公司）破产清算一案，并指定浙江论剑律师事务所和浙江君问会计师事务所（普通合伙）担任宸健公司管理人。</w:t>
      </w:r>
    </w:p>
    <w:p w14:paraId="3324C4FB">
      <w:pPr>
        <w:keepNext w:val="0"/>
        <w:keepLines w:val="0"/>
        <w:pageBreakBefore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为保护债权人、债务人和相关方的合法权益，</w:t>
      </w:r>
      <w:r>
        <w:rPr>
          <w:rFonts w:hint="eastAsia" w:ascii="宋体" w:hAnsi="宋体" w:eastAsia="宋体" w:cs="宋体"/>
          <w:b w:val="0"/>
          <w:bCs w:val="0"/>
          <w:sz w:val="28"/>
          <w:szCs w:val="28"/>
        </w:rPr>
        <w:t>通过市场化、法治化</w:t>
      </w:r>
      <w:r>
        <w:rPr>
          <w:rFonts w:hint="eastAsia" w:ascii="宋体" w:hAnsi="宋体" w:eastAsia="宋体" w:cs="宋体"/>
          <w:b w:val="0"/>
          <w:bCs w:val="0"/>
          <w:sz w:val="28"/>
          <w:szCs w:val="28"/>
          <w:lang w:val="en-US" w:eastAsia="zh-CN"/>
        </w:rPr>
        <w:t>方式</w:t>
      </w:r>
      <w:r>
        <w:rPr>
          <w:rFonts w:hint="eastAsia" w:ascii="宋体" w:hAnsi="宋体" w:eastAsia="宋体" w:cs="宋体"/>
          <w:b w:val="0"/>
          <w:bCs w:val="0"/>
          <w:sz w:val="28"/>
          <w:szCs w:val="28"/>
        </w:rPr>
        <w:t>合理配置资源</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充分发挥债务人资产的营运价值，管理人依据《中华人民共和国企业破产法》</w:t>
      </w:r>
      <w:r>
        <w:rPr>
          <w:rFonts w:hint="eastAsia" w:ascii="宋体" w:hAnsi="宋体" w:eastAsia="宋体" w:cs="宋体"/>
          <w:b w:val="0"/>
          <w:bCs w:val="0"/>
          <w:sz w:val="28"/>
          <w:szCs w:val="28"/>
          <w:lang w:val="en-US" w:eastAsia="zh-CN"/>
        </w:rPr>
        <w:t>的相关规定，</w:t>
      </w:r>
      <w:r>
        <w:rPr>
          <w:rFonts w:hint="eastAsia" w:ascii="宋体" w:hAnsi="宋体" w:eastAsia="宋体" w:cs="宋体"/>
          <w:b w:val="0"/>
          <w:bCs w:val="0"/>
          <w:sz w:val="28"/>
          <w:szCs w:val="28"/>
        </w:rPr>
        <w:t>面向社会公告招募意向重整投资人，并就招募事项公告如下：</w:t>
      </w:r>
    </w:p>
    <w:p w14:paraId="268CDAF7">
      <w:pPr>
        <w:pStyle w:val="3"/>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460" w:lineRule="exact"/>
        <w:ind w:left="0"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宸健公司概况</w:t>
      </w:r>
    </w:p>
    <w:p w14:paraId="3F604E9B">
      <w:pPr>
        <w:pStyle w:val="3"/>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工商登记信息</w:t>
      </w:r>
    </w:p>
    <w:tbl>
      <w:tblPr>
        <w:tblStyle w:val="4"/>
        <w:tblpPr w:leftFromText="180" w:rightFromText="180" w:vertAnchor="text" w:horzAnchor="page" w:tblpX="1908" w:tblpY="207"/>
        <w:tblOverlap w:val="never"/>
        <w:tblW w:w="8303" w:type="dxa"/>
        <w:tblInd w:w="0" w:type="dxa"/>
        <w:tblLayout w:type="autofit"/>
        <w:tblCellMar>
          <w:top w:w="0" w:type="dxa"/>
          <w:left w:w="108" w:type="dxa"/>
          <w:bottom w:w="0" w:type="dxa"/>
          <w:right w:w="108" w:type="dxa"/>
        </w:tblCellMar>
      </w:tblPr>
      <w:tblGrid>
        <w:gridCol w:w="1844"/>
        <w:gridCol w:w="6459"/>
      </w:tblGrid>
      <w:tr w14:paraId="7CC8A949">
        <w:tblPrEx>
          <w:tblCellMar>
            <w:top w:w="0" w:type="dxa"/>
            <w:left w:w="108" w:type="dxa"/>
            <w:bottom w:w="0" w:type="dxa"/>
            <w:right w:w="108" w:type="dxa"/>
          </w:tblCellMar>
        </w:tblPrEx>
        <w:trPr>
          <w:trHeight w:val="265" w:hRule="atLeast"/>
        </w:trPr>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1557C">
            <w:pPr>
              <w:widowControl/>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企业名称</w:t>
            </w:r>
          </w:p>
        </w:tc>
        <w:tc>
          <w:tcPr>
            <w:tcW w:w="6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62D8E">
            <w:pPr>
              <w:widowControl/>
              <w:ind w:firstLine="400" w:firstLineChars="200"/>
              <w:jc w:val="left"/>
              <w:textAlignment w:val="center"/>
              <w:rPr>
                <w:rFonts w:hint="eastAsia" w:ascii="宋体" w:hAnsi="宋体" w:eastAsia="宋体" w:cs="宋体"/>
                <w:color w:val="auto"/>
                <w:sz w:val="20"/>
                <w:szCs w:val="20"/>
                <w:lang w:eastAsia="zh-CN"/>
              </w:rPr>
            </w:pPr>
            <w:r>
              <w:rPr>
                <w:rFonts w:hint="eastAsia" w:ascii="宋体" w:hAnsi="宋体" w:eastAsia="宋体" w:cs="宋体"/>
                <w:color w:val="auto"/>
                <w:kern w:val="0"/>
                <w:sz w:val="20"/>
                <w:szCs w:val="20"/>
                <w:lang w:eastAsia="zh-CN" w:bidi="ar"/>
              </w:rPr>
              <w:t>衢州市衢江宸健中医骨伤医院有限公司</w:t>
            </w:r>
          </w:p>
        </w:tc>
      </w:tr>
      <w:tr w14:paraId="2CD1CF05">
        <w:tblPrEx>
          <w:tblCellMar>
            <w:top w:w="0" w:type="dxa"/>
            <w:left w:w="108" w:type="dxa"/>
            <w:bottom w:w="0" w:type="dxa"/>
            <w:right w:w="108" w:type="dxa"/>
          </w:tblCellMar>
        </w:tblPrEx>
        <w:trPr>
          <w:trHeight w:val="265" w:hRule="atLeast"/>
        </w:trPr>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3D0E">
            <w:pPr>
              <w:widowControl/>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统一社会信用代码</w:t>
            </w:r>
          </w:p>
        </w:tc>
        <w:tc>
          <w:tcPr>
            <w:tcW w:w="6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E2C7F">
            <w:pPr>
              <w:widowControl/>
              <w:ind w:firstLine="400" w:firstLineChars="200"/>
              <w:jc w:val="left"/>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91330803MA2DH7HD9R</w:t>
            </w:r>
          </w:p>
        </w:tc>
      </w:tr>
      <w:tr w14:paraId="62E01158">
        <w:tblPrEx>
          <w:tblCellMar>
            <w:top w:w="0" w:type="dxa"/>
            <w:left w:w="108" w:type="dxa"/>
            <w:bottom w:w="0" w:type="dxa"/>
            <w:right w:w="108" w:type="dxa"/>
          </w:tblCellMar>
        </w:tblPrEx>
        <w:trPr>
          <w:trHeight w:val="265" w:hRule="atLeast"/>
        </w:trPr>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DC85E">
            <w:pPr>
              <w:widowControl/>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法定代表人</w:t>
            </w:r>
          </w:p>
        </w:tc>
        <w:tc>
          <w:tcPr>
            <w:tcW w:w="6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984D">
            <w:pPr>
              <w:widowControl/>
              <w:ind w:firstLine="400" w:firstLineChars="200"/>
              <w:jc w:val="left"/>
              <w:textAlignment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邓升</w:t>
            </w:r>
          </w:p>
        </w:tc>
      </w:tr>
      <w:tr w14:paraId="67E29C6B">
        <w:tblPrEx>
          <w:tblCellMar>
            <w:top w:w="0" w:type="dxa"/>
            <w:left w:w="108" w:type="dxa"/>
            <w:bottom w:w="0" w:type="dxa"/>
            <w:right w:w="108" w:type="dxa"/>
          </w:tblCellMar>
        </w:tblPrEx>
        <w:trPr>
          <w:trHeight w:val="265" w:hRule="atLeast"/>
        </w:trPr>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0962">
            <w:pPr>
              <w:widowControl/>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注册资本</w:t>
            </w:r>
          </w:p>
        </w:tc>
        <w:tc>
          <w:tcPr>
            <w:tcW w:w="6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97556">
            <w:pPr>
              <w:widowControl/>
              <w:ind w:firstLine="400" w:firstLineChars="200"/>
              <w:jc w:val="left"/>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val="en-US" w:eastAsia="zh-CN" w:bidi="ar"/>
              </w:rPr>
              <w:t>500</w:t>
            </w:r>
            <w:r>
              <w:rPr>
                <w:rFonts w:hint="eastAsia" w:ascii="宋体" w:hAnsi="宋体" w:eastAsia="宋体" w:cs="宋体"/>
                <w:color w:val="auto"/>
                <w:kern w:val="0"/>
                <w:sz w:val="20"/>
                <w:szCs w:val="20"/>
                <w:lang w:bidi="ar"/>
              </w:rPr>
              <w:t>万元人民币</w:t>
            </w:r>
          </w:p>
        </w:tc>
      </w:tr>
      <w:tr w14:paraId="24418DEE">
        <w:tblPrEx>
          <w:tblCellMar>
            <w:top w:w="0" w:type="dxa"/>
            <w:left w:w="108" w:type="dxa"/>
            <w:bottom w:w="0" w:type="dxa"/>
            <w:right w:w="108" w:type="dxa"/>
          </w:tblCellMar>
        </w:tblPrEx>
        <w:trPr>
          <w:trHeight w:val="300" w:hRule="atLeast"/>
        </w:trPr>
        <w:tc>
          <w:tcPr>
            <w:tcW w:w="1844" w:type="dxa"/>
            <w:tcBorders>
              <w:top w:val="single" w:color="000000" w:sz="4" w:space="0"/>
              <w:left w:val="single" w:color="000000" w:sz="4" w:space="0"/>
              <w:bottom w:val="single" w:color="000000" w:sz="4" w:space="0"/>
              <w:right w:val="single" w:color="000000" w:sz="4" w:space="0"/>
            </w:tcBorders>
            <w:shd w:val="clear" w:color="auto" w:fill="auto"/>
          </w:tcPr>
          <w:p w14:paraId="4F2F5408">
            <w:pPr>
              <w:widowControl/>
              <w:jc w:val="center"/>
              <w:textAlignment w:val="top"/>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企业类型</w:t>
            </w:r>
          </w:p>
        </w:tc>
        <w:tc>
          <w:tcPr>
            <w:tcW w:w="6459" w:type="dxa"/>
            <w:tcBorders>
              <w:top w:val="single" w:color="000000" w:sz="4" w:space="0"/>
              <w:left w:val="single" w:color="000000" w:sz="4" w:space="0"/>
              <w:bottom w:val="single" w:color="000000" w:sz="4" w:space="0"/>
              <w:right w:val="single" w:color="000000" w:sz="4" w:space="0"/>
            </w:tcBorders>
            <w:shd w:val="clear" w:color="auto" w:fill="auto"/>
          </w:tcPr>
          <w:p w14:paraId="36D09E7D">
            <w:pPr>
              <w:widowControl/>
              <w:ind w:firstLine="400" w:firstLineChars="200"/>
              <w:jc w:val="left"/>
              <w:textAlignment w:val="top"/>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有限责任公司(自然人投资或控股)</w:t>
            </w:r>
          </w:p>
        </w:tc>
      </w:tr>
      <w:tr w14:paraId="48ABE3D0">
        <w:tblPrEx>
          <w:tblCellMar>
            <w:top w:w="0" w:type="dxa"/>
            <w:left w:w="108" w:type="dxa"/>
            <w:bottom w:w="0" w:type="dxa"/>
            <w:right w:w="108" w:type="dxa"/>
          </w:tblCellMar>
        </w:tblPrEx>
        <w:trPr>
          <w:trHeight w:val="265" w:hRule="atLeast"/>
        </w:trPr>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41111">
            <w:pPr>
              <w:widowControl/>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成立日期</w:t>
            </w:r>
          </w:p>
        </w:tc>
        <w:tc>
          <w:tcPr>
            <w:tcW w:w="6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4C49E">
            <w:pPr>
              <w:widowControl/>
              <w:ind w:firstLine="400" w:firstLineChars="200"/>
              <w:jc w:val="left"/>
              <w:textAlignment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2019-8-13</w:t>
            </w:r>
          </w:p>
        </w:tc>
      </w:tr>
      <w:tr w14:paraId="4B52AC8B">
        <w:tblPrEx>
          <w:tblCellMar>
            <w:top w:w="0" w:type="dxa"/>
            <w:left w:w="108" w:type="dxa"/>
            <w:bottom w:w="0" w:type="dxa"/>
            <w:right w:w="108" w:type="dxa"/>
          </w:tblCellMar>
        </w:tblPrEx>
        <w:trPr>
          <w:trHeight w:val="265" w:hRule="atLeast"/>
        </w:trPr>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13DBB">
            <w:pPr>
              <w:widowControl/>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营业期限</w:t>
            </w:r>
          </w:p>
        </w:tc>
        <w:tc>
          <w:tcPr>
            <w:tcW w:w="6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655A2">
            <w:pPr>
              <w:widowControl/>
              <w:ind w:firstLine="400" w:firstLineChars="200"/>
              <w:jc w:val="left"/>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val="en-US" w:eastAsia="zh-CN" w:bidi="ar"/>
              </w:rPr>
              <w:t>2019-8-13</w:t>
            </w:r>
            <w:r>
              <w:rPr>
                <w:rFonts w:hint="eastAsia" w:ascii="宋体" w:hAnsi="宋体" w:eastAsia="宋体" w:cs="宋体"/>
                <w:color w:val="auto"/>
                <w:kern w:val="0"/>
                <w:sz w:val="20"/>
                <w:szCs w:val="20"/>
                <w:lang w:bidi="ar"/>
              </w:rPr>
              <w:t>至无固定期限</w:t>
            </w:r>
          </w:p>
        </w:tc>
      </w:tr>
      <w:tr w14:paraId="6657137D">
        <w:tblPrEx>
          <w:tblCellMar>
            <w:top w:w="0" w:type="dxa"/>
            <w:left w:w="108" w:type="dxa"/>
            <w:bottom w:w="0" w:type="dxa"/>
            <w:right w:w="108" w:type="dxa"/>
          </w:tblCellMar>
        </w:tblPrEx>
        <w:trPr>
          <w:trHeight w:val="265" w:hRule="atLeast"/>
        </w:trPr>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C9168">
            <w:pPr>
              <w:widowControl/>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注册地址</w:t>
            </w:r>
          </w:p>
        </w:tc>
        <w:tc>
          <w:tcPr>
            <w:tcW w:w="6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F1988">
            <w:pPr>
              <w:widowControl/>
              <w:ind w:firstLine="400" w:firstLineChars="200"/>
              <w:jc w:val="left"/>
              <w:textAlignment w:val="center"/>
              <w:rPr>
                <w:rFonts w:hint="default" w:ascii="宋体" w:hAnsi="宋体" w:eastAsia="宋体" w:cs="宋体"/>
                <w:color w:val="auto"/>
                <w:sz w:val="20"/>
                <w:szCs w:val="20"/>
                <w:lang w:val="en-US" w:eastAsia="zh-CN"/>
              </w:rPr>
            </w:pPr>
            <w:r>
              <w:rPr>
                <w:rFonts w:hint="eastAsia" w:ascii="宋体" w:hAnsi="宋体" w:eastAsia="宋体" w:cs="宋体"/>
                <w:color w:val="auto"/>
                <w:kern w:val="0"/>
                <w:sz w:val="20"/>
                <w:szCs w:val="20"/>
                <w:lang w:val="en-US" w:eastAsia="zh-CN" w:bidi="ar"/>
              </w:rPr>
              <w:t>浙江省衢州市衢江区东迹大道886-2号</w:t>
            </w:r>
          </w:p>
        </w:tc>
      </w:tr>
      <w:tr w14:paraId="33586E37">
        <w:tblPrEx>
          <w:tblCellMar>
            <w:top w:w="0" w:type="dxa"/>
            <w:left w:w="108" w:type="dxa"/>
            <w:bottom w:w="0" w:type="dxa"/>
            <w:right w:w="108" w:type="dxa"/>
          </w:tblCellMar>
        </w:tblPrEx>
        <w:trPr>
          <w:trHeight w:val="828" w:hRule="atLeast"/>
        </w:trPr>
        <w:tc>
          <w:tcPr>
            <w:tcW w:w="1844" w:type="dxa"/>
            <w:tcBorders>
              <w:top w:val="single" w:color="000000" w:sz="4" w:space="0"/>
              <w:left w:val="single" w:color="000000" w:sz="4" w:space="0"/>
              <w:bottom w:val="single" w:color="000000" w:sz="4" w:space="0"/>
              <w:right w:val="single" w:color="000000" w:sz="4" w:space="0"/>
            </w:tcBorders>
            <w:shd w:val="clear" w:color="auto" w:fill="auto"/>
          </w:tcPr>
          <w:p w14:paraId="3F00CBD5">
            <w:pPr>
              <w:widowControl/>
              <w:jc w:val="center"/>
              <w:textAlignment w:val="top"/>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br w:type="textWrapping"/>
            </w:r>
            <w:r>
              <w:rPr>
                <w:rFonts w:hint="eastAsia" w:ascii="宋体" w:hAnsi="宋体" w:eastAsia="宋体" w:cs="宋体"/>
                <w:color w:val="auto"/>
                <w:kern w:val="0"/>
                <w:sz w:val="20"/>
                <w:szCs w:val="20"/>
                <w:lang w:bidi="ar"/>
              </w:rPr>
              <w:t>经营范围</w:t>
            </w:r>
          </w:p>
        </w:tc>
        <w:tc>
          <w:tcPr>
            <w:tcW w:w="6459" w:type="dxa"/>
            <w:tcBorders>
              <w:top w:val="single" w:color="000000" w:sz="4" w:space="0"/>
              <w:left w:val="single" w:color="000000" w:sz="4" w:space="0"/>
              <w:bottom w:val="single" w:color="000000" w:sz="4" w:space="0"/>
              <w:right w:val="single" w:color="000000" w:sz="4" w:space="0"/>
            </w:tcBorders>
            <w:shd w:val="clear" w:color="auto" w:fill="auto"/>
          </w:tcPr>
          <w:p w14:paraId="3CF6F279">
            <w:pPr>
              <w:widowControl/>
              <w:ind w:firstLine="400" w:firstLineChars="200"/>
              <w:jc w:val="left"/>
              <w:textAlignment w:val="top"/>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一般项目：内科/外科；骨科专业/皮肤科/急诊医学科/康复医学科/麻醉科/疼痛科/重症医学科/医学检验科/医学影像科；X线诊断专业；CT诊断专业；超声诊断专业；心电诊断专业/中医科；骨伤科专业；针灸科专业；推拿科专业；康复医学专业。（除依法需经批准的项目外，凭营业执照依法自主开展经营活动）</w:t>
            </w:r>
          </w:p>
        </w:tc>
      </w:tr>
    </w:tbl>
    <w:p w14:paraId="64C27857">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right="0" w:rightChars="0"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（二）资质及资产情况</w:t>
      </w:r>
    </w:p>
    <w:p w14:paraId="5B0EE7EE">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1.资质情况</w:t>
      </w:r>
    </w:p>
    <w:p w14:paraId="46046D19">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由衢州市衢江区卫生健康局颁发的登记号PDY00001133080315A2222的《医疗机构执业许可证》，诊疗科目为内科/外科；骨科专业/皮肤科/急诊医学科/康复医学科/麻醉科/疼痛科/重症医学科/医学检验科/临床体液、血液专业；临床微生物学专业；临床化学检验专业/医学影像科；X线诊断专业；CT诊断专业；超声诊断专业；心电诊断专业/中医科；骨伤科专业；针灸科专业；推拿科专业；康复医学专业/中西医结合科。有效期限自2023年12月09日至2038年12月08日。</w:t>
      </w:r>
    </w:p>
    <w:p w14:paraId="1825040C">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（2）由衢州市衢江区卫生健康局颁发的浙卫放证字（2021）第3308030004号《放射诊疗许可证》，许可项目为X射线影像诊断。</w:t>
      </w:r>
    </w:p>
    <w:p w14:paraId="5DCAC46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（3）由浙江省生态环境厅颁发的编号为浙环辐证[H2294]号的《辐射安全许可证》，种类和范围为使用III类射线装置，有效期自2021年01月15日至 2026年01月14日。</w:t>
      </w:r>
    </w:p>
    <w:p w14:paraId="35F3A11F">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2.资产情况</w:t>
      </w:r>
    </w:p>
    <w:p w14:paraId="7C926FA3">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动产设备：评估价合计3285570元。其中，医疗设备共81项，评估价2806380元，包括移动式C形臂X射线机、X射线计算断层摄像设备、彩色多普勒超声诊断系统、内窥镜摄像系统、光源内置高清摄像控制系统、全数字彩色超声诊断系统（移动式B超）、医用诊断X射线机等；普通客车和救护车各1辆，评估价10万元；空调、热水器、电视机121项，评估价157200元；办公设备、电子设备、家具等185项，评估价221990元。</w:t>
      </w:r>
    </w:p>
    <w:p w14:paraId="0F61500B">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firstLine="560" w:firstLineChars="200"/>
        <w:textAlignment w:val="auto"/>
        <w:rPr>
          <w:rFonts w:hint="default"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sz w:val="28"/>
          <w:szCs w:val="28"/>
          <w:lang w:val="en-US" w:eastAsia="zh-CN"/>
        </w:rPr>
        <w:t>（2）</w:t>
      </w:r>
      <w:r>
        <w:rPr>
          <w:rFonts w:hint="eastAsia" w:ascii="宋体" w:hAnsi="宋体" w:eastAsia="宋体" w:cs="宋体"/>
          <w:b w:val="0"/>
          <w:bCs w:val="0"/>
          <w:color w:val="000000" w:themeColor="text1"/>
          <w:sz w:val="28"/>
          <w:szCs w:val="28"/>
          <w:lang w:val="en-US" w:eastAsia="zh-CN"/>
          <w14:textFill>
            <w14:solidFill>
              <w14:schemeClr w14:val="tx1"/>
            </w14:solidFill>
          </w14:textFill>
        </w:rPr>
        <w:t>新院区全新装修：宸健医院承租房产建筑面积约8000㎡，装修施工合同约定的合同价款860万元，装修工程已基本完成。</w:t>
      </w:r>
    </w:p>
    <w:p w14:paraId="23CD879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（三）项目运营情况</w:t>
      </w:r>
    </w:p>
    <w:p w14:paraId="61FDFC18">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firstLine="560" w:firstLineChars="200"/>
        <w:textAlignment w:val="auto"/>
        <w:rPr>
          <w:rFonts w:hint="default"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宸键公司是</w:t>
      </w:r>
      <w:r>
        <w:rPr>
          <w:rFonts w:hint="default" w:ascii="宋体" w:hAnsi="宋体" w:eastAsia="宋体" w:cs="宋体"/>
          <w:b w:val="0"/>
          <w:bCs w:val="0"/>
          <w:color w:val="000000" w:themeColor="text1"/>
          <w:sz w:val="28"/>
          <w:szCs w:val="28"/>
          <w:lang w:val="en-US" w:eastAsia="zh-CN"/>
          <w14:textFill>
            <w14:solidFill>
              <w14:schemeClr w14:val="tx1"/>
            </w14:solidFill>
          </w14:textFill>
        </w:rPr>
        <w:t>经衢州市卫健委批准，按“二级专科医院”设置标准设立的中医骨伤专科医院</w:t>
      </w:r>
      <w:r>
        <w:rPr>
          <w:rFonts w:hint="eastAsia" w:ascii="宋体" w:hAnsi="宋体" w:eastAsia="宋体" w:cs="宋体"/>
          <w:b w:val="0"/>
          <w:bCs w:val="0"/>
          <w:color w:val="000000" w:themeColor="text1"/>
          <w:sz w:val="28"/>
          <w:szCs w:val="28"/>
          <w:lang w:val="en-US" w:eastAsia="zh-CN"/>
          <w14:textFill>
            <w14:solidFill>
              <w14:schemeClr w14:val="tx1"/>
            </w14:solidFill>
          </w14:textFill>
        </w:rPr>
        <w:t>，</w:t>
      </w:r>
      <w:r>
        <w:rPr>
          <w:rFonts w:hint="default" w:ascii="宋体" w:hAnsi="宋体" w:eastAsia="宋体" w:cs="宋体"/>
          <w:b w:val="0"/>
          <w:bCs w:val="0"/>
          <w:color w:val="000000" w:themeColor="text1"/>
          <w:sz w:val="28"/>
          <w:szCs w:val="28"/>
          <w:lang w:val="en-US" w:eastAsia="zh-CN"/>
          <w14:textFill>
            <w14:solidFill>
              <w14:schemeClr w14:val="tx1"/>
            </w14:solidFill>
          </w14:textFill>
        </w:rPr>
        <w:t>设有中医科、骨科、疼痛科、皮肤科、中西医结合科、康复医学科、重症医学科等科室，是一家集医疗、预防、康复于一体的</w:t>
      </w:r>
      <w:r>
        <w:rPr>
          <w:rFonts w:hint="eastAsia" w:ascii="宋体" w:hAnsi="宋体" w:eastAsia="宋体" w:cs="宋体"/>
          <w:b w:val="0"/>
          <w:bCs w:val="0"/>
          <w:color w:val="000000" w:themeColor="text1"/>
          <w:sz w:val="28"/>
          <w:szCs w:val="28"/>
          <w:lang w:val="en-US" w:eastAsia="zh-CN"/>
          <w14:textFill>
            <w14:solidFill>
              <w14:schemeClr w14:val="tx1"/>
            </w14:solidFill>
          </w14:textFill>
        </w:rPr>
        <w:t>医疗单位</w:t>
      </w:r>
      <w:r>
        <w:rPr>
          <w:rFonts w:hint="default" w:ascii="宋体" w:hAnsi="宋体" w:eastAsia="宋体" w:cs="宋体"/>
          <w:b w:val="0"/>
          <w:bCs w:val="0"/>
          <w:color w:val="000000" w:themeColor="text1"/>
          <w:sz w:val="28"/>
          <w:szCs w:val="28"/>
          <w:lang w:val="en-US" w:eastAsia="zh-CN"/>
          <w14:textFill>
            <w14:solidFill>
              <w14:schemeClr w14:val="tx1"/>
            </w14:solidFill>
          </w14:textFill>
        </w:rPr>
        <w:t>。</w:t>
      </w:r>
      <w:r>
        <w:rPr>
          <w:rFonts w:hint="eastAsia" w:ascii="宋体" w:hAnsi="宋体" w:eastAsia="宋体" w:cs="宋体"/>
          <w:b w:val="0"/>
          <w:bCs w:val="0"/>
          <w:color w:val="000000" w:themeColor="text1"/>
          <w:sz w:val="28"/>
          <w:szCs w:val="28"/>
          <w:lang w:val="en-US" w:eastAsia="zh-CN"/>
          <w14:textFill>
            <w14:solidFill>
              <w14:schemeClr w14:val="tx1"/>
            </w14:solidFill>
          </w14:textFill>
        </w:rPr>
        <w:t>公司于2025年3月搬迁至衢州市衢江区云溪乡云溪村新院区，同月底因股东决议申请破产而停业。</w:t>
      </w:r>
    </w:p>
    <w:p w14:paraId="20C22829">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二、招募条件</w:t>
      </w:r>
    </w:p>
    <w:p w14:paraId="5DFE7BA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意向投资人应当符合以下条件：</w:t>
      </w:r>
    </w:p>
    <w:p w14:paraId="5E89F733">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（一）意向投资人应当是中华人民共和国境内的依法设立并有效存续的法人或非法人组织，具有较高的社会责任感和良好的商业信誉。</w:t>
      </w:r>
    </w:p>
    <w:p w14:paraId="0D2A3BEF">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（二）意向投资人近三年不存在重大违法、违规行为，同时未被人民法院列入失信被执行人名单或者被采取限制高消费措施。</w:t>
      </w:r>
    </w:p>
    <w:p w14:paraId="163B791C">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（三）两个或两个以上的主体可组成联合体参与本次投资人招募。</w:t>
      </w:r>
    </w:p>
    <w:p w14:paraId="406C9BC4">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sz w:val="28"/>
          <w:szCs w:val="28"/>
          <w:lang w:val="en-US" w:eastAsia="zh-CN"/>
        </w:rPr>
        <w:t>（四）</w:t>
      </w:r>
      <w:r>
        <w:rPr>
          <w:rFonts w:hint="eastAsia" w:ascii="宋体" w:hAnsi="宋体" w:eastAsia="宋体" w:cs="宋体"/>
          <w:b w:val="0"/>
          <w:bCs w:val="0"/>
          <w:color w:val="000000" w:themeColor="text1"/>
          <w:sz w:val="28"/>
          <w:szCs w:val="28"/>
          <w:lang w:val="en-US" w:eastAsia="zh-CN"/>
          <w14:textFill>
            <w14:solidFill>
              <w14:schemeClr w14:val="tx1"/>
            </w14:solidFill>
          </w14:textFill>
        </w:rPr>
        <w:t>意向投资人需承诺按照本公告和管理人的其他招募要求参与重整投资人遴选，能遵守相关法律规定和政策规定，接受法院和管理人的监督。</w:t>
      </w:r>
    </w:p>
    <w:p w14:paraId="4518D415">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2"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bCs/>
          <w:sz w:val="28"/>
          <w:szCs w:val="28"/>
          <w:lang w:val="en-US" w:eastAsia="zh-CN"/>
        </w:rPr>
        <w:t>三、招募流程</w:t>
      </w:r>
    </w:p>
    <w:p w14:paraId="5CCB95F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（一）提交报名材料和交纳保证金</w:t>
      </w:r>
    </w:p>
    <w:p w14:paraId="1859B981">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1.意向投资人应于2025年11月20日前向管理人面交报名材料。报名材料应加盖意向投资人公章并由其法定代表人或负责人签名。意向投资人如为自然人的，须由其本人签字。报名材料包括：</w:t>
      </w:r>
    </w:p>
    <w:p w14:paraId="209DCEFF">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（1）意向投资人参与投资的意向报名书（文本由管理人提供）。</w:t>
      </w:r>
    </w:p>
    <w:p w14:paraId="3D4AFD73">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（2）意向投资人简介（含主体资格、股权结构、主营业务、资产负债等信息）。如为联合投资人，需说明各主体的角色分工、权利义务等，联合投资人相互之间应承担连带责任。</w:t>
      </w:r>
    </w:p>
    <w:p w14:paraId="38FB5593">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（3）意向投资人的营业执照正副本复印件、法定代表人或负责人身份证明文件原件及授权委托书原件；意向投资人如为自然人的，则需提交自然人身份证复印件及授权委托书原件。</w:t>
      </w:r>
    </w:p>
    <w:p w14:paraId="0A7E4710">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（4）意向投资人资信证明或其他履约能力证明，如：最近三个年度的财务审计报告等可以说明财务状况和资金实力、投资资金来源的文件；意向投资人如为自然人的，需提交个人信用报告、资金实力等资料。</w:t>
      </w:r>
    </w:p>
    <w:p w14:paraId="163B0568">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2.意向投资人应于2025年11月20日前向管理人账户支付报名保证金120万元。</w:t>
      </w:r>
    </w:p>
    <w:p w14:paraId="7A536DFE">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管理人的账户信息如下：户名：衢州市衢江宸健中医骨伤医院有限公司管理人；账号：201000399134787；开户行：浙江衢州衢江农村商业银行股份有限公司西区支行）。</w:t>
      </w:r>
    </w:p>
    <w:p w14:paraId="55B8DE5C">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（二）投资人资格审查和尽职调查</w:t>
      </w:r>
    </w:p>
    <w:p w14:paraId="050BD3E6">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意向投资人提交报名材料和支付报名保证金后3日内，由管理人审查是否符合招募条件和要求，并通知意向投资人。符合招募条件和要求的意向投资人可向管理人了解本案和宸健公司的相关情况。意向投资人开展尽职调查或实地考察所需的费用由意向投资人自行承担。</w:t>
      </w:r>
    </w:p>
    <w:p w14:paraId="0E5A8322">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（三）投资方案的提交</w:t>
      </w:r>
    </w:p>
    <w:p w14:paraId="45864B5D">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符合招募条件和要求的意向投资人应于2025年11月30日前向管理人提交投资方案（包括重整报价、经营方案等内容）。</w:t>
      </w:r>
    </w:p>
    <w:p w14:paraId="0AF8399F">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（四）重整投资人的确定</w:t>
      </w:r>
    </w:p>
    <w:p w14:paraId="1C713F2E">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管理人将根据意向投资人提交的投资方案，通过协商、竞价等方式遴选重整投资人。具体遴选方案，由管理人根据报名和投资方案提交等情况确定。</w:t>
      </w:r>
    </w:p>
    <w:p w14:paraId="0B0718C4">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2" w:firstLineChars="200"/>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四、其他</w:t>
      </w:r>
      <w:r>
        <w:rPr>
          <w:rFonts w:hint="default" w:ascii="宋体" w:hAnsi="宋体" w:eastAsia="宋体" w:cs="宋体"/>
          <w:b/>
          <w:bCs/>
          <w:sz w:val="28"/>
          <w:szCs w:val="28"/>
          <w:lang w:val="en-US" w:eastAsia="zh-CN"/>
        </w:rPr>
        <w:t>说明</w:t>
      </w:r>
    </w:p>
    <w:p w14:paraId="488E70C9">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1.意向投资人一旦开展与本公告有关的任何行为，即视为无条件接受本公告所规定的各项要求。</w:t>
      </w:r>
    </w:p>
    <w:p w14:paraId="03CFE8E2">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2.各意向投资人应保证向管理人提交</w:t>
      </w:r>
      <w:r>
        <w:rPr>
          <w:rFonts w:hint="eastAsia" w:ascii="宋体" w:hAnsi="宋体" w:eastAsia="宋体" w:cs="宋体"/>
          <w:b w:val="0"/>
          <w:bCs w:val="0"/>
          <w:sz w:val="28"/>
          <w:szCs w:val="28"/>
          <w:lang w:val="en-US" w:eastAsia="zh-CN"/>
        </w:rPr>
        <w:t>的</w:t>
      </w:r>
      <w:r>
        <w:rPr>
          <w:rFonts w:hint="default" w:ascii="宋体" w:hAnsi="宋体" w:eastAsia="宋体" w:cs="宋体"/>
          <w:b w:val="0"/>
          <w:bCs w:val="0"/>
          <w:sz w:val="28"/>
          <w:szCs w:val="28"/>
          <w:lang w:val="en-US" w:eastAsia="zh-CN"/>
        </w:rPr>
        <w:t>材料真实有效。若意向投资人存在虚假陈述或提供不实材料的情形，管理人</w:t>
      </w:r>
      <w:r>
        <w:rPr>
          <w:rFonts w:hint="eastAsia" w:ascii="宋体" w:hAnsi="宋体" w:eastAsia="宋体" w:cs="宋体"/>
          <w:b w:val="0"/>
          <w:bCs w:val="0"/>
          <w:sz w:val="28"/>
          <w:szCs w:val="28"/>
          <w:lang w:val="en-US" w:eastAsia="zh-CN"/>
        </w:rPr>
        <w:t>有权</w:t>
      </w:r>
      <w:r>
        <w:rPr>
          <w:rFonts w:hint="default" w:ascii="宋体" w:hAnsi="宋体" w:eastAsia="宋体" w:cs="宋体"/>
          <w:b w:val="0"/>
          <w:bCs w:val="0"/>
          <w:sz w:val="28"/>
          <w:szCs w:val="28"/>
          <w:lang w:val="en-US" w:eastAsia="zh-CN"/>
        </w:rPr>
        <w:t>取消其参与资格</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并保留追究其相应法律责任的权利。</w:t>
      </w:r>
      <w:bookmarkStart w:id="0" w:name="_GoBack"/>
      <w:bookmarkEnd w:id="0"/>
    </w:p>
    <w:p w14:paraId="1A324B7A">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3.本公告所述信息仅供意向投资人参考，</w:t>
      </w:r>
      <w:r>
        <w:rPr>
          <w:rFonts w:hint="eastAsia" w:ascii="宋体" w:hAnsi="宋体" w:eastAsia="宋体" w:cs="宋体"/>
          <w:b w:val="0"/>
          <w:bCs w:val="0"/>
          <w:sz w:val="28"/>
          <w:szCs w:val="28"/>
          <w:lang w:val="en-US" w:eastAsia="zh-CN"/>
        </w:rPr>
        <w:t>请意向投资人自行开展尽职调查工作，</w:t>
      </w:r>
      <w:r>
        <w:rPr>
          <w:rFonts w:hint="default" w:ascii="宋体" w:hAnsi="宋体" w:eastAsia="宋体" w:cs="宋体"/>
          <w:b w:val="0"/>
          <w:bCs w:val="0"/>
          <w:sz w:val="28"/>
          <w:szCs w:val="28"/>
          <w:lang w:val="en-US" w:eastAsia="zh-CN"/>
        </w:rPr>
        <w:t>管理人不</w:t>
      </w:r>
      <w:r>
        <w:rPr>
          <w:rFonts w:hint="eastAsia" w:ascii="宋体" w:hAnsi="宋体" w:eastAsia="宋体" w:cs="宋体"/>
          <w:b w:val="0"/>
          <w:bCs w:val="0"/>
          <w:sz w:val="28"/>
          <w:szCs w:val="28"/>
          <w:lang w:val="en-US" w:eastAsia="zh-CN"/>
        </w:rPr>
        <w:t>作</w:t>
      </w:r>
      <w:r>
        <w:rPr>
          <w:rFonts w:hint="default" w:ascii="宋体" w:hAnsi="宋体" w:eastAsia="宋体" w:cs="宋体"/>
          <w:b w:val="0"/>
          <w:bCs w:val="0"/>
          <w:sz w:val="28"/>
          <w:szCs w:val="28"/>
          <w:lang w:val="en-US" w:eastAsia="zh-CN"/>
        </w:rPr>
        <w:t>任何担保</w:t>
      </w:r>
      <w:r>
        <w:rPr>
          <w:rFonts w:hint="eastAsia" w:ascii="宋体" w:hAnsi="宋体" w:eastAsia="宋体" w:cs="宋体"/>
          <w:b w:val="0"/>
          <w:bCs w:val="0"/>
          <w:sz w:val="28"/>
          <w:szCs w:val="28"/>
          <w:lang w:val="en-US" w:eastAsia="zh-CN"/>
        </w:rPr>
        <w:t>，其中</w:t>
      </w:r>
      <w:r>
        <w:rPr>
          <w:rFonts w:hint="default" w:ascii="宋体" w:hAnsi="宋体" w:eastAsia="宋体" w:cs="宋体"/>
          <w:b w:val="0"/>
          <w:bCs w:val="0"/>
          <w:sz w:val="28"/>
          <w:szCs w:val="28"/>
          <w:lang w:val="en-US" w:eastAsia="zh-CN"/>
        </w:rPr>
        <w:t>未知的、潜在的瑕疵、风险</w:t>
      </w:r>
      <w:r>
        <w:rPr>
          <w:rFonts w:hint="eastAsia" w:ascii="宋体" w:hAnsi="宋体" w:eastAsia="宋体" w:cs="宋体"/>
          <w:b w:val="0"/>
          <w:bCs w:val="0"/>
          <w:sz w:val="28"/>
          <w:szCs w:val="28"/>
          <w:lang w:val="en-US" w:eastAsia="zh-CN"/>
        </w:rPr>
        <w:t>，以及</w:t>
      </w:r>
      <w:r>
        <w:rPr>
          <w:rFonts w:hint="default" w:ascii="宋体" w:hAnsi="宋体" w:eastAsia="宋体" w:cs="宋体"/>
          <w:b w:val="0"/>
          <w:bCs w:val="0"/>
          <w:sz w:val="28"/>
          <w:szCs w:val="28"/>
          <w:lang w:val="en-US" w:eastAsia="zh-CN"/>
        </w:rPr>
        <w:t>法律法规、政策</w:t>
      </w:r>
      <w:r>
        <w:rPr>
          <w:rFonts w:hint="eastAsia" w:ascii="宋体" w:hAnsi="宋体" w:eastAsia="宋体" w:cs="宋体"/>
          <w:b w:val="0"/>
          <w:bCs w:val="0"/>
          <w:sz w:val="28"/>
          <w:szCs w:val="28"/>
          <w:lang w:val="en-US" w:eastAsia="zh-CN"/>
        </w:rPr>
        <w:t>调整产生的</w:t>
      </w:r>
      <w:r>
        <w:rPr>
          <w:rFonts w:hint="default" w:ascii="宋体" w:hAnsi="宋体" w:eastAsia="宋体" w:cs="宋体"/>
          <w:b w:val="0"/>
          <w:bCs w:val="0"/>
          <w:sz w:val="28"/>
          <w:szCs w:val="28"/>
          <w:lang w:val="en-US" w:eastAsia="zh-CN"/>
        </w:rPr>
        <w:t>风险</w:t>
      </w:r>
      <w:r>
        <w:rPr>
          <w:rFonts w:hint="eastAsia" w:ascii="宋体" w:hAnsi="宋体" w:eastAsia="宋体" w:cs="宋体"/>
          <w:b w:val="0"/>
          <w:bCs w:val="0"/>
          <w:sz w:val="28"/>
          <w:szCs w:val="28"/>
          <w:lang w:val="en-US" w:eastAsia="zh-CN"/>
        </w:rPr>
        <w:t>，均由</w:t>
      </w:r>
      <w:r>
        <w:rPr>
          <w:rFonts w:hint="default" w:ascii="宋体" w:hAnsi="宋体" w:eastAsia="宋体" w:cs="宋体"/>
          <w:b w:val="0"/>
          <w:bCs w:val="0"/>
          <w:sz w:val="28"/>
          <w:szCs w:val="28"/>
          <w:lang w:val="en-US" w:eastAsia="zh-CN"/>
        </w:rPr>
        <w:t>意向投资人自行</w:t>
      </w:r>
      <w:r>
        <w:rPr>
          <w:rFonts w:hint="eastAsia" w:ascii="宋体" w:hAnsi="宋体" w:eastAsia="宋体" w:cs="宋体"/>
          <w:b w:val="0"/>
          <w:bCs w:val="0"/>
          <w:sz w:val="28"/>
          <w:szCs w:val="28"/>
          <w:lang w:val="en-US" w:eastAsia="zh-CN"/>
        </w:rPr>
        <w:t>承担</w:t>
      </w:r>
      <w:r>
        <w:rPr>
          <w:rFonts w:hint="default" w:ascii="宋体" w:hAnsi="宋体" w:eastAsia="宋体" w:cs="宋体"/>
          <w:b w:val="0"/>
          <w:bCs w:val="0"/>
          <w:sz w:val="28"/>
          <w:szCs w:val="28"/>
          <w:lang w:val="en-US" w:eastAsia="zh-CN"/>
        </w:rPr>
        <w:t>。</w:t>
      </w:r>
    </w:p>
    <w:p w14:paraId="7F504AF9">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4.</w:t>
      </w:r>
      <w:r>
        <w:rPr>
          <w:rFonts w:hint="eastAsia" w:ascii="宋体" w:hAnsi="宋体" w:eastAsia="宋体" w:cs="宋体"/>
          <w:b w:val="0"/>
          <w:bCs w:val="0"/>
          <w:sz w:val="28"/>
          <w:szCs w:val="28"/>
          <w:lang w:val="en-US" w:eastAsia="zh-CN"/>
        </w:rPr>
        <w:t>宸健公司是否进入重整程序存在不确定性。在法院裁定对宸健公司进行重整（包括与关联公司合并重整）后，根据本公告成功报名的意向投资人，自动转为重整程序中的意向投资人，报名保证金自动转为重整保证金。</w:t>
      </w:r>
    </w:p>
    <w:p w14:paraId="6EBD65E5">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5.</w:t>
      </w:r>
      <w:r>
        <w:rPr>
          <w:rFonts w:hint="eastAsia" w:ascii="宋体" w:hAnsi="宋体" w:eastAsia="宋体" w:cs="宋体"/>
          <w:b w:val="0"/>
          <w:bCs w:val="0"/>
          <w:sz w:val="28"/>
          <w:szCs w:val="28"/>
          <w:lang w:val="en-US" w:eastAsia="zh-CN"/>
        </w:rPr>
        <w:t>因出现意向投资人不符合招募条件和要求、未能被遴选确定为重整投资人等情形需返还保证金的，返还时不计付利息。</w:t>
      </w:r>
    </w:p>
    <w:p w14:paraId="0D2871CC">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6.本公告由管理人编制，解释权归属于管理人。管理人有权决定中止或撤回或延长本次招募工作，上述各项工作具体实施过程中如需调整的，以管理人的通知为准。</w:t>
      </w:r>
    </w:p>
    <w:p w14:paraId="5AE42B83">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Style w:val="6"/>
          <w:rFonts w:hint="eastAsia"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7.</w:t>
      </w:r>
      <w:r>
        <w:rPr>
          <w:rFonts w:hint="eastAsia" w:ascii="宋体" w:hAnsi="宋体" w:eastAsia="宋体" w:cs="宋体"/>
          <w:b w:val="0"/>
          <w:bCs w:val="0"/>
          <w:sz w:val="28"/>
          <w:szCs w:val="28"/>
          <w:lang w:val="en-US" w:eastAsia="zh-CN"/>
        </w:rPr>
        <w:t>管理人联系方式：</w:t>
      </w:r>
      <w:r>
        <w:rPr>
          <w:rStyle w:val="6"/>
          <w:rFonts w:hint="eastAsia" w:ascii="宋体" w:hAnsi="宋体" w:eastAsia="宋体" w:cs="宋体"/>
          <w:b w:val="0"/>
          <w:bCs w:val="0"/>
          <w:sz w:val="28"/>
          <w:szCs w:val="28"/>
        </w:rPr>
        <w:t>浙江省</w:t>
      </w:r>
      <w:r>
        <w:rPr>
          <w:rStyle w:val="6"/>
          <w:rFonts w:hint="eastAsia" w:ascii="宋体" w:hAnsi="宋体" w:eastAsia="宋体" w:cs="宋体"/>
          <w:b w:val="0"/>
          <w:bCs w:val="0"/>
          <w:sz w:val="28"/>
          <w:szCs w:val="28"/>
          <w:lang w:val="en-US" w:eastAsia="zh-CN"/>
        </w:rPr>
        <w:t>衢州市柯城区白云中大道88号颐高广场B座东20楼，毛</w:t>
      </w:r>
      <w:r>
        <w:rPr>
          <w:rStyle w:val="6"/>
          <w:rFonts w:hint="eastAsia" w:ascii="宋体" w:hAnsi="宋体" w:eastAsia="宋体" w:cs="宋体"/>
          <w:b w:val="0"/>
          <w:bCs w:val="0"/>
          <w:sz w:val="28"/>
          <w:szCs w:val="28"/>
        </w:rPr>
        <w:t>律师，电话</w:t>
      </w:r>
      <w:r>
        <w:rPr>
          <w:rStyle w:val="6"/>
          <w:rFonts w:hint="eastAsia" w:ascii="宋体" w:hAnsi="宋体" w:eastAsia="宋体" w:cs="宋体"/>
          <w:b w:val="0"/>
          <w:bCs w:val="0"/>
          <w:sz w:val="28"/>
          <w:szCs w:val="28"/>
          <w:lang w:val="en-US" w:eastAsia="zh-CN"/>
        </w:rPr>
        <w:t>13505703121。</w:t>
      </w:r>
    </w:p>
    <w:p w14:paraId="41E5C48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特此公告。</w:t>
      </w:r>
    </w:p>
    <w:p w14:paraId="7675AC2C">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jc w:val="righ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衢州市衢江宸健中医骨伤医院有限公司管理人</w:t>
      </w:r>
    </w:p>
    <w:p w14:paraId="0EEE88E9">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60" w:lineRule="exact"/>
        <w:ind w:left="0" w:firstLine="560" w:firstLineChars="200"/>
        <w:jc w:val="right"/>
        <w:textAlignment w:val="auto"/>
      </w:pPr>
      <w:r>
        <w:rPr>
          <w:rFonts w:hint="eastAsia" w:ascii="宋体" w:hAnsi="宋体" w:eastAsia="宋体" w:cs="宋体"/>
          <w:b w:val="0"/>
          <w:bCs w:val="0"/>
          <w:sz w:val="28"/>
          <w:szCs w:val="28"/>
          <w:lang w:val="en-US" w:eastAsia="zh-CN"/>
        </w:rPr>
        <w:t>2025</w:t>
      </w:r>
      <w:r>
        <w:rPr>
          <w:rFonts w:hint="eastAsia" w:ascii="宋体" w:hAnsi="宋体" w:eastAsia="宋体" w:cs="宋体"/>
          <w:b w:val="0"/>
          <w:bCs w:val="0"/>
          <w:color w:val="auto"/>
          <w:sz w:val="28"/>
          <w:szCs w:val="28"/>
          <w:lang w:val="en-US" w:eastAsia="zh-CN"/>
        </w:rPr>
        <w:t>年10月30日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064C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865DF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865DF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59ED1C"/>
    <w:multiLevelType w:val="singleLevel"/>
    <w:tmpl w:val="A159ED1C"/>
    <w:lvl w:ilvl="0" w:tentative="0">
      <w:start w:val="1"/>
      <w:numFmt w:val="chineseCounting"/>
      <w:suff w:val="nothing"/>
      <w:lvlText w:val="%1、"/>
      <w:lvlJc w:val="left"/>
      <w:rPr>
        <w:rFonts w:hint="eastAsia"/>
      </w:rPr>
    </w:lvl>
  </w:abstractNum>
  <w:abstractNum w:abstractNumId="1">
    <w:nsid w:val="F67BE254"/>
    <w:multiLevelType w:val="singleLevel"/>
    <w:tmpl w:val="F67BE254"/>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7B1E28"/>
    <w:rsid w:val="22130FEE"/>
    <w:rsid w:val="2D5225B9"/>
    <w:rsid w:val="43016F46"/>
    <w:rsid w:val="454D7C42"/>
    <w:rsid w:val="490450A3"/>
    <w:rsid w:val="603E7E45"/>
    <w:rsid w:val="727B1E28"/>
    <w:rsid w:val="762F4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Ascii" w:hAnsiTheme="minorAscii" w:eastAsiaTheme="minorEastAsia" w:cstheme="minorBidi"/>
      <w:kern w:val="2"/>
      <w:sz w:val="28"/>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2711</Words>
  <Characters>2912</Characters>
  <Lines>0</Lines>
  <Paragraphs>0</Paragraphs>
  <TotalTime>143</TotalTime>
  <ScaleCrop>false</ScaleCrop>
  <LinksUpToDate>false</LinksUpToDate>
  <CharactersWithSpaces>2913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2025-09-12T06:33:00Z</dcterms:created>
  <dc:creator>明眸♬</dc:creator>
  <cp:lastModifiedBy>毛律师</cp:lastModifiedBy>
  <dcterms:modified xsi:type="dcterms:W3CDTF">2025-10-30T10:01:26Z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95893236609D4A8890C8F782561FF78F_11</vt:lpwstr>
  </property>
  <property fmtid="{D5CDD505-2E9C-101B-9397-08002B2CF9AE}" pid="4" name="KSOTemplateDocerSaveRecord">
    <vt:lpwstr>eyJoZGlkIjoiYTI4NmMxOTJkMzE4YTVlZWE2YjQ3NmRlNzZkOTRkYTMiLCJ1c2VySWQiOiIyMTY0MzM1MzUifQ==</vt:lpwstr>
  </property>
</Properties>
</file>