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BEEF9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847" w:firstLineChars="200"/>
        <w:jc w:val="center"/>
        <w:textAlignment w:val="auto"/>
        <w:rPr>
          <w:rFonts w:hint="eastAsia" w:ascii="仿宋" w:hAnsi="仿宋" w:eastAsia="仿宋" w:cs="仿宋"/>
          <w:b/>
          <w:bCs/>
          <w:i w:val="0"/>
          <w:iCs w:val="0"/>
          <w:caps w:val="0"/>
          <w:color w:val="auto"/>
          <w:spacing w:val="11"/>
          <w:sz w:val="40"/>
          <w:szCs w:val="40"/>
          <w:shd w:val="clear" w:fill="FFFFFF"/>
          <w:lang w:eastAsia="zh-CN"/>
        </w:rPr>
      </w:pPr>
      <w:r>
        <w:rPr>
          <w:rFonts w:hint="eastAsia" w:ascii="仿宋" w:hAnsi="仿宋" w:eastAsia="仿宋" w:cs="仿宋"/>
          <w:b/>
          <w:bCs/>
          <w:i w:val="0"/>
          <w:iCs w:val="0"/>
          <w:caps w:val="0"/>
          <w:color w:val="auto"/>
          <w:spacing w:val="11"/>
          <w:sz w:val="40"/>
          <w:szCs w:val="40"/>
          <w:shd w:val="clear" w:fill="FFFFFF"/>
          <w:lang w:eastAsia="zh-CN"/>
        </w:rPr>
        <w:t>婺源县林瑞实业有限公司</w:t>
      </w:r>
    </w:p>
    <w:p w14:paraId="38FF80A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847" w:firstLineChars="200"/>
        <w:jc w:val="center"/>
        <w:textAlignment w:val="auto"/>
        <w:rPr>
          <w:rFonts w:hint="eastAsia" w:ascii="仿宋" w:hAnsi="仿宋" w:eastAsia="仿宋" w:cs="仿宋"/>
          <w:b/>
          <w:bCs/>
          <w:i w:val="0"/>
          <w:iCs w:val="0"/>
          <w:caps w:val="0"/>
          <w:color w:val="auto"/>
          <w:spacing w:val="11"/>
          <w:sz w:val="40"/>
          <w:szCs w:val="40"/>
        </w:rPr>
      </w:pPr>
      <w:r>
        <w:rPr>
          <w:rFonts w:hint="eastAsia" w:ascii="仿宋" w:hAnsi="仿宋" w:eastAsia="仿宋" w:cs="仿宋"/>
          <w:b/>
          <w:bCs/>
          <w:i w:val="0"/>
          <w:iCs w:val="0"/>
          <w:caps w:val="0"/>
          <w:color w:val="auto"/>
          <w:spacing w:val="11"/>
          <w:sz w:val="40"/>
          <w:szCs w:val="40"/>
          <w:shd w:val="clear" w:fill="FFFFFF"/>
          <w:lang w:val="en-US" w:eastAsia="zh-CN"/>
        </w:rPr>
        <w:t>投资人</w:t>
      </w:r>
      <w:r>
        <w:rPr>
          <w:rFonts w:hint="eastAsia" w:ascii="仿宋" w:hAnsi="仿宋" w:eastAsia="仿宋" w:cs="仿宋"/>
          <w:b/>
          <w:bCs/>
          <w:i w:val="0"/>
          <w:iCs w:val="0"/>
          <w:caps w:val="0"/>
          <w:color w:val="auto"/>
          <w:spacing w:val="11"/>
          <w:sz w:val="40"/>
          <w:szCs w:val="40"/>
          <w:shd w:val="clear" w:fill="FFFFFF"/>
        </w:rPr>
        <w:t>招募公告</w:t>
      </w:r>
    </w:p>
    <w:p w14:paraId="55B8A960">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jc w:val="right"/>
        <w:textAlignment w:val="auto"/>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2025）盛民破管字第2-29号</w:t>
      </w:r>
    </w:p>
    <w:p w14:paraId="0A98D2E8">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202</w:t>
      </w: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rPr>
        <w:t>年</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月</w:t>
      </w:r>
      <w:r>
        <w:rPr>
          <w:rFonts w:hint="eastAsia" w:ascii="仿宋" w:hAnsi="仿宋" w:eastAsia="仿宋" w:cs="仿宋"/>
          <w:color w:val="auto"/>
          <w:sz w:val="28"/>
          <w:szCs w:val="28"/>
          <w:lang w:val="en-US" w:eastAsia="zh-CN"/>
        </w:rPr>
        <w:t>23</w:t>
      </w:r>
      <w:r>
        <w:rPr>
          <w:rFonts w:hint="eastAsia" w:ascii="仿宋" w:hAnsi="仿宋" w:eastAsia="仿宋" w:cs="仿宋"/>
          <w:color w:val="auto"/>
          <w:sz w:val="28"/>
          <w:szCs w:val="28"/>
        </w:rPr>
        <w:t>日，</w:t>
      </w:r>
      <w:r>
        <w:rPr>
          <w:rFonts w:hint="eastAsia" w:ascii="仿宋" w:hAnsi="仿宋" w:eastAsia="仿宋" w:cs="仿宋"/>
          <w:color w:val="auto"/>
          <w:sz w:val="28"/>
          <w:szCs w:val="28"/>
          <w:lang w:val="en-US" w:eastAsia="zh-CN"/>
        </w:rPr>
        <w:t>婺源</w:t>
      </w:r>
      <w:r>
        <w:rPr>
          <w:rFonts w:hint="eastAsia" w:ascii="仿宋" w:hAnsi="仿宋" w:eastAsia="仿宋" w:cs="仿宋"/>
          <w:color w:val="auto"/>
          <w:sz w:val="28"/>
          <w:szCs w:val="28"/>
          <w:lang w:eastAsia="zh-CN"/>
        </w:rPr>
        <w:t>县</w:t>
      </w:r>
      <w:r>
        <w:rPr>
          <w:rFonts w:hint="eastAsia" w:ascii="仿宋" w:hAnsi="仿宋" w:eastAsia="仿宋" w:cs="仿宋"/>
          <w:color w:val="auto"/>
          <w:sz w:val="28"/>
          <w:szCs w:val="28"/>
        </w:rPr>
        <w:t>人民法院</w:t>
      </w:r>
      <w:r>
        <w:rPr>
          <w:rFonts w:hint="eastAsia" w:ascii="仿宋" w:hAnsi="仿宋" w:eastAsia="仿宋" w:cs="仿宋"/>
          <w:color w:val="auto"/>
          <w:sz w:val="28"/>
          <w:szCs w:val="28"/>
          <w:lang w:val="en-US" w:eastAsia="zh-CN"/>
        </w:rPr>
        <w:t>作出</w:t>
      </w:r>
      <w:r>
        <w:rPr>
          <w:rFonts w:hint="eastAsia" w:ascii="仿宋" w:hAnsi="仿宋" w:eastAsia="仿宋" w:cs="仿宋"/>
          <w:color w:val="auto"/>
          <w:sz w:val="28"/>
          <w:szCs w:val="28"/>
        </w:rPr>
        <w:t>（202</w:t>
      </w: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rPr>
        <w:t>）赣</w:t>
      </w:r>
      <w:r>
        <w:rPr>
          <w:rFonts w:hint="eastAsia" w:ascii="仿宋" w:hAnsi="仿宋" w:eastAsia="仿宋" w:cs="仿宋"/>
          <w:color w:val="auto"/>
          <w:sz w:val="28"/>
          <w:szCs w:val="28"/>
          <w:lang w:val="en-US" w:eastAsia="zh-CN"/>
        </w:rPr>
        <w:t>1130</w:t>
      </w:r>
      <w:r>
        <w:rPr>
          <w:rFonts w:hint="eastAsia" w:ascii="仿宋" w:hAnsi="仿宋" w:eastAsia="仿宋" w:cs="仿宋"/>
          <w:color w:val="auto"/>
          <w:sz w:val="28"/>
          <w:szCs w:val="28"/>
        </w:rPr>
        <w:t>破申</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号民事裁定书，裁定受理</w:t>
      </w:r>
      <w:bookmarkStart w:id="0" w:name="OLE_LINK1"/>
      <w:r>
        <w:rPr>
          <w:rFonts w:hint="eastAsia" w:ascii="仿宋" w:hAnsi="仿宋" w:eastAsia="仿宋" w:cs="仿宋"/>
          <w:color w:val="auto"/>
          <w:sz w:val="28"/>
          <w:szCs w:val="28"/>
          <w:lang w:val="en-US" w:eastAsia="zh-CN"/>
        </w:rPr>
        <w:t>婺源县林瑞实业</w:t>
      </w:r>
      <w:r>
        <w:rPr>
          <w:rFonts w:hint="eastAsia" w:ascii="仿宋" w:hAnsi="仿宋" w:eastAsia="仿宋" w:cs="仿宋"/>
          <w:color w:val="auto"/>
          <w:sz w:val="28"/>
          <w:szCs w:val="28"/>
          <w:lang w:eastAsia="zh-CN"/>
        </w:rPr>
        <w:t>有限公司</w:t>
      </w:r>
      <w:bookmarkEnd w:id="0"/>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以下简称“林瑞公司”</w:t>
      </w:r>
      <w:r>
        <w:rPr>
          <w:rFonts w:hint="eastAsia" w:ascii="仿宋" w:hAnsi="仿宋" w:eastAsia="仿宋" w:cs="仿宋"/>
          <w:color w:val="auto"/>
          <w:sz w:val="28"/>
          <w:szCs w:val="28"/>
          <w:lang w:eastAsia="zh-CN"/>
        </w:rPr>
        <w:t>）破产</w:t>
      </w:r>
      <w:r>
        <w:rPr>
          <w:rFonts w:hint="eastAsia" w:ascii="仿宋" w:hAnsi="仿宋" w:eastAsia="仿宋" w:cs="仿宋"/>
          <w:color w:val="auto"/>
          <w:sz w:val="28"/>
          <w:szCs w:val="28"/>
          <w:lang w:val="en-US" w:eastAsia="zh-CN"/>
        </w:rPr>
        <w:t>清算案件</w:t>
      </w:r>
      <w:r>
        <w:rPr>
          <w:rFonts w:hint="eastAsia" w:ascii="仿宋" w:hAnsi="仿宋" w:eastAsia="仿宋" w:cs="仿宋"/>
          <w:color w:val="auto"/>
          <w:sz w:val="28"/>
          <w:szCs w:val="28"/>
        </w:rPr>
        <w:t>，并指定江西盛义律师事务所担任</w:t>
      </w:r>
      <w:r>
        <w:rPr>
          <w:rFonts w:hint="eastAsia" w:ascii="仿宋" w:hAnsi="仿宋" w:eastAsia="仿宋" w:cs="仿宋"/>
          <w:color w:val="auto"/>
          <w:sz w:val="28"/>
          <w:szCs w:val="28"/>
          <w:lang w:val="en-US" w:eastAsia="zh-CN"/>
        </w:rPr>
        <w:t>林瑞公司</w:t>
      </w:r>
      <w:r>
        <w:rPr>
          <w:rFonts w:hint="eastAsia" w:ascii="仿宋" w:hAnsi="仿宋" w:eastAsia="仿宋" w:cs="仿宋"/>
          <w:color w:val="auto"/>
          <w:sz w:val="28"/>
          <w:szCs w:val="28"/>
        </w:rPr>
        <w:t>管理人。</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以下简称“管理人”</w:t>
      </w:r>
      <w:r>
        <w:rPr>
          <w:rFonts w:hint="eastAsia" w:ascii="仿宋" w:hAnsi="仿宋" w:eastAsia="仿宋" w:cs="仿宋"/>
          <w:color w:val="auto"/>
          <w:sz w:val="28"/>
          <w:szCs w:val="28"/>
          <w:lang w:eastAsia="zh-CN"/>
        </w:rPr>
        <w:t>）。</w:t>
      </w:r>
    </w:p>
    <w:p w14:paraId="713E3D5C">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为有效推进林瑞公司破产案件，</w:t>
      </w:r>
      <w:r>
        <w:rPr>
          <w:rFonts w:hint="eastAsia" w:ascii="仿宋" w:hAnsi="仿宋" w:eastAsia="仿宋" w:cs="仿宋"/>
          <w:color w:val="auto"/>
          <w:sz w:val="28"/>
          <w:szCs w:val="28"/>
        </w:rPr>
        <w:t>维护</w:t>
      </w:r>
      <w:r>
        <w:rPr>
          <w:rFonts w:hint="eastAsia" w:ascii="仿宋" w:hAnsi="仿宋" w:eastAsia="仿宋" w:cs="仿宋"/>
          <w:color w:val="auto"/>
          <w:sz w:val="28"/>
          <w:szCs w:val="28"/>
          <w:lang w:eastAsia="zh-CN"/>
        </w:rPr>
        <w:t>林瑞公司</w:t>
      </w:r>
      <w:r>
        <w:rPr>
          <w:rFonts w:hint="eastAsia" w:ascii="仿宋" w:hAnsi="仿宋" w:eastAsia="仿宋" w:cs="仿宋"/>
          <w:color w:val="auto"/>
          <w:sz w:val="28"/>
          <w:szCs w:val="28"/>
        </w:rPr>
        <w:t>资产价值和债权人</w:t>
      </w:r>
      <w:r>
        <w:rPr>
          <w:rFonts w:hint="eastAsia" w:ascii="仿宋" w:hAnsi="仿宋" w:eastAsia="仿宋" w:cs="仿宋"/>
          <w:color w:val="auto"/>
          <w:sz w:val="28"/>
          <w:szCs w:val="28"/>
          <w:lang w:val="en-US" w:eastAsia="zh-CN"/>
        </w:rPr>
        <w:t>权益</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根据婺源县林瑞实业有限公司第一次债权人会议通过的</w:t>
      </w:r>
      <w:r>
        <w:rPr>
          <w:rFonts w:hint="default" w:ascii="仿宋" w:hAnsi="仿宋" w:eastAsia="仿宋" w:cs="仿宋"/>
          <w:color w:val="auto"/>
          <w:sz w:val="28"/>
          <w:szCs w:val="28"/>
          <w:lang w:val="en-US" w:eastAsia="zh-CN"/>
        </w:rPr>
        <w:t>《婺源县林瑞实业有限公司财产管理及变价方案》</w:t>
      </w:r>
      <w:r>
        <w:rPr>
          <w:rFonts w:hint="eastAsia" w:ascii="仿宋" w:hAnsi="仿宋" w:eastAsia="仿宋" w:cs="仿宋"/>
          <w:color w:val="auto"/>
          <w:sz w:val="28"/>
          <w:szCs w:val="28"/>
          <w:lang w:val="en-US" w:eastAsia="zh-CN"/>
        </w:rPr>
        <w:t>，</w:t>
      </w:r>
      <w:r>
        <w:rPr>
          <w:rFonts w:hint="eastAsia" w:ascii="仿宋" w:hAnsi="仿宋" w:eastAsia="仿宋" w:cs="仿宋"/>
          <w:color w:val="auto"/>
          <w:sz w:val="28"/>
          <w:szCs w:val="28"/>
        </w:rPr>
        <w:t>管理人现向社会公开推介</w:t>
      </w:r>
      <w:r>
        <w:rPr>
          <w:rFonts w:hint="eastAsia" w:ascii="仿宋" w:hAnsi="仿宋" w:eastAsia="仿宋" w:cs="仿宋"/>
          <w:color w:val="auto"/>
          <w:sz w:val="28"/>
          <w:szCs w:val="28"/>
          <w:lang w:eastAsia="zh-CN"/>
        </w:rPr>
        <w:t>林瑞公司</w:t>
      </w:r>
      <w:r>
        <w:rPr>
          <w:rFonts w:hint="eastAsia" w:ascii="仿宋" w:hAnsi="仿宋" w:eastAsia="仿宋" w:cs="仿宋"/>
          <w:color w:val="auto"/>
          <w:sz w:val="28"/>
          <w:szCs w:val="28"/>
        </w:rPr>
        <w:t>资产并招募投资人，招募公告如下：</w:t>
      </w:r>
    </w:p>
    <w:p w14:paraId="173883F3">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2" w:firstLineChars="200"/>
        <w:textAlignment w:val="auto"/>
        <w:rPr>
          <w:rFonts w:hint="eastAsia" w:ascii="仿宋" w:hAnsi="仿宋" w:eastAsia="仿宋" w:cs="仿宋"/>
          <w:b/>
          <w:bCs w:val="0"/>
          <w:color w:val="auto"/>
          <w:sz w:val="28"/>
          <w:szCs w:val="28"/>
          <w:lang w:val="en-US" w:eastAsia="zh-CN"/>
        </w:rPr>
      </w:pPr>
      <w:r>
        <w:rPr>
          <w:rStyle w:val="8"/>
          <w:rFonts w:hint="eastAsia" w:ascii="仿宋" w:hAnsi="仿宋" w:eastAsia="仿宋" w:cs="仿宋"/>
          <w:b/>
          <w:bCs w:val="0"/>
          <w:color w:val="auto"/>
          <w:sz w:val="28"/>
          <w:szCs w:val="28"/>
        </w:rPr>
        <w:t>一、</w:t>
      </w:r>
      <w:r>
        <w:rPr>
          <w:rStyle w:val="8"/>
          <w:rFonts w:hint="eastAsia" w:ascii="仿宋" w:hAnsi="仿宋" w:eastAsia="仿宋" w:cs="仿宋"/>
          <w:b/>
          <w:bCs w:val="0"/>
          <w:color w:val="auto"/>
          <w:sz w:val="28"/>
          <w:szCs w:val="28"/>
          <w:lang w:val="en-US" w:eastAsia="zh-CN"/>
        </w:rPr>
        <w:t>基本情况</w:t>
      </w:r>
    </w:p>
    <w:p w14:paraId="0CF6EE49">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2" w:firstLineChars="200"/>
        <w:textAlignment w:val="auto"/>
        <w:rPr>
          <w:rFonts w:hint="default" w:ascii="仿宋" w:hAnsi="仿宋" w:eastAsia="仿宋" w:cs="仿宋"/>
          <w:b/>
          <w:bCs/>
          <w:color w:val="auto"/>
          <w:sz w:val="28"/>
          <w:szCs w:val="28"/>
          <w:lang w:val="en-US" w:eastAsia="zh-CN"/>
        </w:rPr>
      </w:pPr>
      <w:r>
        <w:rPr>
          <w:rFonts w:hint="eastAsia" w:ascii="仿宋" w:hAnsi="仿宋" w:eastAsia="仿宋" w:cs="仿宋"/>
          <w:b/>
          <w:bCs/>
          <w:color w:val="auto"/>
          <w:sz w:val="28"/>
          <w:szCs w:val="28"/>
          <w:lang w:eastAsia="zh-CN"/>
        </w:rPr>
        <w:t>（</w:t>
      </w:r>
      <w:r>
        <w:rPr>
          <w:rFonts w:hint="eastAsia" w:ascii="仿宋" w:hAnsi="仿宋" w:eastAsia="仿宋" w:cs="仿宋"/>
          <w:b/>
          <w:bCs/>
          <w:color w:val="auto"/>
          <w:sz w:val="28"/>
          <w:szCs w:val="28"/>
          <w:lang w:val="en-US" w:eastAsia="zh-CN"/>
        </w:rPr>
        <w:t>一</w:t>
      </w:r>
      <w:r>
        <w:rPr>
          <w:rFonts w:hint="eastAsia" w:ascii="仿宋" w:hAnsi="仿宋" w:eastAsia="仿宋" w:cs="仿宋"/>
          <w:b/>
          <w:bCs/>
          <w:color w:val="auto"/>
          <w:sz w:val="28"/>
          <w:szCs w:val="28"/>
          <w:lang w:eastAsia="zh-CN"/>
        </w:rPr>
        <w:t>）</w:t>
      </w:r>
      <w:r>
        <w:rPr>
          <w:rFonts w:hint="eastAsia" w:ascii="仿宋" w:hAnsi="仿宋" w:eastAsia="仿宋" w:cs="仿宋"/>
          <w:b/>
          <w:bCs/>
          <w:color w:val="auto"/>
          <w:sz w:val="28"/>
          <w:szCs w:val="28"/>
          <w:lang w:val="en-US" w:eastAsia="zh-CN"/>
        </w:rPr>
        <w:t>公司基本情况</w:t>
      </w:r>
    </w:p>
    <w:p w14:paraId="1B2433E7">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林瑞公司经婺源县市场监督管理局登记设立，</w:t>
      </w:r>
      <w:r>
        <w:rPr>
          <w:rFonts w:hint="eastAsia" w:ascii="仿宋" w:hAnsi="仿宋" w:eastAsia="仿宋" w:cs="仿宋"/>
          <w:color w:val="auto"/>
          <w:sz w:val="28"/>
          <w:szCs w:val="28"/>
          <w:lang w:val="en-US" w:eastAsia="zh-CN"/>
        </w:rPr>
        <w:t>统一社会信用代码为91361130083943548，</w:t>
      </w:r>
      <w:r>
        <w:rPr>
          <w:rFonts w:hint="eastAsia" w:ascii="仿宋" w:hAnsi="仿宋" w:eastAsia="仿宋" w:cs="仿宋"/>
          <w:color w:val="auto"/>
          <w:sz w:val="28"/>
          <w:szCs w:val="28"/>
          <w:lang w:eastAsia="zh-CN"/>
        </w:rPr>
        <w:t>经营期限自2013年12月12日至2063年12月12日，注册资本1,000万元，住所地位于江西省上饶市婺源县工业园区才仕大道婺源国际汽车城8 幢 315号，</w:t>
      </w:r>
      <w:r>
        <w:rPr>
          <w:rFonts w:hint="eastAsia" w:ascii="仿宋" w:hAnsi="仿宋" w:eastAsia="仿宋" w:cs="仿宋"/>
          <w:color w:val="auto"/>
          <w:sz w:val="28"/>
          <w:szCs w:val="28"/>
          <w:lang w:val="en-US" w:eastAsia="zh-CN"/>
        </w:rPr>
        <w:t>法定代表人为王瑞森，股东为叶学林60%、王瑞森39.2%、曹金龙0.8%。</w:t>
      </w:r>
      <w:r>
        <w:rPr>
          <w:rFonts w:hint="eastAsia" w:ascii="仿宋" w:hAnsi="仿宋" w:eastAsia="仿宋" w:cs="仿宋"/>
          <w:color w:val="auto"/>
          <w:sz w:val="28"/>
          <w:szCs w:val="28"/>
          <w:lang w:eastAsia="zh-CN"/>
        </w:rPr>
        <w:t>经营范围为汽车及配件销售、汽车装潢机动车装修、二手车交易、机动车性能检测、代办机动车上牌及机动车保险服务；汽车城（4S）项目开发经营（以上项目国有专项规定的凭资质证或许可证经营）。</w:t>
      </w:r>
    </w:p>
    <w:p w14:paraId="17709FBA">
      <w:pPr>
        <w:pStyle w:val="5"/>
        <w:keepNext w:val="0"/>
        <w:keepLines w:val="0"/>
        <w:pageBreakBefore w:val="0"/>
        <w:widowControl/>
        <w:numPr>
          <w:ilvl w:val="0"/>
          <w:numId w:val="1"/>
        </w:numPr>
        <w:suppressLineNumbers w:val="0"/>
        <w:kinsoku/>
        <w:wordWrap/>
        <w:overflowPunct/>
        <w:topLinePunct w:val="0"/>
        <w:autoSpaceDE/>
        <w:autoSpaceDN/>
        <w:bidi w:val="0"/>
        <w:adjustRightInd/>
        <w:snapToGrid/>
        <w:spacing w:beforeAutospacing="0" w:after="0" w:afterAutospacing="0" w:line="240" w:lineRule="auto"/>
        <w:ind w:left="0" w:firstLine="562"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破产清算案件基本情况</w:t>
      </w:r>
    </w:p>
    <w:p w14:paraId="13A49060">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line="240" w:lineRule="auto"/>
        <w:ind w:right="0" w:rightChars="0" w:firstLine="560" w:firstLineChars="200"/>
        <w:textAlignment w:val="auto"/>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2025年5月29日，婺源县林瑞实业有限公司第一次债权人会议在婺源县人民法院顺利召开，会议</w:t>
      </w:r>
      <w:r>
        <w:rPr>
          <w:rFonts w:hint="eastAsia" w:ascii="仿宋" w:hAnsi="仿宋" w:eastAsia="仿宋" w:cs="仿宋"/>
          <w:color w:val="auto"/>
          <w:sz w:val="28"/>
          <w:szCs w:val="28"/>
          <w:lang w:val="en-US" w:eastAsia="zh-CN"/>
        </w:rPr>
        <w:t>表决通过了</w:t>
      </w:r>
      <w:r>
        <w:rPr>
          <w:rFonts w:hint="default" w:ascii="仿宋" w:hAnsi="仿宋" w:eastAsia="仿宋" w:cs="仿宋"/>
          <w:color w:val="auto"/>
          <w:sz w:val="28"/>
          <w:szCs w:val="28"/>
          <w:lang w:val="en-US" w:eastAsia="zh-CN"/>
        </w:rPr>
        <w:t>《婺源县林瑞实业有限公司财产管理及变价方案》</w:t>
      </w:r>
      <w:r>
        <w:rPr>
          <w:rFonts w:hint="eastAsia" w:ascii="仿宋" w:hAnsi="仿宋" w:eastAsia="仿宋" w:cs="仿宋"/>
          <w:color w:val="auto"/>
          <w:sz w:val="28"/>
          <w:szCs w:val="28"/>
          <w:lang w:val="en-US" w:eastAsia="zh-CN"/>
        </w:rPr>
        <w:t>，同意在</w:t>
      </w:r>
      <w:r>
        <w:rPr>
          <w:rFonts w:hint="default" w:ascii="仿宋" w:hAnsi="仿宋" w:eastAsia="仿宋" w:cs="仿宋"/>
          <w:color w:val="auto"/>
          <w:sz w:val="28"/>
          <w:szCs w:val="28"/>
          <w:lang w:val="en-US" w:eastAsia="zh-CN"/>
        </w:rPr>
        <w:t>《婺源县林瑞实业有限公司财产管理及变价方案》</w:t>
      </w:r>
      <w:r>
        <w:rPr>
          <w:rFonts w:hint="eastAsia" w:ascii="仿宋" w:hAnsi="仿宋" w:eastAsia="仿宋" w:cs="仿宋"/>
          <w:color w:val="auto"/>
          <w:sz w:val="28"/>
          <w:szCs w:val="28"/>
          <w:lang w:val="en-US" w:eastAsia="zh-CN"/>
        </w:rPr>
        <w:t>通过之日起6个月(以管理人公布本变价方案表决结果为起算时间)招募投资人。</w:t>
      </w:r>
    </w:p>
    <w:p w14:paraId="13F6074A">
      <w:pPr>
        <w:pStyle w:val="5"/>
        <w:keepNext w:val="0"/>
        <w:keepLines w:val="0"/>
        <w:pageBreakBefore w:val="0"/>
        <w:widowControl/>
        <w:numPr>
          <w:ilvl w:val="0"/>
          <w:numId w:val="2"/>
        </w:numPr>
        <w:suppressLineNumbers w:val="0"/>
        <w:kinsoku/>
        <w:wordWrap/>
        <w:overflowPunct/>
        <w:topLinePunct w:val="0"/>
        <w:autoSpaceDE/>
        <w:autoSpaceDN/>
        <w:bidi w:val="0"/>
        <w:adjustRightInd/>
        <w:snapToGrid/>
        <w:spacing w:beforeAutospacing="0" w:after="0" w:afterAutospacing="0" w:line="240" w:lineRule="auto"/>
        <w:ind w:left="0" w:firstLine="562" w:firstLineChars="200"/>
        <w:textAlignment w:val="auto"/>
        <w:rPr>
          <w:rStyle w:val="8"/>
          <w:rFonts w:hint="eastAsia" w:ascii="仿宋" w:hAnsi="仿宋" w:eastAsia="仿宋" w:cs="仿宋"/>
          <w:b/>
          <w:bCs w:val="0"/>
          <w:color w:val="auto"/>
          <w:sz w:val="28"/>
          <w:szCs w:val="28"/>
        </w:rPr>
      </w:pPr>
      <w:r>
        <w:rPr>
          <w:rStyle w:val="8"/>
          <w:rFonts w:hint="eastAsia" w:ascii="仿宋" w:hAnsi="仿宋" w:eastAsia="仿宋" w:cs="仿宋"/>
          <w:b/>
          <w:bCs w:val="0"/>
          <w:color w:val="auto"/>
          <w:sz w:val="28"/>
          <w:szCs w:val="28"/>
        </w:rPr>
        <w:t>资产概况</w:t>
      </w:r>
    </w:p>
    <w:p w14:paraId="12BFE584">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line="240" w:lineRule="auto"/>
        <w:ind w:leftChars="0" w:right="0" w:rightChars="0" w:firstLine="562" w:firstLineChars="200"/>
        <w:textAlignment w:val="auto"/>
        <w:rPr>
          <w:rStyle w:val="8"/>
          <w:rFonts w:hint="eastAsia" w:ascii="仿宋" w:hAnsi="仿宋" w:eastAsia="仿宋" w:cs="仿宋"/>
          <w:b/>
          <w:bCs w:val="0"/>
          <w:color w:val="auto"/>
          <w:sz w:val="28"/>
          <w:szCs w:val="28"/>
        </w:rPr>
      </w:pPr>
      <w:r>
        <w:rPr>
          <w:rStyle w:val="8"/>
          <w:rFonts w:hint="eastAsia" w:ascii="仿宋" w:hAnsi="仿宋" w:eastAsia="仿宋" w:cs="仿宋"/>
          <w:b/>
          <w:bCs w:val="0"/>
          <w:color w:val="auto"/>
          <w:sz w:val="28"/>
          <w:szCs w:val="28"/>
          <w:lang w:eastAsia="zh-CN"/>
        </w:rPr>
        <w:t>（</w:t>
      </w:r>
      <w:r>
        <w:rPr>
          <w:rStyle w:val="8"/>
          <w:rFonts w:hint="eastAsia" w:ascii="仿宋" w:hAnsi="仿宋" w:eastAsia="仿宋" w:cs="仿宋"/>
          <w:b/>
          <w:bCs w:val="0"/>
          <w:color w:val="auto"/>
          <w:sz w:val="28"/>
          <w:szCs w:val="28"/>
          <w:lang w:val="en-US" w:eastAsia="zh-CN"/>
        </w:rPr>
        <w:t>一</w:t>
      </w:r>
      <w:r>
        <w:rPr>
          <w:rStyle w:val="8"/>
          <w:rFonts w:hint="eastAsia" w:ascii="仿宋" w:hAnsi="仿宋" w:eastAsia="仿宋" w:cs="仿宋"/>
          <w:b/>
          <w:bCs w:val="0"/>
          <w:color w:val="auto"/>
          <w:sz w:val="28"/>
          <w:szCs w:val="28"/>
          <w:lang w:eastAsia="zh-CN"/>
        </w:rPr>
        <w:t>）</w:t>
      </w:r>
      <w:r>
        <w:rPr>
          <w:rStyle w:val="8"/>
          <w:rFonts w:hint="eastAsia" w:ascii="仿宋" w:hAnsi="仿宋" w:eastAsia="仿宋" w:cs="仿宋"/>
          <w:b/>
          <w:bCs w:val="0"/>
          <w:color w:val="auto"/>
          <w:sz w:val="28"/>
          <w:szCs w:val="28"/>
        </w:rPr>
        <w:t>婺源国际汽车城项目</w:t>
      </w:r>
    </w:p>
    <w:p w14:paraId="4DCCCF01">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line="240" w:lineRule="auto"/>
        <w:ind w:leftChars="0" w:right="0" w:rightChars="0" w:firstLine="560" w:firstLineChars="200"/>
        <w:textAlignment w:val="auto"/>
        <w:rPr>
          <w:rStyle w:val="8"/>
          <w:rFonts w:hint="default" w:ascii="仿宋" w:hAnsi="仿宋" w:eastAsia="仿宋" w:cs="仿宋"/>
          <w:b w:val="0"/>
          <w:bCs/>
          <w:color w:val="auto"/>
          <w:sz w:val="28"/>
          <w:szCs w:val="28"/>
          <w:lang w:val="en-US" w:eastAsia="zh-CN"/>
        </w:rPr>
      </w:pPr>
      <w:r>
        <w:rPr>
          <w:rStyle w:val="8"/>
          <w:rFonts w:hint="eastAsia" w:ascii="仿宋" w:hAnsi="仿宋" w:eastAsia="仿宋" w:cs="仿宋"/>
          <w:b w:val="0"/>
          <w:bCs/>
          <w:color w:val="auto"/>
          <w:sz w:val="28"/>
          <w:szCs w:val="28"/>
          <w:lang w:val="en-US" w:eastAsia="zh-CN"/>
        </w:rPr>
        <w:t>位置：婺源县金庸大道婺源国际汽车城</w:t>
      </w:r>
    </w:p>
    <w:p w14:paraId="702B6215">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line="240" w:lineRule="auto"/>
        <w:ind w:leftChars="0" w:right="0" w:rightChars="0" w:firstLine="560" w:firstLineChars="200"/>
        <w:textAlignment w:val="auto"/>
        <w:rPr>
          <w:rStyle w:val="8"/>
          <w:rFonts w:hint="eastAsia" w:ascii="仿宋" w:hAnsi="仿宋" w:eastAsia="仿宋" w:cs="仿宋"/>
          <w:b w:val="0"/>
          <w:bCs/>
          <w:color w:val="auto"/>
          <w:sz w:val="28"/>
          <w:szCs w:val="28"/>
        </w:rPr>
      </w:pPr>
      <w:r>
        <w:rPr>
          <w:rStyle w:val="8"/>
          <w:rFonts w:hint="eastAsia" w:ascii="仿宋" w:hAnsi="仿宋" w:eastAsia="仿宋" w:cs="仿宋"/>
          <w:b w:val="0"/>
          <w:bCs/>
          <w:color w:val="auto"/>
          <w:sz w:val="28"/>
          <w:szCs w:val="28"/>
          <w:lang w:val="en-US" w:eastAsia="zh-CN"/>
        </w:rPr>
        <w:t>资产类型：</w:t>
      </w:r>
      <w:r>
        <w:rPr>
          <w:rStyle w:val="8"/>
          <w:rFonts w:hint="eastAsia" w:ascii="仿宋" w:hAnsi="仿宋" w:eastAsia="仿宋" w:cs="仿宋"/>
          <w:b w:val="0"/>
          <w:bCs/>
          <w:color w:val="auto"/>
          <w:sz w:val="28"/>
          <w:szCs w:val="28"/>
        </w:rPr>
        <w:t>综合性汽车商贸服务综合体</w:t>
      </w:r>
      <w:r>
        <w:rPr>
          <w:rStyle w:val="8"/>
          <w:rFonts w:hint="eastAsia" w:ascii="仿宋" w:hAnsi="仿宋" w:eastAsia="仿宋" w:cs="仿宋"/>
          <w:b w:val="0"/>
          <w:bCs/>
          <w:color w:val="auto"/>
          <w:sz w:val="28"/>
          <w:szCs w:val="28"/>
          <w:lang w:eastAsia="zh-CN"/>
        </w:rPr>
        <w:t>，</w:t>
      </w:r>
      <w:r>
        <w:rPr>
          <w:rStyle w:val="8"/>
          <w:rFonts w:hint="eastAsia" w:ascii="仿宋" w:hAnsi="仿宋" w:eastAsia="仿宋" w:cs="仿宋"/>
          <w:b w:val="0"/>
          <w:bCs/>
          <w:color w:val="auto"/>
          <w:sz w:val="28"/>
          <w:szCs w:val="28"/>
          <w:lang w:val="en-US" w:eastAsia="zh-CN"/>
        </w:rPr>
        <w:t>分为商业店面及8号楼维也纳大酒店，均已完工，办理了不动产权证</w:t>
      </w:r>
      <w:r>
        <w:rPr>
          <w:rStyle w:val="8"/>
          <w:rFonts w:hint="eastAsia" w:ascii="仿宋" w:hAnsi="仿宋" w:eastAsia="仿宋" w:cs="仿宋"/>
          <w:b w:val="0"/>
          <w:bCs/>
          <w:color w:val="auto"/>
          <w:sz w:val="28"/>
          <w:szCs w:val="28"/>
        </w:rPr>
        <w:t>。</w:t>
      </w:r>
    </w:p>
    <w:p w14:paraId="3B07D766">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line="240" w:lineRule="auto"/>
        <w:ind w:leftChars="0" w:right="0" w:rightChars="0" w:firstLine="560" w:firstLineChars="200"/>
        <w:textAlignment w:val="auto"/>
        <w:rPr>
          <w:rStyle w:val="8"/>
          <w:rFonts w:hint="eastAsia" w:ascii="仿宋" w:hAnsi="仿宋" w:eastAsia="仿宋" w:cs="仿宋"/>
          <w:b w:val="0"/>
          <w:bCs/>
          <w:color w:val="auto"/>
          <w:sz w:val="28"/>
          <w:szCs w:val="28"/>
          <w:lang w:val="en-US" w:eastAsia="zh-CN"/>
        </w:rPr>
      </w:pPr>
      <w:r>
        <w:rPr>
          <w:rStyle w:val="8"/>
          <w:rFonts w:hint="eastAsia" w:ascii="仿宋" w:hAnsi="仿宋" w:eastAsia="仿宋" w:cs="仿宋"/>
          <w:b w:val="0"/>
          <w:bCs/>
          <w:color w:val="auto"/>
          <w:sz w:val="28"/>
          <w:szCs w:val="28"/>
          <w:lang w:val="en-US" w:eastAsia="zh-CN"/>
        </w:rPr>
        <w:t>1、商业店面共办理238本不动产权证，其中216本已办理抵押，22间未办理抵押。大多数店面均已出租。</w:t>
      </w:r>
    </w:p>
    <w:p w14:paraId="14AA04A1">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line="240" w:lineRule="auto"/>
        <w:ind w:leftChars="0" w:right="0" w:rightChars="0" w:firstLine="560" w:firstLineChars="200"/>
        <w:textAlignment w:val="auto"/>
        <w:rPr>
          <w:rStyle w:val="8"/>
          <w:rFonts w:hint="eastAsia" w:ascii="仿宋" w:hAnsi="仿宋" w:eastAsia="仿宋" w:cs="仿宋"/>
          <w:b w:val="0"/>
          <w:bCs/>
          <w:color w:val="auto"/>
          <w:sz w:val="28"/>
          <w:szCs w:val="28"/>
          <w:lang w:eastAsia="zh-CN"/>
        </w:rPr>
      </w:pPr>
      <w:r>
        <w:rPr>
          <w:rStyle w:val="8"/>
          <w:rFonts w:hint="eastAsia" w:ascii="仿宋" w:hAnsi="仿宋" w:eastAsia="仿宋" w:cs="仿宋"/>
          <w:b w:val="0"/>
          <w:bCs/>
          <w:color w:val="auto"/>
          <w:sz w:val="28"/>
          <w:szCs w:val="28"/>
          <w:lang w:val="en-US" w:eastAsia="zh-CN"/>
        </w:rPr>
        <w:t>2、8号楼维也纳大酒店共办理230本不动产权证，其中203本已办理抵押，27本未办理抵押。</w:t>
      </w:r>
      <w:r>
        <w:rPr>
          <w:rStyle w:val="8"/>
          <w:rFonts w:hint="eastAsia" w:ascii="仿宋" w:hAnsi="仿宋" w:eastAsia="仿宋" w:cs="仿宋"/>
          <w:b w:val="0"/>
          <w:bCs/>
          <w:color w:val="auto"/>
          <w:sz w:val="28"/>
          <w:szCs w:val="28"/>
        </w:rPr>
        <w:t>总建筑面积19,962.57平方米，含地下人防工程6,004平方米，建筑层数共12层（含地下1层）</w:t>
      </w:r>
      <w:r>
        <w:rPr>
          <w:rStyle w:val="8"/>
          <w:rFonts w:hint="eastAsia" w:ascii="仿宋" w:hAnsi="仿宋" w:eastAsia="仿宋" w:cs="仿宋"/>
          <w:b w:val="0"/>
          <w:bCs/>
          <w:color w:val="auto"/>
          <w:sz w:val="28"/>
          <w:szCs w:val="28"/>
          <w:lang w:eastAsia="zh-CN"/>
        </w:rPr>
        <w:t>。</w:t>
      </w:r>
    </w:p>
    <w:p w14:paraId="0751E6A1">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line="240" w:lineRule="auto"/>
        <w:ind w:leftChars="0" w:right="0" w:rightChars="0" w:firstLine="560" w:firstLineChars="200"/>
        <w:textAlignment w:val="auto"/>
        <w:rPr>
          <w:rStyle w:val="8"/>
          <w:rFonts w:hint="default" w:ascii="仿宋" w:hAnsi="仿宋" w:eastAsia="仿宋" w:cs="仿宋"/>
          <w:b w:val="0"/>
          <w:bCs/>
          <w:color w:val="auto"/>
          <w:sz w:val="28"/>
          <w:szCs w:val="28"/>
          <w:lang w:val="en-US" w:eastAsia="zh-CN"/>
        </w:rPr>
      </w:pPr>
      <w:r>
        <w:rPr>
          <w:rStyle w:val="8"/>
          <w:rFonts w:hint="eastAsia" w:ascii="仿宋" w:hAnsi="仿宋" w:eastAsia="仿宋" w:cs="仿宋"/>
          <w:b w:val="0"/>
          <w:bCs/>
          <w:color w:val="auto"/>
          <w:sz w:val="28"/>
          <w:szCs w:val="28"/>
          <w:lang w:val="en-US" w:eastAsia="zh-CN"/>
        </w:rPr>
        <w:t>以上不动产权证中存在少部分已经出售，具体资产以实地为准。</w:t>
      </w:r>
    </w:p>
    <w:p w14:paraId="20FD6F1A">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line="240" w:lineRule="auto"/>
        <w:ind w:leftChars="0" w:right="0" w:rightChars="0" w:firstLine="562" w:firstLineChars="200"/>
        <w:textAlignment w:val="auto"/>
        <w:rPr>
          <w:rStyle w:val="8"/>
          <w:rFonts w:hint="eastAsia" w:ascii="仿宋" w:hAnsi="仿宋" w:eastAsia="仿宋" w:cs="仿宋"/>
          <w:b/>
          <w:bCs w:val="0"/>
          <w:color w:val="auto"/>
          <w:sz w:val="28"/>
          <w:szCs w:val="28"/>
        </w:rPr>
      </w:pPr>
      <w:r>
        <w:rPr>
          <w:rStyle w:val="8"/>
          <w:rFonts w:hint="eastAsia" w:ascii="仿宋" w:hAnsi="仿宋" w:eastAsia="仿宋" w:cs="仿宋"/>
          <w:b/>
          <w:bCs w:val="0"/>
          <w:color w:val="auto"/>
          <w:sz w:val="28"/>
          <w:szCs w:val="28"/>
          <w:lang w:eastAsia="zh-CN"/>
        </w:rPr>
        <w:t>（</w:t>
      </w:r>
      <w:r>
        <w:rPr>
          <w:rStyle w:val="8"/>
          <w:rFonts w:hint="eastAsia" w:ascii="仿宋" w:hAnsi="仿宋" w:eastAsia="仿宋" w:cs="仿宋"/>
          <w:b/>
          <w:bCs w:val="0"/>
          <w:color w:val="auto"/>
          <w:sz w:val="28"/>
          <w:szCs w:val="28"/>
          <w:lang w:val="en-US" w:eastAsia="zh-CN"/>
        </w:rPr>
        <w:t>二</w:t>
      </w:r>
      <w:r>
        <w:rPr>
          <w:rStyle w:val="8"/>
          <w:rFonts w:hint="eastAsia" w:ascii="仿宋" w:hAnsi="仿宋" w:eastAsia="仿宋" w:cs="仿宋"/>
          <w:b/>
          <w:bCs w:val="0"/>
          <w:color w:val="auto"/>
          <w:sz w:val="28"/>
          <w:szCs w:val="28"/>
          <w:lang w:eastAsia="zh-CN"/>
        </w:rPr>
        <w:t>）</w:t>
      </w:r>
      <w:r>
        <w:rPr>
          <w:rStyle w:val="8"/>
          <w:rFonts w:hint="eastAsia" w:ascii="仿宋" w:hAnsi="仿宋" w:eastAsia="仿宋" w:cs="仿宋"/>
          <w:b/>
          <w:bCs w:val="0"/>
          <w:color w:val="auto"/>
          <w:sz w:val="28"/>
          <w:szCs w:val="28"/>
        </w:rPr>
        <w:t>资产亮点与投资价值</w:t>
      </w:r>
    </w:p>
    <w:p w14:paraId="4030F35A">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line="240" w:lineRule="auto"/>
        <w:ind w:leftChars="0" w:right="0" w:rightChars="0" w:firstLine="560" w:firstLineChars="200"/>
        <w:textAlignment w:val="auto"/>
        <w:rPr>
          <w:rStyle w:val="8"/>
          <w:rFonts w:hint="eastAsia" w:ascii="仿宋" w:hAnsi="仿宋" w:eastAsia="仿宋" w:cs="仿宋"/>
          <w:b w:val="0"/>
          <w:bCs/>
          <w:color w:val="auto"/>
          <w:sz w:val="28"/>
          <w:szCs w:val="28"/>
          <w:lang w:eastAsia="zh-CN"/>
        </w:rPr>
      </w:pPr>
      <w:r>
        <w:rPr>
          <w:rStyle w:val="8"/>
          <w:rFonts w:hint="eastAsia" w:ascii="仿宋" w:hAnsi="仿宋" w:eastAsia="仿宋" w:cs="仿宋"/>
          <w:b w:val="0"/>
          <w:bCs/>
          <w:color w:val="auto"/>
          <w:sz w:val="28"/>
          <w:szCs w:val="28"/>
          <w:lang w:val="en-US" w:eastAsia="zh-CN"/>
        </w:rPr>
        <w:t>1、</w:t>
      </w:r>
      <w:r>
        <w:rPr>
          <w:rStyle w:val="8"/>
          <w:rFonts w:hint="eastAsia" w:ascii="仿宋" w:hAnsi="仿宋" w:eastAsia="仿宋" w:cs="仿宋"/>
          <w:b w:val="0"/>
          <w:bCs/>
          <w:color w:val="auto"/>
          <w:sz w:val="28"/>
          <w:szCs w:val="28"/>
        </w:rPr>
        <w:t>区位优势</w:t>
      </w:r>
    </w:p>
    <w:p w14:paraId="4653337C">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line="240" w:lineRule="auto"/>
        <w:ind w:leftChars="0" w:right="0" w:rightChars="0" w:firstLine="560" w:firstLineChars="200"/>
        <w:textAlignment w:val="auto"/>
        <w:rPr>
          <w:rStyle w:val="8"/>
          <w:rFonts w:hint="eastAsia" w:ascii="仿宋" w:hAnsi="仿宋" w:eastAsia="仿宋" w:cs="仿宋"/>
          <w:b w:val="0"/>
          <w:bCs/>
          <w:color w:val="auto"/>
          <w:sz w:val="28"/>
          <w:szCs w:val="28"/>
        </w:rPr>
      </w:pPr>
      <w:r>
        <w:rPr>
          <w:rStyle w:val="8"/>
          <w:rFonts w:hint="eastAsia" w:ascii="仿宋" w:hAnsi="仿宋" w:eastAsia="仿宋" w:cs="仿宋"/>
          <w:b w:val="0"/>
          <w:bCs/>
          <w:color w:val="auto"/>
          <w:sz w:val="28"/>
          <w:szCs w:val="28"/>
        </w:rPr>
        <w:t>项目地处婺源县核心发展区域，毗邻交通主干道及汽车产业集聚区，客流量稳定，商业潜力大。</w:t>
      </w:r>
    </w:p>
    <w:p w14:paraId="0831886B">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line="240" w:lineRule="auto"/>
        <w:ind w:leftChars="0" w:right="0" w:rightChars="0" w:firstLine="560" w:firstLineChars="200"/>
        <w:textAlignment w:val="auto"/>
        <w:rPr>
          <w:rStyle w:val="8"/>
          <w:rFonts w:hint="eastAsia" w:ascii="仿宋" w:hAnsi="仿宋" w:eastAsia="仿宋" w:cs="仿宋"/>
          <w:b w:val="0"/>
          <w:bCs/>
          <w:color w:val="auto"/>
          <w:sz w:val="28"/>
          <w:szCs w:val="28"/>
        </w:rPr>
      </w:pPr>
      <w:r>
        <w:rPr>
          <w:rStyle w:val="8"/>
          <w:rFonts w:hint="eastAsia" w:ascii="仿宋" w:hAnsi="仿宋" w:eastAsia="仿宋" w:cs="仿宋"/>
          <w:b w:val="0"/>
          <w:bCs/>
          <w:color w:val="auto"/>
          <w:sz w:val="28"/>
          <w:szCs w:val="28"/>
          <w:lang w:val="en-US" w:eastAsia="zh-CN"/>
        </w:rPr>
        <w:t>2、</w:t>
      </w:r>
      <w:r>
        <w:rPr>
          <w:rStyle w:val="8"/>
          <w:rFonts w:hint="eastAsia" w:ascii="仿宋" w:hAnsi="仿宋" w:eastAsia="仿宋" w:cs="仿宋"/>
          <w:b w:val="0"/>
          <w:bCs/>
          <w:color w:val="auto"/>
          <w:sz w:val="28"/>
          <w:szCs w:val="28"/>
        </w:rPr>
        <w:t>规模与改造空间</w:t>
      </w:r>
    </w:p>
    <w:p w14:paraId="1746BBC2">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line="240" w:lineRule="auto"/>
        <w:ind w:leftChars="0" w:right="0" w:rightChars="0" w:firstLine="560" w:firstLineChars="200"/>
        <w:textAlignment w:val="auto"/>
        <w:rPr>
          <w:rStyle w:val="8"/>
          <w:rFonts w:hint="eastAsia" w:ascii="仿宋" w:hAnsi="仿宋" w:eastAsia="仿宋" w:cs="仿宋"/>
          <w:b w:val="0"/>
          <w:bCs/>
          <w:color w:val="auto"/>
          <w:sz w:val="28"/>
          <w:szCs w:val="28"/>
        </w:rPr>
      </w:pPr>
      <w:r>
        <w:rPr>
          <w:rStyle w:val="8"/>
          <w:rFonts w:hint="eastAsia" w:ascii="仿宋" w:hAnsi="仿宋" w:eastAsia="仿宋" w:cs="仿宋"/>
          <w:b w:val="0"/>
          <w:bCs/>
          <w:color w:val="auto"/>
          <w:sz w:val="28"/>
          <w:szCs w:val="28"/>
        </w:rPr>
        <w:t>维也纳大酒店体量庞大，建筑结构完整，可通过优化设计提升客房数量、会议设施及配套服务功能，适应多元化市场需求。</w:t>
      </w:r>
    </w:p>
    <w:p w14:paraId="1B8EE58A">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2" w:firstLineChars="200"/>
        <w:textAlignment w:val="auto"/>
        <w:rPr>
          <w:rFonts w:hint="eastAsia" w:ascii="仿宋" w:hAnsi="仿宋" w:eastAsia="仿宋" w:cs="仿宋"/>
          <w:color w:val="auto"/>
          <w:sz w:val="28"/>
          <w:szCs w:val="28"/>
        </w:rPr>
      </w:pPr>
      <w:r>
        <w:rPr>
          <w:rStyle w:val="8"/>
          <w:rFonts w:hint="eastAsia" w:ascii="仿宋" w:hAnsi="仿宋" w:eastAsia="仿宋" w:cs="仿宋"/>
          <w:color w:val="auto"/>
          <w:sz w:val="28"/>
          <w:szCs w:val="28"/>
        </w:rPr>
        <w:t>三、投资人招募</w:t>
      </w:r>
    </w:p>
    <w:p w14:paraId="142F9E99">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2" w:firstLineChars="200"/>
        <w:textAlignment w:val="auto"/>
        <w:rPr>
          <w:rFonts w:hint="eastAsia" w:ascii="仿宋" w:hAnsi="仿宋" w:eastAsia="仿宋" w:cs="仿宋"/>
          <w:color w:val="auto"/>
          <w:sz w:val="28"/>
          <w:szCs w:val="28"/>
        </w:rPr>
      </w:pPr>
      <w:r>
        <w:rPr>
          <w:rStyle w:val="8"/>
          <w:rFonts w:hint="eastAsia" w:ascii="仿宋" w:hAnsi="仿宋" w:eastAsia="仿宋" w:cs="仿宋"/>
          <w:color w:val="auto"/>
          <w:sz w:val="28"/>
          <w:szCs w:val="28"/>
        </w:rPr>
        <w:t>（一）招募须知</w:t>
      </w:r>
    </w:p>
    <w:p w14:paraId="2A445F21">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2" w:firstLineChars="200"/>
        <w:textAlignment w:val="auto"/>
        <w:rPr>
          <w:rFonts w:hint="eastAsia" w:ascii="仿宋" w:hAnsi="仿宋" w:eastAsia="仿宋" w:cs="仿宋"/>
          <w:color w:val="auto"/>
          <w:sz w:val="28"/>
          <w:szCs w:val="28"/>
        </w:rPr>
      </w:pPr>
      <w:r>
        <w:rPr>
          <w:rStyle w:val="8"/>
          <w:rFonts w:hint="eastAsia" w:ascii="仿宋" w:hAnsi="仿宋" w:eastAsia="仿宋" w:cs="仿宋"/>
          <w:color w:val="auto"/>
          <w:sz w:val="28"/>
          <w:szCs w:val="28"/>
        </w:rPr>
        <w:t>1、本公告所述信息仅为管理人初步了解的情况，存在与实际情况不一致的可能，本公告所述信息不作为对</w:t>
      </w:r>
      <w:r>
        <w:rPr>
          <w:rStyle w:val="8"/>
          <w:rFonts w:hint="eastAsia" w:ascii="仿宋" w:hAnsi="仿宋" w:eastAsia="仿宋" w:cs="仿宋"/>
          <w:color w:val="auto"/>
          <w:sz w:val="28"/>
          <w:szCs w:val="28"/>
          <w:lang w:eastAsia="zh-CN"/>
        </w:rPr>
        <w:t>林瑞公司</w:t>
      </w:r>
      <w:r>
        <w:rPr>
          <w:rStyle w:val="8"/>
          <w:rFonts w:hint="eastAsia" w:ascii="仿宋" w:hAnsi="仿宋" w:eastAsia="仿宋" w:cs="仿宋"/>
          <w:color w:val="auto"/>
          <w:sz w:val="28"/>
          <w:szCs w:val="28"/>
        </w:rPr>
        <w:t>实际状况的任何保证，若存在管理人尚未掌握的瑕疵，意向投资人需自行承担相应的风险及损失。</w:t>
      </w:r>
      <w:r>
        <w:rPr>
          <w:rFonts w:hint="eastAsia" w:ascii="仿宋" w:hAnsi="仿宋" w:eastAsia="仿宋" w:cs="仿宋"/>
          <w:color w:val="auto"/>
          <w:sz w:val="28"/>
          <w:szCs w:val="28"/>
        </w:rPr>
        <w:t>意向投资人如需开展尽职调查或进一步了解</w:t>
      </w:r>
      <w:r>
        <w:rPr>
          <w:rFonts w:hint="eastAsia" w:ascii="仿宋" w:hAnsi="仿宋" w:eastAsia="仿宋" w:cs="仿宋"/>
          <w:color w:val="auto"/>
          <w:sz w:val="28"/>
          <w:szCs w:val="28"/>
          <w:lang w:eastAsia="zh-CN"/>
        </w:rPr>
        <w:t>林瑞公司</w:t>
      </w:r>
      <w:r>
        <w:rPr>
          <w:rFonts w:hint="eastAsia" w:ascii="仿宋" w:hAnsi="仿宋" w:eastAsia="仿宋" w:cs="仿宋"/>
          <w:color w:val="auto"/>
          <w:sz w:val="28"/>
          <w:szCs w:val="28"/>
        </w:rPr>
        <w:t>的相关情况，请按照本公告的要求报名并交纳保证金。尽职调查和实地考察所需费用由意向投资人自行承担。</w:t>
      </w:r>
    </w:p>
    <w:p w14:paraId="09361C1E">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2、本公告为非要约文件，仅作为资产情况的参考资料使用。对应的资产以其现状为准。本公告最终解释权属于管理人。</w:t>
      </w:r>
    </w:p>
    <w:p w14:paraId="23D5368E">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3、上述项目资产，</w:t>
      </w:r>
      <w:r>
        <w:rPr>
          <w:rFonts w:hint="eastAsia" w:ascii="仿宋" w:hAnsi="仿宋" w:eastAsia="仿宋" w:cs="仿宋"/>
          <w:b/>
          <w:bCs/>
          <w:color w:val="auto"/>
          <w:sz w:val="28"/>
          <w:szCs w:val="28"/>
          <w:lang w:val="en-US" w:eastAsia="zh-CN"/>
        </w:rPr>
        <w:t>意向投资人可对维也纳酒店和商业店面进行</w:t>
      </w:r>
      <w:r>
        <w:rPr>
          <w:rStyle w:val="8"/>
          <w:rFonts w:hint="eastAsia" w:ascii="仿宋" w:hAnsi="仿宋" w:eastAsia="仿宋" w:cs="仿宋"/>
          <w:b/>
          <w:bCs/>
          <w:color w:val="auto"/>
          <w:sz w:val="28"/>
          <w:szCs w:val="28"/>
          <w:lang w:val="en-US" w:eastAsia="zh-CN"/>
        </w:rPr>
        <w:t>整体</w:t>
      </w:r>
      <w:r>
        <w:rPr>
          <w:rStyle w:val="8"/>
          <w:rFonts w:hint="eastAsia" w:ascii="仿宋" w:hAnsi="仿宋" w:eastAsia="仿宋" w:cs="仿宋"/>
          <w:b/>
          <w:bCs/>
          <w:color w:val="auto"/>
          <w:sz w:val="28"/>
          <w:szCs w:val="28"/>
        </w:rPr>
        <w:t>投资</w:t>
      </w:r>
      <w:r>
        <w:rPr>
          <w:rStyle w:val="8"/>
          <w:rFonts w:hint="eastAsia" w:ascii="仿宋" w:hAnsi="仿宋" w:eastAsia="仿宋" w:cs="仿宋"/>
          <w:b/>
          <w:bCs/>
          <w:color w:val="auto"/>
          <w:sz w:val="28"/>
          <w:szCs w:val="28"/>
          <w:lang w:eastAsia="zh-CN"/>
        </w:rPr>
        <w:t>，</w:t>
      </w:r>
      <w:r>
        <w:rPr>
          <w:rStyle w:val="8"/>
          <w:rFonts w:hint="eastAsia" w:ascii="仿宋" w:hAnsi="仿宋" w:eastAsia="仿宋" w:cs="仿宋"/>
          <w:b/>
          <w:bCs/>
          <w:color w:val="auto"/>
          <w:sz w:val="28"/>
          <w:szCs w:val="28"/>
          <w:lang w:val="en-US" w:eastAsia="zh-CN"/>
        </w:rPr>
        <w:t>也可单独对维也纳酒店或者商业店面</w:t>
      </w:r>
      <w:r>
        <w:rPr>
          <w:rStyle w:val="8"/>
          <w:rFonts w:hint="eastAsia" w:ascii="仿宋" w:hAnsi="仿宋" w:eastAsia="仿宋" w:cs="仿宋"/>
          <w:b/>
          <w:bCs/>
          <w:color w:val="auto"/>
          <w:sz w:val="28"/>
          <w:szCs w:val="28"/>
        </w:rPr>
        <w:t>投资。</w:t>
      </w:r>
    </w:p>
    <w:p w14:paraId="6A96C084">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2" w:firstLineChars="200"/>
        <w:textAlignment w:val="auto"/>
        <w:rPr>
          <w:rFonts w:hint="eastAsia" w:ascii="仿宋" w:hAnsi="仿宋" w:eastAsia="仿宋" w:cs="仿宋"/>
          <w:color w:val="auto"/>
          <w:sz w:val="28"/>
          <w:szCs w:val="28"/>
        </w:rPr>
      </w:pPr>
      <w:r>
        <w:rPr>
          <w:rStyle w:val="8"/>
          <w:rFonts w:hint="eastAsia" w:ascii="仿宋" w:hAnsi="仿宋" w:eastAsia="仿宋" w:cs="仿宋"/>
          <w:color w:val="auto"/>
          <w:sz w:val="28"/>
          <w:szCs w:val="28"/>
        </w:rPr>
        <w:t>（二）投资人基本条件</w:t>
      </w:r>
    </w:p>
    <w:p w14:paraId="21056522">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1、投资人应当是依法设立并有效存续的企业法人或其他组织，应具有较高的社会责任感和良好的商业信誉，未被人民法院列入失信名单，最近</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年没有重大违法行为或者涉嫌有重大违法行为。</w:t>
      </w:r>
    </w:p>
    <w:p w14:paraId="030677D4">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2、投资人应拥有足够的资金实力进行投资，不存在负有数额较大债务且到期未清偿的情况，能够出具相应的资信证明或履约能力证明。</w:t>
      </w:r>
    </w:p>
    <w:p w14:paraId="1267FDA7">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3、投资人应具备</w:t>
      </w:r>
      <w:r>
        <w:rPr>
          <w:rFonts w:hint="eastAsia" w:ascii="仿宋" w:hAnsi="仿宋" w:eastAsia="仿宋" w:cs="仿宋"/>
          <w:color w:val="auto"/>
          <w:sz w:val="28"/>
          <w:szCs w:val="28"/>
          <w:lang w:val="en-US" w:eastAsia="zh-CN"/>
        </w:rPr>
        <w:t>酒店运营能力或汽车城经营能力</w:t>
      </w:r>
      <w:r>
        <w:rPr>
          <w:rFonts w:hint="eastAsia" w:ascii="仿宋" w:hAnsi="仿宋" w:eastAsia="仿宋" w:cs="仿宋"/>
          <w:color w:val="auto"/>
          <w:sz w:val="28"/>
          <w:szCs w:val="28"/>
        </w:rPr>
        <w:t>，大型国企央企同等条件下优先考虑。</w:t>
      </w:r>
    </w:p>
    <w:p w14:paraId="72542E8C">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投资人亦可自行组成联合体参与投资（如财务投资人、产业投资人联合体），组成联合体的各方不得再以自己名义单独或加入其他联合体参加本项目。联合体各成员间应当明确牵头方，说明成员组成、合作方式、职责分工及权利和义务。 </w:t>
      </w:r>
    </w:p>
    <w:p w14:paraId="536AAE41">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2" w:firstLineChars="200"/>
        <w:textAlignment w:val="auto"/>
        <w:rPr>
          <w:rFonts w:hint="eastAsia" w:ascii="仿宋" w:hAnsi="仿宋" w:eastAsia="仿宋" w:cs="仿宋"/>
          <w:color w:val="auto"/>
          <w:sz w:val="28"/>
          <w:szCs w:val="28"/>
        </w:rPr>
      </w:pPr>
      <w:r>
        <w:rPr>
          <w:rStyle w:val="8"/>
          <w:rFonts w:hint="eastAsia" w:ascii="仿宋" w:hAnsi="仿宋" w:eastAsia="仿宋" w:cs="仿宋"/>
          <w:color w:val="auto"/>
          <w:sz w:val="28"/>
          <w:szCs w:val="28"/>
        </w:rPr>
        <w:t>（三）招募方案</w:t>
      </w:r>
    </w:p>
    <w:p w14:paraId="6EFE9952">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2" w:firstLineChars="200"/>
        <w:textAlignment w:val="auto"/>
        <w:rPr>
          <w:rFonts w:hint="eastAsia" w:ascii="仿宋" w:hAnsi="仿宋" w:eastAsia="仿宋" w:cs="仿宋"/>
          <w:color w:val="auto"/>
          <w:sz w:val="28"/>
          <w:szCs w:val="28"/>
        </w:rPr>
      </w:pPr>
      <w:r>
        <w:rPr>
          <w:rStyle w:val="8"/>
          <w:rFonts w:hint="eastAsia" w:ascii="仿宋" w:hAnsi="仿宋" w:eastAsia="仿宋" w:cs="仿宋"/>
          <w:color w:val="auto"/>
          <w:sz w:val="28"/>
          <w:szCs w:val="28"/>
        </w:rPr>
        <w:t>1、报名时需提交的材料</w:t>
      </w:r>
    </w:p>
    <w:p w14:paraId="6A1470E9">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（1）参与投资意向书（包括但不限于：意向投资人情况简介、投资意向、初步框架方案）。</w:t>
      </w:r>
    </w:p>
    <w:p w14:paraId="08A74A3A">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（2）意向投资人情况（包括但不限于：主体资格、股权结构、主营业务、资产负债、资金实力、参与投资优势等）。</w:t>
      </w:r>
    </w:p>
    <w:p w14:paraId="6D7E828E">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（3）企业法人营业执照复印件、法定代表人身份证明书、法定代表人身份证复印件。</w:t>
      </w:r>
    </w:p>
    <w:p w14:paraId="727F9F19">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（4）授权委托书原件和受托人身份证复印件</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需注明联系电话和收件地址</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w:t>
      </w:r>
    </w:p>
    <w:p w14:paraId="480BBE2E">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（5）意向投资人近三年内没有违法、违规行为、未被限制高消费或列入失信被执行人名单的承诺函，资金来源合法合规的承诺函。</w:t>
      </w:r>
    </w:p>
    <w:p w14:paraId="4422C848">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（6）其他用以证明符合报名条件的相关材料。</w:t>
      </w:r>
    </w:p>
    <w:p w14:paraId="773C5760">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前述材料均应加盖意向投资人公章，并由其法定代表人或负责人签章。</w:t>
      </w:r>
    </w:p>
    <w:p w14:paraId="7C61F7C1">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2" w:firstLineChars="200"/>
        <w:textAlignment w:val="auto"/>
        <w:rPr>
          <w:rFonts w:hint="eastAsia" w:ascii="仿宋" w:hAnsi="仿宋" w:eastAsia="仿宋" w:cs="仿宋"/>
          <w:color w:val="auto"/>
          <w:sz w:val="28"/>
          <w:szCs w:val="28"/>
        </w:rPr>
      </w:pPr>
      <w:r>
        <w:rPr>
          <w:rStyle w:val="8"/>
          <w:rFonts w:hint="eastAsia" w:ascii="仿宋" w:hAnsi="仿宋" w:eastAsia="仿宋" w:cs="仿宋"/>
          <w:color w:val="auto"/>
          <w:sz w:val="28"/>
          <w:szCs w:val="28"/>
        </w:rPr>
        <w:t>2、招募流程</w:t>
      </w:r>
    </w:p>
    <w:p w14:paraId="2D816F8E">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（1）意向投资人于202</w:t>
      </w: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rPr>
        <w:t>年</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月</w:t>
      </w:r>
      <w:r>
        <w:rPr>
          <w:rFonts w:hint="eastAsia" w:ascii="仿宋" w:hAnsi="仿宋" w:eastAsia="仿宋" w:cs="仿宋"/>
          <w:color w:val="auto"/>
          <w:sz w:val="28"/>
          <w:szCs w:val="28"/>
          <w:lang w:val="en-US" w:eastAsia="zh-CN"/>
        </w:rPr>
        <w:t>30</w:t>
      </w:r>
      <w:r>
        <w:rPr>
          <w:rFonts w:hint="eastAsia" w:ascii="仿宋" w:hAnsi="仿宋" w:eastAsia="仿宋" w:cs="仿宋"/>
          <w:color w:val="auto"/>
          <w:sz w:val="28"/>
          <w:szCs w:val="28"/>
        </w:rPr>
        <w:t>日1</w:t>
      </w:r>
      <w:r>
        <w:rPr>
          <w:rFonts w:hint="eastAsia" w:ascii="仿宋" w:hAnsi="仿宋" w:eastAsia="仿宋" w:cs="仿宋"/>
          <w:color w:val="auto"/>
          <w:sz w:val="28"/>
          <w:szCs w:val="28"/>
          <w:lang w:val="en-US" w:eastAsia="zh-CN"/>
        </w:rPr>
        <w:t>7时</w:t>
      </w:r>
      <w:r>
        <w:rPr>
          <w:rFonts w:hint="eastAsia" w:ascii="仿宋" w:hAnsi="仿宋" w:eastAsia="仿宋" w:cs="仿宋"/>
          <w:color w:val="auto"/>
          <w:sz w:val="28"/>
          <w:szCs w:val="28"/>
        </w:rPr>
        <w:t>前提交上述报名材料。</w:t>
      </w:r>
    </w:p>
    <w:p w14:paraId="44FBCC71">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（2）意向投资人缴纳保证金（人民币</w:t>
      </w:r>
      <w:r>
        <w:rPr>
          <w:rFonts w:hint="eastAsia" w:ascii="仿宋" w:hAnsi="仿宋" w:eastAsia="仿宋" w:cs="仿宋"/>
          <w:color w:val="auto"/>
          <w:sz w:val="28"/>
          <w:szCs w:val="28"/>
          <w:lang w:val="en-US" w:eastAsia="zh-CN"/>
        </w:rPr>
        <w:t>50</w:t>
      </w:r>
      <w:r>
        <w:rPr>
          <w:rFonts w:hint="eastAsia" w:ascii="仿宋" w:hAnsi="仿宋" w:eastAsia="仿宋" w:cs="仿宋"/>
          <w:color w:val="auto"/>
          <w:sz w:val="28"/>
          <w:szCs w:val="28"/>
        </w:rPr>
        <w:t>万元）</w:t>
      </w:r>
      <w:r>
        <w:rPr>
          <w:rFonts w:hint="eastAsia" w:ascii="仿宋" w:hAnsi="仿宋" w:eastAsia="仿宋" w:cs="仿宋"/>
          <w:color w:val="auto"/>
          <w:sz w:val="28"/>
          <w:szCs w:val="28"/>
          <w:lang w:val="en-US" w:eastAsia="zh-CN"/>
        </w:rPr>
        <w:t>后</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林瑞公司</w:t>
      </w:r>
      <w:r>
        <w:rPr>
          <w:rFonts w:hint="eastAsia" w:ascii="仿宋" w:hAnsi="仿宋" w:eastAsia="仿宋" w:cs="仿宋"/>
          <w:color w:val="auto"/>
          <w:sz w:val="28"/>
          <w:szCs w:val="28"/>
        </w:rPr>
        <w:t>、管理人将与意向投资人进行磋商并进一步介绍</w:t>
      </w:r>
      <w:r>
        <w:rPr>
          <w:rFonts w:hint="eastAsia" w:ascii="仿宋" w:hAnsi="仿宋" w:eastAsia="仿宋" w:cs="仿宋"/>
          <w:color w:val="auto"/>
          <w:sz w:val="28"/>
          <w:szCs w:val="28"/>
          <w:lang w:eastAsia="zh-CN"/>
        </w:rPr>
        <w:t>林瑞公司</w:t>
      </w:r>
      <w:r>
        <w:rPr>
          <w:rFonts w:hint="eastAsia" w:ascii="仿宋" w:hAnsi="仿宋" w:eastAsia="仿宋" w:cs="仿宋"/>
          <w:color w:val="auto"/>
          <w:sz w:val="28"/>
          <w:szCs w:val="28"/>
        </w:rPr>
        <w:t>的情况，同时</w:t>
      </w:r>
      <w:r>
        <w:rPr>
          <w:rFonts w:hint="eastAsia" w:ascii="仿宋" w:hAnsi="仿宋" w:eastAsia="仿宋" w:cs="仿宋"/>
          <w:color w:val="auto"/>
          <w:sz w:val="28"/>
          <w:szCs w:val="28"/>
          <w:lang w:eastAsia="zh-CN"/>
        </w:rPr>
        <w:t>林瑞公司</w:t>
      </w:r>
      <w:r>
        <w:rPr>
          <w:rFonts w:hint="eastAsia" w:ascii="仿宋" w:hAnsi="仿宋" w:eastAsia="仿宋" w:cs="仿宋"/>
          <w:color w:val="auto"/>
          <w:sz w:val="28"/>
          <w:szCs w:val="28"/>
        </w:rPr>
        <w:t>、管理人将配合意向投资人开展尽职调查工作，充分披露</w:t>
      </w:r>
      <w:r>
        <w:rPr>
          <w:rFonts w:hint="eastAsia" w:ascii="仿宋" w:hAnsi="仿宋" w:eastAsia="仿宋" w:cs="仿宋"/>
          <w:color w:val="auto"/>
          <w:sz w:val="28"/>
          <w:szCs w:val="28"/>
          <w:lang w:eastAsia="zh-CN"/>
        </w:rPr>
        <w:t>林瑞公司的</w:t>
      </w:r>
      <w:r>
        <w:rPr>
          <w:rFonts w:hint="eastAsia" w:ascii="仿宋" w:hAnsi="仿宋" w:eastAsia="仿宋" w:cs="仿宋"/>
          <w:color w:val="auto"/>
          <w:sz w:val="28"/>
          <w:szCs w:val="28"/>
        </w:rPr>
        <w:t>信息。开展尽职调查工作所需的费用由意向投资人自行承担。</w:t>
      </w:r>
    </w:p>
    <w:p w14:paraId="28D5799A">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（3）意向投资人根据尽调结果，应根据管理人的指引，及时制定并向管理人提交《投资方案》初稿。</w:t>
      </w:r>
    </w:p>
    <w:p w14:paraId="4654C2CF">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（4）如有多名意向投资人进行报名的，将根据意向投资人的综合实力及《投资方案》的内容，遴选出最终投资人。</w:t>
      </w:r>
    </w:p>
    <w:p w14:paraId="6F6A6C17">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（5）投资人确定后，应按照管理人的要求签署《投资协议》，以便管理人及时制定</w:t>
      </w:r>
      <w:r>
        <w:rPr>
          <w:rFonts w:hint="eastAsia" w:ascii="仿宋" w:hAnsi="仿宋" w:eastAsia="仿宋" w:cs="仿宋"/>
          <w:color w:val="auto"/>
          <w:sz w:val="28"/>
          <w:szCs w:val="28"/>
          <w:lang w:val="en-US" w:eastAsia="zh-CN"/>
        </w:rPr>
        <w:t>相关工作方案</w:t>
      </w:r>
      <w:r>
        <w:rPr>
          <w:rFonts w:hint="eastAsia" w:ascii="仿宋" w:hAnsi="仿宋" w:eastAsia="仿宋" w:cs="仿宋"/>
          <w:color w:val="auto"/>
          <w:sz w:val="28"/>
          <w:szCs w:val="28"/>
        </w:rPr>
        <w:t>。</w:t>
      </w:r>
    </w:p>
    <w:p w14:paraId="73F79B29">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2" w:firstLineChars="200"/>
        <w:textAlignment w:val="auto"/>
        <w:rPr>
          <w:rFonts w:hint="eastAsia" w:ascii="仿宋" w:hAnsi="仿宋" w:eastAsia="仿宋" w:cs="仿宋"/>
          <w:color w:val="auto"/>
          <w:sz w:val="28"/>
          <w:szCs w:val="28"/>
        </w:rPr>
      </w:pPr>
      <w:r>
        <w:rPr>
          <w:rStyle w:val="8"/>
          <w:rFonts w:hint="eastAsia" w:ascii="仿宋" w:hAnsi="仿宋" w:eastAsia="仿宋" w:cs="仿宋"/>
          <w:color w:val="auto"/>
          <w:sz w:val="28"/>
          <w:szCs w:val="28"/>
        </w:rPr>
        <w:t>3、报名时间、方式</w:t>
      </w:r>
    </w:p>
    <w:p w14:paraId="1243D638">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（1）报名时间：自本公告发布之日起至202</w:t>
      </w: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rPr>
        <w:t>年</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月</w:t>
      </w:r>
      <w:r>
        <w:rPr>
          <w:rFonts w:hint="eastAsia" w:ascii="仿宋" w:hAnsi="仿宋" w:eastAsia="仿宋" w:cs="仿宋"/>
          <w:color w:val="auto"/>
          <w:sz w:val="28"/>
          <w:szCs w:val="28"/>
          <w:lang w:val="en-US" w:eastAsia="zh-CN"/>
        </w:rPr>
        <w:t>30</w:t>
      </w:r>
      <w:r>
        <w:rPr>
          <w:rFonts w:hint="eastAsia" w:ascii="仿宋" w:hAnsi="仿宋" w:eastAsia="仿宋" w:cs="仿宋"/>
          <w:color w:val="auto"/>
          <w:sz w:val="28"/>
          <w:szCs w:val="28"/>
        </w:rPr>
        <w:t>日1</w:t>
      </w:r>
      <w:r>
        <w:rPr>
          <w:rFonts w:hint="eastAsia" w:ascii="仿宋" w:hAnsi="仿宋" w:eastAsia="仿宋" w:cs="仿宋"/>
          <w:color w:val="auto"/>
          <w:sz w:val="28"/>
          <w:szCs w:val="28"/>
          <w:lang w:val="en-US" w:eastAsia="zh-CN"/>
        </w:rPr>
        <w:t>7时</w:t>
      </w:r>
      <w:r>
        <w:rPr>
          <w:rFonts w:hint="eastAsia" w:ascii="仿宋" w:hAnsi="仿宋" w:eastAsia="仿宋" w:cs="仿宋"/>
          <w:color w:val="auto"/>
          <w:sz w:val="28"/>
          <w:szCs w:val="28"/>
        </w:rPr>
        <w:t>。</w:t>
      </w:r>
    </w:p>
    <w:p w14:paraId="091E9140">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（2）报名方式：现场报名、邮寄报名均可，地址：江西省上饶市</w:t>
      </w:r>
      <w:r>
        <w:rPr>
          <w:rFonts w:hint="eastAsia" w:ascii="仿宋" w:hAnsi="仿宋" w:eastAsia="仿宋" w:cs="仿宋"/>
          <w:color w:val="auto"/>
          <w:sz w:val="28"/>
          <w:szCs w:val="28"/>
          <w:lang w:val="en-US" w:eastAsia="zh-CN"/>
        </w:rPr>
        <w:t>信州区广信大道106号外商国际商务中心八楼</w:t>
      </w:r>
      <w:r>
        <w:rPr>
          <w:rFonts w:hint="eastAsia" w:ascii="仿宋" w:hAnsi="仿宋" w:eastAsia="仿宋" w:cs="仿宋"/>
          <w:color w:val="auto"/>
          <w:sz w:val="28"/>
          <w:szCs w:val="28"/>
        </w:rPr>
        <w:t>。</w:t>
      </w:r>
    </w:p>
    <w:p w14:paraId="4403996F">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rPr>
        <w:t>（3）联系人及联系方式</w:t>
      </w:r>
      <w:r>
        <w:rPr>
          <w:rFonts w:hint="eastAsia" w:ascii="仿宋" w:hAnsi="仿宋" w:eastAsia="仿宋" w:cs="仿宋"/>
          <w:b w:val="0"/>
          <w:bCs w:val="0"/>
          <w:color w:val="auto"/>
          <w:sz w:val="28"/>
          <w:szCs w:val="28"/>
          <w:lang w:eastAsia="zh-CN"/>
        </w:rPr>
        <w:t>：</w:t>
      </w:r>
      <w:r>
        <w:rPr>
          <w:rFonts w:hint="eastAsia" w:ascii="仿宋" w:hAnsi="仿宋" w:eastAsia="仿宋" w:cs="仿宋"/>
          <w:b w:val="0"/>
          <w:bCs w:val="0"/>
          <w:color w:val="auto"/>
          <w:sz w:val="28"/>
          <w:szCs w:val="28"/>
          <w:lang w:val="en-US" w:eastAsia="zh-CN"/>
        </w:rPr>
        <w:t>何律师 13755377521。</w:t>
      </w:r>
    </w:p>
    <w:p w14:paraId="4C78EA28">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2"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四、其他事项</w:t>
      </w:r>
    </w:p>
    <w:p w14:paraId="6F7C954D">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（一）保密义务</w:t>
      </w:r>
    </w:p>
    <w:p w14:paraId="5FC32E33">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管理人提供给报名人的债务人信息、数据、资料等，报名人必须遵守保密义务，善意使用临时管理人提供的信息和资料，除进行内部投资分析和制定投资方案外，不得另作他用，更不得泄露给任何第三方。</w:t>
      </w:r>
    </w:p>
    <w:p w14:paraId="1A4C08A6">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（二）本公告效力</w:t>
      </w:r>
    </w:p>
    <w:p w14:paraId="46014AD1">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报名人应本着审慎、负责的态度仔细阅读本公告，报名即视为认可并承诺遵守本公告的内容。</w:t>
      </w:r>
    </w:p>
    <w:p w14:paraId="621773AD">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（三）免责声明</w:t>
      </w:r>
    </w:p>
    <w:p w14:paraId="6ADCBFCB">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本公告所列明的林瑞公司有关情况不构成管理人的任何承诺和保证，仅供报名人参考。</w:t>
      </w:r>
      <w:bookmarkStart w:id="1" w:name="_GoBack"/>
      <w:bookmarkEnd w:id="1"/>
    </w:p>
    <w:p w14:paraId="61E82641">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（四）本公告由管理人编制，最终解释权归属管理人。</w:t>
      </w:r>
    </w:p>
    <w:p w14:paraId="719C75DF">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管理人热忱欢迎有意向的投资人报名。</w:t>
      </w:r>
    </w:p>
    <w:p w14:paraId="1E9FD04D">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特此公告！</w:t>
      </w:r>
    </w:p>
    <w:p w14:paraId="0A54D006">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w:t>
      </w:r>
    </w:p>
    <w:p w14:paraId="534E9C00">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jc w:val="righ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w:t>
      </w:r>
      <w:r>
        <w:rPr>
          <w:rFonts w:hint="eastAsia" w:ascii="仿宋" w:hAnsi="仿宋" w:eastAsia="仿宋" w:cs="仿宋"/>
          <w:color w:val="auto"/>
          <w:sz w:val="28"/>
          <w:szCs w:val="28"/>
          <w:lang w:eastAsia="zh-CN"/>
        </w:rPr>
        <w:t>婺源县林瑞实业有限公司</w:t>
      </w:r>
      <w:r>
        <w:rPr>
          <w:rFonts w:hint="eastAsia" w:ascii="仿宋" w:hAnsi="仿宋" w:eastAsia="仿宋" w:cs="仿宋"/>
          <w:color w:val="auto"/>
          <w:sz w:val="28"/>
          <w:szCs w:val="28"/>
        </w:rPr>
        <w:t>管理人</w:t>
      </w:r>
    </w:p>
    <w:p w14:paraId="263B3996">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560" w:firstLineChars="200"/>
        <w:jc w:val="righ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二〇二五年</w:t>
      </w:r>
      <w:r>
        <w:rPr>
          <w:rFonts w:hint="eastAsia" w:ascii="仿宋" w:hAnsi="仿宋" w:eastAsia="仿宋" w:cs="仿宋"/>
          <w:color w:val="auto"/>
          <w:sz w:val="28"/>
          <w:szCs w:val="28"/>
          <w:lang w:val="en-US" w:eastAsia="zh-CN"/>
        </w:rPr>
        <w:t>十</w:t>
      </w:r>
      <w:r>
        <w:rPr>
          <w:rFonts w:hint="eastAsia" w:ascii="仿宋" w:hAnsi="仿宋" w:eastAsia="仿宋" w:cs="仿宋"/>
          <w:color w:val="auto"/>
          <w:sz w:val="28"/>
          <w:szCs w:val="28"/>
        </w:rPr>
        <w:t>月</w:t>
      </w:r>
      <w:r>
        <w:rPr>
          <w:rFonts w:hint="eastAsia" w:ascii="仿宋" w:hAnsi="仿宋" w:eastAsia="仿宋" w:cs="仿宋"/>
          <w:color w:val="auto"/>
          <w:sz w:val="28"/>
          <w:szCs w:val="28"/>
          <w:lang w:val="en-US" w:eastAsia="zh-CN"/>
        </w:rPr>
        <w:t>三十一</w:t>
      </w:r>
      <w:r>
        <w:rPr>
          <w:rFonts w:hint="eastAsia" w:ascii="仿宋" w:hAnsi="仿宋" w:eastAsia="仿宋" w:cs="仿宋"/>
          <w:color w:val="auto"/>
          <w:sz w:val="28"/>
          <w:szCs w:val="28"/>
        </w:rPr>
        <w:t>日</w:t>
      </w:r>
    </w:p>
    <w:p w14:paraId="4AFB8E98">
      <w:pPr>
        <w:keepNext w:val="0"/>
        <w:keepLines w:val="0"/>
        <w:pageBreakBefore w:val="0"/>
        <w:kinsoku/>
        <w:wordWrap/>
        <w:overflowPunct/>
        <w:topLinePunct w:val="0"/>
        <w:autoSpaceDE/>
        <w:autoSpaceDN/>
        <w:bidi w:val="0"/>
        <w:adjustRightInd/>
        <w:snapToGrid/>
        <w:spacing w:beforeAutospacing="0" w:afterAutospacing="0" w:line="240" w:lineRule="auto"/>
        <w:ind w:firstLine="560" w:firstLineChars="200"/>
        <w:textAlignment w:val="auto"/>
        <w:rPr>
          <w:rFonts w:hint="eastAsia" w:ascii="仿宋" w:hAnsi="仿宋" w:eastAsia="仿宋" w:cs="仿宋"/>
          <w:color w:val="auto"/>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CED6459"/>
    <w:multiLevelType w:val="singleLevel"/>
    <w:tmpl w:val="DCED6459"/>
    <w:lvl w:ilvl="0" w:tentative="0">
      <w:start w:val="2"/>
      <w:numFmt w:val="chineseCounting"/>
      <w:suff w:val="nothing"/>
      <w:lvlText w:val="（%1）"/>
      <w:lvlJc w:val="left"/>
      <w:rPr>
        <w:rFonts w:hint="eastAsia"/>
      </w:rPr>
    </w:lvl>
  </w:abstractNum>
  <w:abstractNum w:abstractNumId="1">
    <w:nsid w:val="FF7FAEA5"/>
    <w:multiLevelType w:val="singleLevel"/>
    <w:tmpl w:val="FF7FAEA5"/>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NmYjNmZGE5MWI2ODUyNGI3Mzk1NzU0NTY5MGQ1ZjAifQ=="/>
  </w:docVars>
  <w:rsids>
    <w:rsidRoot w:val="7E7D6CD9"/>
    <w:rsid w:val="1BFFD22F"/>
    <w:rsid w:val="1D86477C"/>
    <w:rsid w:val="2656DE3B"/>
    <w:rsid w:val="26F81B7B"/>
    <w:rsid w:val="2AD24481"/>
    <w:rsid w:val="3496157F"/>
    <w:rsid w:val="3FEB970E"/>
    <w:rsid w:val="3FF7FB8A"/>
    <w:rsid w:val="477BA43F"/>
    <w:rsid w:val="485D7A57"/>
    <w:rsid w:val="4A9A5B03"/>
    <w:rsid w:val="4C3D1DB0"/>
    <w:rsid w:val="57B76ACB"/>
    <w:rsid w:val="5FF71189"/>
    <w:rsid w:val="610D43C5"/>
    <w:rsid w:val="67CE6D24"/>
    <w:rsid w:val="6EBDC362"/>
    <w:rsid w:val="73639FD0"/>
    <w:rsid w:val="7DDBC9F2"/>
    <w:rsid w:val="7E7D6CD9"/>
    <w:rsid w:val="9A7A7BF7"/>
    <w:rsid w:val="BFB77CF0"/>
    <w:rsid w:val="BFBFB8C9"/>
    <w:rsid w:val="CFFDFC01"/>
    <w:rsid w:val="D7FBCD6D"/>
    <w:rsid w:val="E79FB60F"/>
    <w:rsid w:val="E7FDA275"/>
    <w:rsid w:val="EC6FAB79"/>
    <w:rsid w:val="ED3E6A91"/>
    <w:rsid w:val="EF7502B1"/>
    <w:rsid w:val="EFDA7DB8"/>
    <w:rsid w:val="F67F4560"/>
    <w:rsid w:val="F77D6583"/>
    <w:rsid w:val="FA9E16C3"/>
    <w:rsid w:val="FAE74CD4"/>
    <w:rsid w:val="FCFA9A04"/>
    <w:rsid w:val="FD6B1CC0"/>
    <w:rsid w:val="FDFAE576"/>
    <w:rsid w:val="FE3D054B"/>
    <w:rsid w:val="FF83A6F7"/>
    <w:rsid w:val="FF9DBFCB"/>
    <w:rsid w:val="FFFDA8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2495</Words>
  <Characters>2603</Characters>
  <Lines>0</Lines>
  <Paragraphs>0</Paragraphs>
  <TotalTime>51</TotalTime>
  <ScaleCrop>false</ScaleCrop>
  <LinksUpToDate>false</LinksUpToDate>
  <CharactersWithSpaces>2627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2025-03-22T18:57:00Z</dcterms:created>
  <dc:creator>一个法师</dc:creator>
  <cp:lastModifiedBy>啥意思就点头_</cp:lastModifiedBy>
  <dcterms:modified xsi:type="dcterms:W3CDTF">2025-10-31T01:56:00Z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0F5E6F22584848F98866961F1BD94E3A_13</vt:lpwstr>
  </property>
  <property fmtid="{D5CDD505-2E9C-101B-9397-08002B2CF9AE}" pid="4" name="KSOTemplateDocerSaveRecord">
    <vt:lpwstr>eyJoZGlkIjoiM2ZhMDI0YjQwMDJjMThlOTVkMDk2MmFiNzdmMDdhMDgiLCJ1c2VySWQiOiIzMDE0MDg5MDAifQ==</vt:lpwstr>
  </property>
</Properties>
</file>