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363FC">
      <w:pPr>
        <w:pStyle w:val="2"/>
        <w:keepNext w:val="0"/>
        <w:keepLines w:val="0"/>
        <w:pageBreakBefore w:val="0"/>
        <w:widowControl/>
        <w:kinsoku w:val="0"/>
        <w:wordWrap/>
        <w:overflowPunct/>
        <w:topLinePunct w:val="0"/>
        <w:autoSpaceDE w:val="0"/>
        <w:autoSpaceDN w:val="0"/>
        <w:bidi w:val="0"/>
        <w:adjustRightInd w:val="0"/>
        <w:snapToGrid w:val="0"/>
        <w:spacing w:before="117" w:line="560" w:lineRule="exact"/>
        <w:ind w:right="1207"/>
        <w:jc w:val="center"/>
        <w:textAlignment w:val="baseline"/>
        <w:outlineLvl w:val="0"/>
        <w:rPr>
          <w:rFonts w:hint="eastAsia" w:asciiTheme="majorEastAsia" w:hAnsiTheme="majorEastAsia" w:eastAsiaTheme="majorEastAsia" w:cstheme="majorEastAsia"/>
          <w:b/>
          <w:bCs/>
          <w:snapToGrid w:val="0"/>
          <w:color w:val="000000"/>
          <w:kern w:val="0"/>
          <w:sz w:val="36"/>
          <w:szCs w:val="36"/>
          <w:highlight w:val="none"/>
          <w:lang w:val="en-US" w:eastAsia="en-US" w:bidi="ar-SA"/>
        </w:rPr>
      </w:pPr>
      <w:r>
        <w:rPr>
          <w:rFonts w:hint="eastAsia" w:asciiTheme="majorEastAsia" w:hAnsiTheme="majorEastAsia" w:eastAsiaTheme="majorEastAsia" w:cstheme="majorEastAsia"/>
          <w:b/>
          <w:bCs/>
          <w:snapToGrid w:val="0"/>
          <w:color w:val="000000"/>
          <w:kern w:val="0"/>
          <w:sz w:val="36"/>
          <w:szCs w:val="36"/>
          <w:highlight w:val="none"/>
          <w:lang w:val="en-US" w:eastAsia="zh-CN" w:bidi="ar-SA"/>
        </w:rPr>
        <w:t>安徽英特罗斯服饰有限公司破产重整</w:t>
      </w:r>
      <w:r>
        <w:rPr>
          <w:rFonts w:hint="eastAsia" w:asciiTheme="majorEastAsia" w:hAnsiTheme="majorEastAsia" w:eastAsiaTheme="majorEastAsia" w:cstheme="majorEastAsia"/>
          <w:b/>
          <w:bCs/>
          <w:snapToGrid w:val="0"/>
          <w:color w:val="000000"/>
          <w:kern w:val="0"/>
          <w:sz w:val="36"/>
          <w:szCs w:val="36"/>
          <w:highlight w:val="none"/>
          <w:lang w:val="en-US" w:eastAsia="en-US" w:bidi="ar-SA"/>
        </w:rPr>
        <w:t>案</w:t>
      </w:r>
    </w:p>
    <w:p w14:paraId="00E3BA57">
      <w:pPr>
        <w:pStyle w:val="2"/>
        <w:keepNext w:val="0"/>
        <w:keepLines w:val="0"/>
        <w:pageBreakBefore w:val="0"/>
        <w:widowControl/>
        <w:kinsoku w:val="0"/>
        <w:wordWrap/>
        <w:overflowPunct/>
        <w:topLinePunct w:val="0"/>
        <w:autoSpaceDE w:val="0"/>
        <w:autoSpaceDN w:val="0"/>
        <w:bidi w:val="0"/>
        <w:adjustRightInd w:val="0"/>
        <w:snapToGrid w:val="0"/>
        <w:spacing w:before="117" w:line="560" w:lineRule="exact"/>
        <w:ind w:right="1207"/>
        <w:jc w:val="center"/>
        <w:textAlignment w:val="baseline"/>
        <w:outlineLvl w:val="0"/>
        <w:rPr>
          <w:rFonts w:hint="eastAsia" w:asciiTheme="majorEastAsia" w:hAnsiTheme="majorEastAsia" w:eastAsiaTheme="majorEastAsia" w:cstheme="majorEastAsia"/>
          <w:b/>
          <w:bCs/>
          <w:snapToGrid w:val="0"/>
          <w:color w:val="000000"/>
          <w:kern w:val="0"/>
          <w:sz w:val="36"/>
          <w:szCs w:val="36"/>
          <w:highlight w:val="none"/>
          <w:lang w:val="en-US" w:eastAsia="en-US" w:bidi="ar-SA"/>
        </w:rPr>
      </w:pPr>
      <w:r>
        <w:rPr>
          <w:rFonts w:hint="eastAsia" w:asciiTheme="majorEastAsia" w:hAnsiTheme="majorEastAsia" w:eastAsiaTheme="majorEastAsia" w:cstheme="majorEastAsia"/>
          <w:b/>
          <w:bCs/>
          <w:snapToGrid w:val="0"/>
          <w:color w:val="000000"/>
          <w:kern w:val="0"/>
          <w:sz w:val="36"/>
          <w:szCs w:val="36"/>
          <w:highlight w:val="none"/>
          <w:lang w:val="en-US" w:eastAsia="en-US" w:bidi="ar-SA"/>
        </w:rPr>
        <w:t>招募投资人公告</w:t>
      </w:r>
    </w:p>
    <w:p w14:paraId="64EA437F">
      <w:pPr>
        <w:pStyle w:val="2"/>
        <w:keepNext w:val="0"/>
        <w:keepLines w:val="0"/>
        <w:pageBreakBefore w:val="0"/>
        <w:widowControl/>
        <w:kinsoku w:val="0"/>
        <w:wordWrap/>
        <w:overflowPunct/>
        <w:topLinePunct w:val="0"/>
        <w:autoSpaceDE w:val="0"/>
        <w:autoSpaceDN w:val="0"/>
        <w:bidi w:val="0"/>
        <w:adjustRightInd w:val="0"/>
        <w:snapToGrid w:val="0"/>
        <w:spacing w:before="197" w:line="560" w:lineRule="exact"/>
        <w:ind w:right="106"/>
        <w:jc w:val="both"/>
        <w:textAlignment w:val="baseline"/>
        <w:rPr>
          <w:rFonts w:hint="eastAsia" w:asciiTheme="majorEastAsia" w:hAnsiTheme="majorEastAsia" w:eastAsiaTheme="majorEastAsia" w:cstheme="majorEastAsia"/>
          <w:spacing w:val="-7"/>
          <w:sz w:val="28"/>
          <w:szCs w:val="28"/>
          <w:highlight w:val="none"/>
          <w:lang w:val="en-US" w:eastAsia="zh-CN"/>
        </w:rPr>
      </w:pPr>
    </w:p>
    <w:p w14:paraId="566154C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2024年4月22日</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根据安徽英特罗斯服饰有限公司（以下简称英特罗斯公司）的</w:t>
      </w:r>
      <w:r>
        <w:rPr>
          <w:rFonts w:hint="eastAsia" w:asciiTheme="majorEastAsia" w:hAnsiTheme="majorEastAsia" w:eastAsiaTheme="majorEastAsia" w:cstheme="majorEastAsia"/>
          <w:sz w:val="28"/>
          <w:szCs w:val="28"/>
          <w:highlight w:val="none"/>
          <w:lang w:val="en-US" w:eastAsia="zh-CN"/>
        </w:rPr>
        <w:t>预重整</w:t>
      </w:r>
      <w:r>
        <w:rPr>
          <w:rFonts w:hint="eastAsia" w:asciiTheme="majorEastAsia" w:hAnsiTheme="majorEastAsia" w:eastAsiaTheme="majorEastAsia" w:cstheme="majorEastAsia"/>
          <w:sz w:val="28"/>
          <w:szCs w:val="28"/>
          <w:highlight w:val="none"/>
        </w:rPr>
        <w:t>申请，安徽省颍上县人民法院作出（2024）皖1226破申13号《决定书》，决定对英特罗斯公司启动预重整</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2024年4月22日，颍上县人民法院作出（2024）皖1226破申13号之一《决定书》，指定安徽美林律师事务所担任英特罗斯公司预重整期间管理人。</w:t>
      </w:r>
      <w:r>
        <w:rPr>
          <w:rFonts w:hint="eastAsia" w:asciiTheme="majorEastAsia" w:hAnsiTheme="majorEastAsia" w:eastAsiaTheme="majorEastAsia" w:cstheme="majorEastAsia"/>
          <w:sz w:val="28"/>
          <w:szCs w:val="28"/>
          <w:highlight w:val="none"/>
          <w:lang w:val="en-US" w:eastAsia="zh-CN"/>
        </w:rPr>
        <w:t>2025年4月10日，根据</w:t>
      </w:r>
      <w:r>
        <w:rPr>
          <w:rFonts w:hint="eastAsia" w:asciiTheme="majorEastAsia" w:hAnsiTheme="majorEastAsia" w:eastAsiaTheme="majorEastAsia" w:cstheme="majorEastAsia"/>
          <w:sz w:val="28"/>
          <w:szCs w:val="28"/>
          <w:highlight w:val="none"/>
        </w:rPr>
        <w:t>英特罗斯公司</w:t>
      </w:r>
      <w:r>
        <w:rPr>
          <w:rFonts w:hint="eastAsia" w:asciiTheme="majorEastAsia" w:hAnsiTheme="majorEastAsia" w:eastAsiaTheme="majorEastAsia" w:cstheme="majorEastAsia"/>
          <w:sz w:val="28"/>
          <w:szCs w:val="28"/>
          <w:highlight w:val="none"/>
          <w:lang w:val="en-US" w:eastAsia="zh-CN"/>
        </w:rPr>
        <w:t>的申请，</w:t>
      </w:r>
      <w:r>
        <w:rPr>
          <w:rFonts w:hint="eastAsia" w:asciiTheme="majorEastAsia" w:hAnsiTheme="majorEastAsia" w:eastAsiaTheme="majorEastAsia" w:cstheme="majorEastAsia"/>
          <w:sz w:val="28"/>
          <w:szCs w:val="28"/>
          <w:highlight w:val="none"/>
        </w:rPr>
        <w:t>颍上县人民法院</w:t>
      </w:r>
      <w:r>
        <w:rPr>
          <w:rFonts w:hint="eastAsia" w:asciiTheme="majorEastAsia" w:hAnsiTheme="majorEastAsia" w:eastAsiaTheme="majorEastAsia" w:cstheme="majorEastAsia"/>
          <w:sz w:val="28"/>
          <w:szCs w:val="28"/>
          <w:highlight w:val="none"/>
          <w:lang w:val="en-US" w:eastAsia="zh-CN"/>
        </w:rPr>
        <w:t>作出</w:t>
      </w:r>
      <w:r>
        <w:rPr>
          <w:rFonts w:hint="eastAsia" w:asciiTheme="majorEastAsia" w:hAnsiTheme="majorEastAsia" w:eastAsiaTheme="majorEastAsia" w:cstheme="majorEastAsia"/>
          <w:sz w:val="28"/>
          <w:szCs w:val="28"/>
          <w:highlight w:val="none"/>
        </w:rPr>
        <w:t>（2024）皖1226破申13号《</w:t>
      </w:r>
      <w:r>
        <w:rPr>
          <w:rFonts w:hint="eastAsia" w:asciiTheme="majorEastAsia" w:hAnsiTheme="majorEastAsia" w:eastAsiaTheme="majorEastAsia" w:cstheme="majorEastAsia"/>
          <w:sz w:val="28"/>
          <w:szCs w:val="28"/>
          <w:highlight w:val="none"/>
          <w:lang w:val="en-US" w:eastAsia="zh-CN"/>
        </w:rPr>
        <w:t>民事裁定</w:t>
      </w:r>
      <w:r>
        <w:rPr>
          <w:rFonts w:hint="eastAsia" w:asciiTheme="majorEastAsia" w:hAnsiTheme="majorEastAsia" w:eastAsiaTheme="majorEastAsia" w:cstheme="majorEastAsia"/>
          <w:sz w:val="28"/>
          <w:szCs w:val="28"/>
          <w:highlight w:val="none"/>
        </w:rPr>
        <w:t>书》</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lang w:val="en-US" w:eastAsia="zh-CN"/>
        </w:rPr>
        <w:t>裁定受理</w:t>
      </w:r>
      <w:r>
        <w:rPr>
          <w:rFonts w:hint="eastAsia" w:asciiTheme="majorEastAsia" w:hAnsiTheme="majorEastAsia" w:eastAsiaTheme="majorEastAsia" w:cstheme="majorEastAsia"/>
          <w:sz w:val="28"/>
          <w:szCs w:val="28"/>
          <w:highlight w:val="none"/>
        </w:rPr>
        <w:t>英特罗斯公司</w:t>
      </w:r>
      <w:r>
        <w:rPr>
          <w:rFonts w:hint="eastAsia" w:asciiTheme="majorEastAsia" w:hAnsiTheme="majorEastAsia" w:eastAsiaTheme="majorEastAsia" w:cstheme="majorEastAsia"/>
          <w:sz w:val="28"/>
          <w:szCs w:val="28"/>
          <w:highlight w:val="none"/>
          <w:lang w:val="en-US" w:eastAsia="zh-CN"/>
        </w:rPr>
        <w:t>的破产重整申请</w:t>
      </w:r>
      <w:r>
        <w:rPr>
          <w:rFonts w:hint="eastAsia" w:asciiTheme="majorEastAsia" w:hAnsiTheme="majorEastAsia" w:eastAsiaTheme="majorEastAsia" w:cstheme="majorEastAsia"/>
          <w:sz w:val="28"/>
          <w:szCs w:val="28"/>
          <w:highlight w:val="none"/>
        </w:rPr>
        <w:t>。202</w:t>
      </w:r>
      <w:r>
        <w:rPr>
          <w:rFonts w:hint="eastAsia" w:asciiTheme="majorEastAsia" w:hAnsiTheme="majorEastAsia" w:eastAsiaTheme="majorEastAsia" w:cstheme="majorEastAsia"/>
          <w:sz w:val="28"/>
          <w:szCs w:val="28"/>
          <w:highlight w:val="none"/>
          <w:lang w:val="en-US" w:eastAsia="zh-CN"/>
        </w:rPr>
        <w:t>5</w:t>
      </w:r>
      <w:r>
        <w:rPr>
          <w:rFonts w:hint="eastAsia" w:asciiTheme="majorEastAsia" w:hAnsiTheme="majorEastAsia" w:eastAsiaTheme="majorEastAsia" w:cstheme="majorEastAsia"/>
          <w:sz w:val="28"/>
          <w:szCs w:val="28"/>
          <w:highlight w:val="none"/>
        </w:rPr>
        <w:t>年4月22日，颍上县人民法院作出</w:t>
      </w:r>
      <w:r>
        <w:rPr>
          <w:rFonts w:hint="eastAsia" w:asciiTheme="majorEastAsia" w:hAnsiTheme="majorEastAsia" w:eastAsiaTheme="majorEastAsia" w:cstheme="majorEastAsia"/>
          <w:sz w:val="28"/>
          <w:szCs w:val="28"/>
          <w:highlight w:val="none"/>
          <w:lang w:eastAsia="zh-CN"/>
        </w:rPr>
        <w:t>（2025）皖1226破2号</w:t>
      </w:r>
      <w:r>
        <w:rPr>
          <w:rFonts w:hint="eastAsia" w:asciiTheme="majorEastAsia" w:hAnsiTheme="majorEastAsia" w:eastAsiaTheme="majorEastAsia" w:cstheme="majorEastAsia"/>
          <w:sz w:val="28"/>
          <w:szCs w:val="28"/>
          <w:highlight w:val="none"/>
        </w:rPr>
        <w:t>《决定书》，</w:t>
      </w:r>
      <w:r>
        <w:rPr>
          <w:rFonts w:hint="eastAsia" w:asciiTheme="majorEastAsia" w:hAnsiTheme="majorEastAsia" w:eastAsiaTheme="majorEastAsia" w:cstheme="majorEastAsia"/>
          <w:sz w:val="28"/>
          <w:szCs w:val="28"/>
          <w:highlight w:val="none"/>
          <w:lang w:val="en-US" w:eastAsia="zh-CN"/>
        </w:rPr>
        <w:t>指定</w:t>
      </w:r>
      <w:r>
        <w:rPr>
          <w:rFonts w:hint="eastAsia" w:asciiTheme="majorEastAsia" w:hAnsiTheme="majorEastAsia" w:eastAsiaTheme="majorEastAsia" w:cstheme="majorEastAsia"/>
          <w:sz w:val="28"/>
          <w:szCs w:val="28"/>
          <w:highlight w:val="none"/>
        </w:rPr>
        <w:t>安徽美林律师事务所担任英特罗斯公司</w:t>
      </w:r>
      <w:r>
        <w:rPr>
          <w:rFonts w:hint="eastAsia" w:asciiTheme="majorEastAsia" w:hAnsiTheme="majorEastAsia" w:eastAsiaTheme="majorEastAsia" w:cstheme="majorEastAsia"/>
          <w:sz w:val="28"/>
          <w:szCs w:val="28"/>
          <w:highlight w:val="none"/>
          <w:lang w:val="en-US" w:eastAsia="zh-CN"/>
        </w:rPr>
        <w:t>破产</w:t>
      </w:r>
      <w:r>
        <w:rPr>
          <w:rFonts w:hint="eastAsia" w:asciiTheme="majorEastAsia" w:hAnsiTheme="majorEastAsia" w:eastAsiaTheme="majorEastAsia" w:cstheme="majorEastAsia"/>
          <w:sz w:val="28"/>
          <w:szCs w:val="28"/>
          <w:highlight w:val="none"/>
        </w:rPr>
        <w:t>重整期间的管理人（以下简称管理人）。</w:t>
      </w:r>
    </w:p>
    <w:p w14:paraId="03C60B0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为公开公正引入</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重整投资人，实现</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财产价值最大化和债权人利益最大化的目标，实现</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重整目的</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管理人依据《中华人民共和国企业破产法》及相关法律规定，面向全国公开招募</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重整投资人。欢迎有资金实力、履约能力、管理能力及行业优势的意向投资人参与对</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的重整投资报名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现就招募事宜公告如下：</w:t>
      </w:r>
    </w:p>
    <w:p w14:paraId="36715C0F">
      <w:pPr>
        <w:pStyle w:val="2"/>
        <w:keepNext w:val="0"/>
        <w:keepLines w:val="0"/>
        <w:pageBreakBefore w:val="0"/>
        <w:widowControl/>
        <w:kinsoku w:val="0"/>
        <w:wordWrap/>
        <w:overflowPunct/>
        <w:topLinePunct w:val="0"/>
        <w:autoSpaceDE w:val="0"/>
        <w:autoSpaceDN w:val="0"/>
        <w:bidi w:val="0"/>
        <w:adjustRightInd w:val="0"/>
        <w:snapToGrid w:val="0"/>
        <w:spacing w:before="78" w:line="560" w:lineRule="exact"/>
        <w:ind w:firstLine="556" w:firstLineChars="200"/>
        <w:textAlignment w:val="baseline"/>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14:textOutline w14:w="4356" w14:cap="flat" w14:cmpd="sng">
            <w14:solidFill>
              <w14:srgbClr w14:val="000000"/>
            </w14:solidFill>
            <w14:prstDash w14:val="solid"/>
            <w14:miter w14:val="0"/>
          </w14:textOutline>
        </w:rPr>
        <w:t>一、</w:t>
      </w:r>
      <w:r>
        <w:rPr>
          <w:rFonts w:hint="eastAsia" w:asciiTheme="majorEastAsia" w:hAnsiTheme="majorEastAsia" w:eastAsiaTheme="majorEastAsia" w:cstheme="majorEastAsia"/>
          <w:spacing w:val="-1"/>
          <w:sz w:val="28"/>
          <w:szCs w:val="28"/>
          <w:highlight w:val="none"/>
          <w:lang w:eastAsia="zh-CN"/>
          <w14:textOutline w14:w="4356" w14:cap="flat" w14:cmpd="sng">
            <w14:solidFill>
              <w14:srgbClr w14:val="000000"/>
            </w14:solidFill>
            <w14:prstDash w14:val="solid"/>
            <w14:miter w14:val="0"/>
          </w14:textOutline>
        </w:rPr>
        <w:t>英特罗斯公司</w:t>
      </w:r>
      <w:r>
        <w:rPr>
          <w:rFonts w:hint="eastAsia" w:asciiTheme="majorEastAsia" w:hAnsiTheme="majorEastAsia" w:eastAsiaTheme="majorEastAsia" w:cstheme="majorEastAsia"/>
          <w:spacing w:val="-2"/>
          <w:sz w:val="28"/>
          <w:szCs w:val="28"/>
          <w:highlight w:val="none"/>
          <w14:textOutline w14:w="4356" w14:cap="flat" w14:cmpd="sng">
            <w14:solidFill>
              <w14:srgbClr w14:val="000000"/>
            </w14:solidFill>
            <w14:prstDash w14:val="solid"/>
            <w14:miter w14:val="0"/>
          </w14:textOutline>
        </w:rPr>
        <w:t>基本情况</w:t>
      </w:r>
    </w:p>
    <w:p w14:paraId="5126A04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z w:val="28"/>
          <w:szCs w:val="28"/>
          <w:highlight w:val="none"/>
          <w:lang w:eastAsia="zh-CN"/>
        </w:rPr>
        <w:t>英特罗斯公司成立于2010年3月18日，住所地</w:t>
      </w:r>
      <w:r>
        <w:rPr>
          <w:rFonts w:hint="eastAsia" w:asciiTheme="majorEastAsia" w:hAnsiTheme="majorEastAsia" w:eastAsiaTheme="majorEastAsia" w:cstheme="majorEastAsia"/>
          <w:sz w:val="28"/>
          <w:szCs w:val="28"/>
          <w:highlight w:val="none"/>
          <w:lang w:val="en-US" w:eastAsia="zh-CN"/>
        </w:rPr>
        <w:t>安徽省阜阳市颍上县工业园区</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lang w:val="en-US" w:eastAsia="zh-CN"/>
        </w:rPr>
        <w:t>公司类型为</w:t>
      </w:r>
      <w:r>
        <w:rPr>
          <w:rFonts w:hint="eastAsia" w:asciiTheme="majorEastAsia" w:hAnsiTheme="majorEastAsia" w:eastAsiaTheme="majorEastAsia" w:cstheme="majorEastAsia"/>
          <w:sz w:val="28"/>
          <w:szCs w:val="28"/>
          <w:highlight w:val="none"/>
          <w:lang w:eastAsia="zh-CN"/>
        </w:rPr>
        <w:t>有限责任公司(自然人投资或控股)，法定代表人</w:t>
      </w:r>
      <w:r>
        <w:rPr>
          <w:rFonts w:hint="eastAsia" w:asciiTheme="majorEastAsia" w:hAnsiTheme="majorEastAsia" w:eastAsiaTheme="majorEastAsia" w:cstheme="majorEastAsia"/>
          <w:sz w:val="28"/>
          <w:szCs w:val="28"/>
          <w:highlight w:val="none"/>
          <w:lang w:val="en-US" w:eastAsia="zh-CN"/>
        </w:rPr>
        <w:t>陈小微</w:t>
      </w:r>
      <w:r>
        <w:rPr>
          <w:rFonts w:hint="eastAsia" w:asciiTheme="majorEastAsia" w:hAnsiTheme="majorEastAsia" w:eastAsiaTheme="majorEastAsia" w:cstheme="majorEastAsia"/>
          <w:sz w:val="28"/>
          <w:szCs w:val="28"/>
          <w:highlight w:val="none"/>
          <w:lang w:eastAsia="zh-CN"/>
        </w:rPr>
        <w:t>，登记机关为</w:t>
      </w:r>
      <w:r>
        <w:rPr>
          <w:rFonts w:hint="eastAsia" w:asciiTheme="majorEastAsia" w:hAnsiTheme="majorEastAsia" w:eastAsiaTheme="majorEastAsia" w:cstheme="majorEastAsia"/>
          <w:sz w:val="28"/>
          <w:szCs w:val="28"/>
          <w:highlight w:val="none"/>
          <w:lang w:val="en-US" w:eastAsia="zh-CN"/>
        </w:rPr>
        <w:t>安徽省</w:t>
      </w:r>
      <w:r>
        <w:rPr>
          <w:rFonts w:hint="eastAsia" w:asciiTheme="majorEastAsia" w:hAnsiTheme="majorEastAsia" w:eastAsiaTheme="majorEastAsia" w:cstheme="majorEastAsia"/>
          <w:sz w:val="28"/>
          <w:szCs w:val="28"/>
          <w:highlight w:val="none"/>
          <w:lang w:eastAsia="zh-CN"/>
        </w:rPr>
        <w:t>颍上县市场监督管理局，注册资本</w:t>
      </w:r>
      <w:r>
        <w:rPr>
          <w:rFonts w:hint="eastAsia" w:asciiTheme="majorEastAsia" w:hAnsiTheme="majorEastAsia" w:eastAsiaTheme="majorEastAsia" w:cstheme="majorEastAsia"/>
          <w:sz w:val="28"/>
          <w:szCs w:val="28"/>
          <w:highlight w:val="none"/>
          <w:lang w:val="en-US" w:eastAsia="zh-CN"/>
        </w:rPr>
        <w:t>8333.3333万</w:t>
      </w:r>
      <w:r>
        <w:rPr>
          <w:rFonts w:hint="eastAsia" w:asciiTheme="majorEastAsia" w:hAnsiTheme="majorEastAsia" w:eastAsiaTheme="majorEastAsia" w:cstheme="majorEastAsia"/>
          <w:sz w:val="28"/>
          <w:szCs w:val="28"/>
          <w:highlight w:val="none"/>
          <w:lang w:eastAsia="zh-CN"/>
        </w:rPr>
        <w:t>元，英特罗斯公司的现股东为庄千川（</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85.83%）、胡波（</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7.53%）</w:t>
      </w:r>
      <w:r>
        <w:rPr>
          <w:rFonts w:hint="eastAsia" w:asciiTheme="majorEastAsia" w:hAnsiTheme="majorEastAsia" w:eastAsiaTheme="majorEastAsia" w:cstheme="majorEastAsia"/>
          <w:sz w:val="28"/>
          <w:szCs w:val="28"/>
          <w:highlight w:val="none"/>
          <w:lang w:val="en-US" w:eastAsia="zh-CN"/>
        </w:rPr>
        <w:t>和</w:t>
      </w:r>
      <w:r>
        <w:rPr>
          <w:rFonts w:hint="eastAsia" w:asciiTheme="majorEastAsia" w:hAnsiTheme="majorEastAsia" w:eastAsiaTheme="majorEastAsia" w:cstheme="majorEastAsia"/>
          <w:sz w:val="28"/>
          <w:szCs w:val="28"/>
          <w:highlight w:val="none"/>
          <w:lang w:eastAsia="zh-CN"/>
        </w:rPr>
        <w:t>任俊明（</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6.64%）。股东</w:t>
      </w:r>
      <w:r>
        <w:rPr>
          <w:rFonts w:hint="eastAsia" w:asciiTheme="majorEastAsia" w:hAnsiTheme="majorEastAsia" w:eastAsiaTheme="majorEastAsia" w:cstheme="majorEastAsia"/>
          <w:sz w:val="28"/>
          <w:szCs w:val="28"/>
          <w:highlight w:val="none"/>
          <w:lang w:val="en-US" w:eastAsia="zh-CN"/>
        </w:rPr>
        <w:t>前期</w:t>
      </w:r>
      <w:r>
        <w:rPr>
          <w:rFonts w:hint="eastAsia" w:asciiTheme="majorEastAsia" w:hAnsiTheme="majorEastAsia" w:eastAsiaTheme="majorEastAsia" w:cstheme="majorEastAsia"/>
          <w:sz w:val="28"/>
          <w:szCs w:val="28"/>
          <w:highlight w:val="none"/>
          <w:lang w:eastAsia="zh-CN"/>
        </w:rPr>
        <w:t>出资</w:t>
      </w:r>
      <w:r>
        <w:rPr>
          <w:rFonts w:hint="eastAsia" w:asciiTheme="majorEastAsia" w:hAnsiTheme="majorEastAsia" w:eastAsiaTheme="majorEastAsia" w:cstheme="majorEastAsia"/>
          <w:sz w:val="28"/>
          <w:szCs w:val="28"/>
          <w:highlight w:val="none"/>
          <w:lang w:val="en-US" w:eastAsia="zh-CN"/>
        </w:rPr>
        <w:t>2500</w:t>
      </w:r>
      <w:r>
        <w:rPr>
          <w:rFonts w:hint="eastAsia" w:asciiTheme="majorEastAsia" w:hAnsiTheme="majorEastAsia" w:eastAsiaTheme="majorEastAsia" w:cstheme="majorEastAsia"/>
          <w:sz w:val="28"/>
          <w:szCs w:val="28"/>
          <w:highlight w:val="none"/>
          <w:lang w:eastAsia="zh-CN"/>
        </w:rPr>
        <w:t>万元</w:t>
      </w:r>
      <w:r>
        <w:rPr>
          <w:rFonts w:hint="eastAsia" w:asciiTheme="majorEastAsia" w:hAnsiTheme="majorEastAsia" w:eastAsiaTheme="majorEastAsia" w:cstheme="majorEastAsia"/>
          <w:sz w:val="28"/>
          <w:szCs w:val="28"/>
          <w:highlight w:val="none"/>
          <w:lang w:val="en-US" w:eastAsia="zh-CN"/>
        </w:rPr>
        <w:t>已</w:t>
      </w:r>
      <w:r>
        <w:rPr>
          <w:rFonts w:hint="eastAsia" w:asciiTheme="majorEastAsia" w:hAnsiTheme="majorEastAsia" w:eastAsiaTheme="majorEastAsia" w:cstheme="majorEastAsia"/>
          <w:sz w:val="28"/>
          <w:szCs w:val="28"/>
          <w:highlight w:val="none"/>
          <w:lang w:eastAsia="zh-CN"/>
        </w:rPr>
        <w:t>实缴，</w:t>
      </w:r>
      <w:r>
        <w:rPr>
          <w:rFonts w:hint="eastAsia" w:asciiTheme="majorEastAsia" w:hAnsiTheme="majorEastAsia" w:eastAsiaTheme="majorEastAsia" w:cstheme="majorEastAsia"/>
          <w:sz w:val="28"/>
          <w:szCs w:val="28"/>
          <w:highlight w:val="none"/>
          <w:lang w:val="en-US" w:eastAsia="zh-CN"/>
        </w:rPr>
        <w:t>其余认缴出资5833.3333万为债转股</w:t>
      </w:r>
      <w:r>
        <w:rPr>
          <w:rFonts w:hint="eastAsia" w:asciiTheme="majorEastAsia" w:hAnsiTheme="majorEastAsia" w:eastAsiaTheme="majorEastAsia" w:cstheme="majorEastAsia"/>
          <w:sz w:val="28"/>
          <w:szCs w:val="28"/>
          <w:highlight w:val="none"/>
          <w:lang w:eastAsia="zh-CN"/>
        </w:rPr>
        <w:t>情形。</w:t>
      </w:r>
    </w:p>
    <w:p w14:paraId="7909260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napToGrid w:val="0"/>
          <w:color w:val="000000"/>
          <w:kern w:val="0"/>
          <w:sz w:val="28"/>
          <w:szCs w:val="28"/>
          <w:highlight w:val="none"/>
          <w:lang w:val="en-US" w:eastAsia="en-US"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的经营范围：</w:t>
      </w:r>
      <w:r>
        <w:rPr>
          <w:rFonts w:hint="eastAsia" w:asciiTheme="majorEastAsia" w:hAnsiTheme="majorEastAsia" w:eastAsiaTheme="majorEastAsia" w:cstheme="majorEastAsia"/>
          <w:snapToGrid w:val="0"/>
          <w:color w:val="000000"/>
          <w:kern w:val="0"/>
          <w:sz w:val="28"/>
          <w:szCs w:val="28"/>
          <w:highlight w:val="none"/>
          <w:lang w:val="en-US" w:eastAsia="zh-CN" w:bidi="ar-SA"/>
        </w:rPr>
        <w:t>皮革服装、针、棉、毛纺织品服装、鞋帽、皮革制品制造、销售，自理报检，毛皮收购（依法须经批准的项目，经相关部门批准后方可开展经营活动）。</w:t>
      </w:r>
    </w:p>
    <w:p w14:paraId="5683BC3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25" w:firstLine="560" w:firstLineChars="2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名下</w:t>
      </w:r>
      <w:r>
        <w:rPr>
          <w:rFonts w:hint="eastAsia" w:asciiTheme="majorEastAsia" w:hAnsiTheme="majorEastAsia" w:eastAsiaTheme="majorEastAsia" w:cstheme="majorEastAsia"/>
          <w:snapToGrid w:val="0"/>
          <w:color w:val="000000"/>
          <w:kern w:val="0"/>
          <w:sz w:val="28"/>
          <w:szCs w:val="28"/>
          <w:highlight w:val="none"/>
          <w:lang w:val="en-US" w:eastAsia="zh-CN" w:bidi="ar-SA"/>
        </w:rPr>
        <w:t>的主要资产为60185平方米的土地使用权（使用期限自2010年1月5日起至2060年1月5日），10580.33平方米的3栋厂房、3913.09平方米的办公楼和3924.19平方米的宿舍楼，另外2栋规划设计为7层、面积各15881.67平方米的在建工程（已完成施工面积共计6806.43平方米）。</w:t>
      </w:r>
    </w:p>
    <w:p w14:paraId="3D10CD6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25" w:firstLine="560" w:firstLineChars="200"/>
        <w:textAlignment w:val="baseline"/>
        <w:rPr>
          <w:rFonts w:hint="eastAsia" w:asciiTheme="majorEastAsia" w:hAnsiTheme="majorEastAsia" w:eastAsiaTheme="majorEastAsia" w:cstheme="majorEastAsia"/>
          <w:snapToGrid w:val="0"/>
          <w:color w:val="000000"/>
          <w:kern w:val="0"/>
          <w:sz w:val="28"/>
          <w:szCs w:val="28"/>
          <w:highlight w:val="none"/>
          <w:lang w:val="en-US" w:eastAsia="en-US" w:bidi="ar-SA"/>
        </w:rPr>
      </w:pPr>
      <w:r>
        <w:rPr>
          <w:rFonts w:hint="eastAsia" w:asciiTheme="majorEastAsia" w:hAnsiTheme="majorEastAsia" w:eastAsiaTheme="majorEastAsia" w:cstheme="majorEastAsia"/>
          <w:snapToGrid w:val="0"/>
          <w:color w:val="000000"/>
          <w:kern w:val="0"/>
          <w:sz w:val="28"/>
          <w:szCs w:val="28"/>
          <w:highlight w:val="none"/>
          <w:lang w:val="en-US" w:eastAsia="en-US" w:bidi="ar-SA"/>
        </w:rPr>
        <w:t>根据</w:t>
      </w:r>
      <w:r>
        <w:rPr>
          <w:rFonts w:hint="eastAsia" w:asciiTheme="majorEastAsia" w:hAnsiTheme="majorEastAsia" w:eastAsiaTheme="majorEastAsia" w:cstheme="majorEastAsia"/>
          <w:snapToGrid w:val="0"/>
          <w:color w:val="000000"/>
          <w:kern w:val="0"/>
          <w:sz w:val="28"/>
          <w:szCs w:val="28"/>
          <w:highlight w:val="none"/>
          <w:lang w:val="en-US" w:eastAsia="zh-CN" w:bidi="ar-SA"/>
        </w:rPr>
        <w:t>评估</w:t>
      </w:r>
      <w:r>
        <w:rPr>
          <w:rFonts w:hint="eastAsia" w:asciiTheme="majorEastAsia" w:hAnsiTheme="majorEastAsia" w:eastAsiaTheme="majorEastAsia" w:cstheme="majorEastAsia"/>
          <w:snapToGrid w:val="0"/>
          <w:color w:val="000000"/>
          <w:kern w:val="0"/>
          <w:sz w:val="28"/>
          <w:szCs w:val="28"/>
          <w:highlight w:val="none"/>
          <w:lang w:val="en-US" w:eastAsia="en-US" w:bidi="ar-SA"/>
        </w:rPr>
        <w:t>机构出具的《</w:t>
      </w:r>
      <w:r>
        <w:rPr>
          <w:rFonts w:hint="eastAsia" w:asciiTheme="majorEastAsia" w:hAnsiTheme="majorEastAsia" w:eastAsiaTheme="majorEastAsia" w:cstheme="majorEastAsia"/>
          <w:snapToGrid w:val="0"/>
          <w:color w:val="000000"/>
          <w:kern w:val="0"/>
          <w:sz w:val="28"/>
          <w:szCs w:val="28"/>
          <w:highlight w:val="none"/>
          <w:lang w:val="en-US" w:eastAsia="zh-CN" w:bidi="ar-SA"/>
        </w:rPr>
        <w:t>资产评估</w:t>
      </w:r>
      <w:r>
        <w:rPr>
          <w:rFonts w:hint="eastAsia" w:asciiTheme="majorEastAsia" w:hAnsiTheme="majorEastAsia" w:eastAsiaTheme="majorEastAsia" w:cstheme="majorEastAsia"/>
          <w:snapToGrid w:val="0"/>
          <w:color w:val="000000"/>
          <w:kern w:val="0"/>
          <w:sz w:val="28"/>
          <w:szCs w:val="28"/>
          <w:highlight w:val="none"/>
          <w:lang w:val="en-US" w:eastAsia="en-US" w:bidi="ar-SA"/>
        </w:rPr>
        <w:t>报告》，在评估价值时点即202</w:t>
      </w:r>
      <w:r>
        <w:rPr>
          <w:rFonts w:hint="eastAsia" w:asciiTheme="majorEastAsia" w:hAnsiTheme="majorEastAsia" w:eastAsiaTheme="majorEastAsia" w:cstheme="majorEastAsia"/>
          <w:snapToGrid w:val="0"/>
          <w:color w:val="000000"/>
          <w:kern w:val="0"/>
          <w:sz w:val="28"/>
          <w:szCs w:val="28"/>
          <w:highlight w:val="none"/>
          <w:lang w:val="en-US" w:eastAsia="zh-CN" w:bidi="ar-SA"/>
        </w:rPr>
        <w:t>5</w:t>
      </w:r>
      <w:r>
        <w:rPr>
          <w:rFonts w:hint="eastAsia" w:asciiTheme="majorEastAsia" w:hAnsiTheme="majorEastAsia" w:eastAsiaTheme="majorEastAsia" w:cstheme="majorEastAsia"/>
          <w:snapToGrid w:val="0"/>
          <w:color w:val="000000"/>
          <w:kern w:val="0"/>
          <w:sz w:val="28"/>
          <w:szCs w:val="28"/>
          <w:highlight w:val="none"/>
          <w:lang w:val="en-US" w:eastAsia="en-US" w:bidi="ar-SA"/>
        </w:rPr>
        <w:t>年</w:t>
      </w:r>
      <w:r>
        <w:rPr>
          <w:rFonts w:hint="eastAsia" w:asciiTheme="majorEastAsia" w:hAnsiTheme="majorEastAsia" w:eastAsiaTheme="majorEastAsia" w:cstheme="majorEastAsia"/>
          <w:snapToGrid w:val="0"/>
          <w:color w:val="000000"/>
          <w:kern w:val="0"/>
          <w:sz w:val="28"/>
          <w:szCs w:val="28"/>
          <w:highlight w:val="none"/>
          <w:lang w:val="en-US" w:eastAsia="zh-CN" w:bidi="ar-SA"/>
        </w:rPr>
        <w:t>4</w:t>
      </w:r>
      <w:r>
        <w:rPr>
          <w:rFonts w:hint="eastAsia" w:asciiTheme="majorEastAsia" w:hAnsiTheme="majorEastAsia" w:eastAsiaTheme="majorEastAsia" w:cstheme="majorEastAsia"/>
          <w:snapToGrid w:val="0"/>
          <w:color w:val="000000"/>
          <w:kern w:val="0"/>
          <w:sz w:val="28"/>
          <w:szCs w:val="28"/>
          <w:highlight w:val="none"/>
          <w:lang w:val="en-US" w:eastAsia="en-US" w:bidi="ar-SA"/>
        </w:rPr>
        <w:t>月</w:t>
      </w:r>
      <w:r>
        <w:rPr>
          <w:rFonts w:hint="eastAsia" w:asciiTheme="majorEastAsia" w:hAnsiTheme="majorEastAsia" w:eastAsiaTheme="majorEastAsia" w:cstheme="majorEastAsia"/>
          <w:snapToGrid w:val="0"/>
          <w:color w:val="000000"/>
          <w:kern w:val="0"/>
          <w:sz w:val="28"/>
          <w:szCs w:val="28"/>
          <w:highlight w:val="none"/>
          <w:lang w:val="en-US" w:eastAsia="zh-CN" w:bidi="ar-SA"/>
        </w:rPr>
        <w:t>10</w:t>
      </w:r>
      <w:r>
        <w:rPr>
          <w:rFonts w:hint="eastAsia" w:asciiTheme="majorEastAsia" w:hAnsiTheme="majorEastAsia" w:eastAsiaTheme="majorEastAsia" w:cstheme="majorEastAsia"/>
          <w:snapToGrid w:val="0"/>
          <w:color w:val="000000"/>
          <w:kern w:val="0"/>
          <w:sz w:val="28"/>
          <w:szCs w:val="28"/>
          <w:highlight w:val="none"/>
          <w:lang w:val="en-US" w:eastAsia="en-US" w:bidi="ar-SA"/>
        </w:rPr>
        <w:t>日，</w:t>
      </w: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名下资产的评估价值合计为</w:t>
      </w:r>
      <w:r>
        <w:rPr>
          <w:rFonts w:hint="default" w:ascii="仿宋" w:hAnsi="仿宋" w:eastAsia="仿宋" w:cs="仿宋"/>
          <w:sz w:val="28"/>
          <w:szCs w:val="28"/>
          <w:highlight w:val="none"/>
          <w:lang w:val="en-US" w:eastAsia="zh-CN"/>
        </w:rPr>
        <w:t xml:space="preserve"> 17,992,127.00</w:t>
      </w:r>
      <w:r>
        <w:rPr>
          <w:rFonts w:hint="eastAsia" w:asciiTheme="majorEastAsia" w:hAnsiTheme="majorEastAsia" w:eastAsiaTheme="majorEastAsia" w:cstheme="majorEastAsia"/>
          <w:snapToGrid w:val="0"/>
          <w:color w:val="000000"/>
          <w:kern w:val="0"/>
          <w:sz w:val="28"/>
          <w:szCs w:val="28"/>
          <w:highlight w:val="none"/>
          <w:lang w:val="en-US" w:eastAsia="en-US" w:bidi="ar-SA"/>
        </w:rPr>
        <w:t>元</w:t>
      </w:r>
      <w:r>
        <w:rPr>
          <w:rFonts w:hint="eastAsia" w:asciiTheme="majorEastAsia" w:hAnsiTheme="majorEastAsia" w:eastAsiaTheme="majorEastAsia" w:cstheme="majorEastAsia"/>
          <w:snapToGrid w:val="0"/>
          <w:color w:val="000000"/>
          <w:kern w:val="0"/>
          <w:sz w:val="28"/>
          <w:szCs w:val="28"/>
          <w:highlight w:val="none"/>
          <w:lang w:val="en-US" w:eastAsia="zh-CN" w:bidi="ar-SA"/>
        </w:rPr>
        <w:t>。截止第一次债权人会议召开日，管理人查明的英特罗斯公司总负债为</w:t>
      </w:r>
      <w:r>
        <w:rPr>
          <w:rFonts w:hint="eastAsia" w:ascii="仿宋" w:hAnsi="仿宋" w:eastAsia="仿宋" w:cs="仿宋_GB2312"/>
          <w:sz w:val="28"/>
          <w:highlight w:val="none"/>
        </w:rPr>
        <w:t>73,399,280.34</w:t>
      </w:r>
      <w:r>
        <w:rPr>
          <w:rFonts w:hint="eastAsia" w:ascii="仿宋" w:hAnsi="仿宋" w:eastAsia="仿宋" w:cs="仿宋_GB2312"/>
          <w:sz w:val="28"/>
          <w:highlight w:val="none"/>
          <w:lang w:val="en-US" w:eastAsia="zh-CN"/>
        </w:rPr>
        <w:t>元</w:t>
      </w:r>
      <w:r>
        <w:rPr>
          <w:rFonts w:hint="eastAsia" w:asciiTheme="majorEastAsia" w:hAnsiTheme="majorEastAsia" w:eastAsiaTheme="majorEastAsia" w:cstheme="majorEastAsia"/>
          <w:snapToGrid w:val="0"/>
          <w:color w:val="000000"/>
          <w:kern w:val="0"/>
          <w:sz w:val="28"/>
          <w:szCs w:val="28"/>
          <w:highlight w:val="none"/>
          <w:lang w:val="en-US" w:eastAsia="zh-CN" w:bidi="ar-SA"/>
        </w:rPr>
        <w:t>。</w:t>
      </w:r>
    </w:p>
    <w:p w14:paraId="68121A3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二、重整范围</w:t>
      </w:r>
    </w:p>
    <w:p w14:paraId="1517E7F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英特罗斯公司重整范围设定为英特罗斯公司100%股权，重整投资人以一定的投资款对价获取英特罗斯公司100%股权。重整投资人的投资款为英特罗斯公司重整计划偿债资金，依法按照重整计划用于清偿各类债权。</w:t>
      </w:r>
    </w:p>
    <w:p w14:paraId="4015D7A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92" w:line="560" w:lineRule="exact"/>
        <w:ind w:firstLine="562" w:firstLineChars="200"/>
        <w:textAlignment w:val="baseline"/>
        <w:outlineLvl w:val="0"/>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 xml:space="preserve">投资总额 </w:t>
      </w:r>
    </w:p>
    <w:p w14:paraId="6D348B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意向投资人的投资总额不得低于人民币</w:t>
      </w:r>
      <w:r>
        <w:rPr>
          <w:rFonts w:hint="eastAsia" w:asciiTheme="majorEastAsia" w:hAnsiTheme="majorEastAsia" w:eastAsiaTheme="majorEastAsia" w:cstheme="majorEastAsia"/>
          <w:b/>
          <w:bCs/>
          <w:strike w:val="0"/>
          <w:dstrike w:val="0"/>
          <w:sz w:val="32"/>
          <w:szCs w:val="32"/>
          <w:highlight w:val="none"/>
          <w:lang w:val="en-US" w:eastAsia="zh-CN"/>
        </w:rPr>
        <w:t>2100</w:t>
      </w:r>
      <w:r>
        <w:rPr>
          <w:rFonts w:hint="eastAsia" w:asciiTheme="majorEastAsia" w:hAnsiTheme="majorEastAsia" w:eastAsiaTheme="majorEastAsia" w:cstheme="majorEastAsia"/>
          <w:b/>
          <w:bCs/>
          <w:sz w:val="32"/>
          <w:szCs w:val="32"/>
          <w:highlight w:val="none"/>
          <w:lang w:val="en-US" w:eastAsia="zh-CN"/>
        </w:rPr>
        <w:t>万元</w:t>
      </w:r>
      <w:r>
        <w:rPr>
          <w:rFonts w:hint="eastAsia" w:asciiTheme="majorEastAsia" w:hAnsiTheme="majorEastAsia" w:eastAsiaTheme="majorEastAsia" w:cstheme="majorEastAsia"/>
          <w:sz w:val="28"/>
          <w:szCs w:val="28"/>
          <w:highlight w:val="none"/>
          <w:lang w:val="en-US" w:eastAsia="zh-CN"/>
        </w:rPr>
        <w:t>。</w:t>
      </w:r>
    </w:p>
    <w:p w14:paraId="7768FBB6">
      <w:pPr>
        <w:keepNext w:val="0"/>
        <w:keepLines w:val="0"/>
        <w:pageBreakBefore w:val="0"/>
        <w:widowControl/>
        <w:kinsoku w:val="0"/>
        <w:wordWrap/>
        <w:overflowPunct/>
        <w:topLinePunct w:val="0"/>
        <w:autoSpaceDE w:val="0"/>
        <w:autoSpaceDN w:val="0"/>
        <w:bidi w:val="0"/>
        <w:adjustRightInd w:val="0"/>
        <w:snapToGrid w:val="0"/>
        <w:spacing w:before="92" w:line="560" w:lineRule="exact"/>
        <w:ind w:firstLine="498" w:firstLineChars="200"/>
        <w:textAlignment w:val="baseline"/>
        <w:outlineLvl w:val="0"/>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b/>
          <w:bCs/>
          <w:spacing w:val="-16"/>
          <w:sz w:val="28"/>
          <w:szCs w:val="28"/>
          <w:highlight w:val="none"/>
          <w:lang w:val="en-US" w:eastAsia="zh-CN"/>
        </w:rPr>
        <w:t>四、</w:t>
      </w:r>
      <w:r>
        <w:rPr>
          <w:rFonts w:hint="eastAsia" w:asciiTheme="majorEastAsia" w:hAnsiTheme="majorEastAsia" w:eastAsiaTheme="majorEastAsia" w:cstheme="majorEastAsia"/>
          <w:b/>
          <w:bCs/>
          <w:spacing w:val="-16"/>
          <w:sz w:val="28"/>
          <w:szCs w:val="28"/>
          <w:highlight w:val="none"/>
        </w:rPr>
        <w:t>招募方式</w:t>
      </w:r>
      <w:r>
        <w:rPr>
          <w:rFonts w:hint="eastAsia" w:asciiTheme="majorEastAsia" w:hAnsiTheme="majorEastAsia" w:eastAsiaTheme="majorEastAsia" w:cstheme="majorEastAsia"/>
          <w:b/>
          <w:bCs/>
          <w:spacing w:val="-16"/>
          <w:sz w:val="28"/>
          <w:szCs w:val="28"/>
          <w:highlight w:val="none"/>
          <w:lang w:val="en-US" w:eastAsia="zh-CN"/>
        </w:rPr>
        <w:t>及流程</w:t>
      </w:r>
    </w:p>
    <w:p w14:paraId="35FECCF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（一）意向投资人条件</w:t>
      </w:r>
    </w:p>
    <w:p w14:paraId="00749D7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1.意向投资人应当是依法设立并有效存续的企业法人、非法人组织或自然人；</w:t>
      </w:r>
    </w:p>
    <w:p w14:paraId="2605C47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2.意向投资人近三年不存在重大违法或违规行为，未被列入失信被执行人名单，不属于失信联合惩戒对象；</w:t>
      </w:r>
    </w:p>
    <w:p w14:paraId="381EF8A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3.意向投资人应具备与投资标的相适应的资产规模和资金实力， 投资资金来源合法合规；</w:t>
      </w:r>
    </w:p>
    <w:p w14:paraId="5A83055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两个或两个以上的意向投资人可以组成联合体参与本次招募，联合体应明确牵头投资人，联合体成员均应符合上述全部招募条件。牵头投资人一经确定后，未经管理人许可不能更换，牵头投资人未通过管理人初步审查或未经管理人许可退出本次招募的，视为联合体未通过初步审查或退出本次招募。</w:t>
      </w:r>
    </w:p>
    <w:p w14:paraId="432CE4C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5.管理人根据本案需要认为意向投资人应符合的其他条件。</w:t>
      </w:r>
    </w:p>
    <w:p w14:paraId="7A7539E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（二）提交的资料</w:t>
      </w:r>
    </w:p>
    <w:p w14:paraId="4529D4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1、《报名意向书》（附件1）。主要为意向投资人主体、意向投资人简介、投资意向概述等。</w:t>
      </w:r>
    </w:p>
    <w:p w14:paraId="5C7701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2、《意向投资人报名承诺函》（附件2）。主要为意向投资人近三年无重大违法行为或涉嫌重大违法行为、未被人民法院和主管税务机关列入失信名单；意向投资人有资金实力，资金来源合法等。</w:t>
      </w:r>
    </w:p>
    <w:p w14:paraId="090E40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3、《保密承诺函》（附件3）。</w:t>
      </w:r>
    </w:p>
    <w:p w14:paraId="7D0F89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4、意向投资人系法人的，提供营业执照复印件、法定代表人身份证明书、法定代表人身份证复印件，经办人为非法定代表人的，需提供授权委托书和受托人身份证复印件。意向投资人系其他非法人组织的，提供组织机构证明、负责人身份证明书、负责人身份证复印件，经办人为非负责人的，需提供授权委托书和受托人身份证复印件。意向投资人系自然人的，提供身份证复印件，经办人为非本人的，需提供授权委托书和受托人身份证复印件。联合投资人应当共同授权委托一人或两人作为共同经办人。</w:t>
      </w:r>
    </w:p>
    <w:p w14:paraId="5F3F37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5、如为联合投资人的，还需提交表明联合投资的共同意向及各投资人自愿对本次投资承担连带责任的共同声明，并说明各主体的角色分工和权利义务。</w:t>
      </w:r>
    </w:p>
    <w:p w14:paraId="2CD605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z w:val="28"/>
          <w:szCs w:val="28"/>
          <w:highlight w:val="none"/>
          <w:lang w:val="en-US" w:eastAsia="zh-CN"/>
        </w:rPr>
        <w:t>6、重整意向投资保证金支付凭证。</w:t>
      </w:r>
    </w:p>
    <w:p w14:paraId="6D867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b/>
          <w:bCs/>
          <w:snapToGrid w:val="0"/>
          <w:color w:val="auto"/>
          <w:kern w:val="0"/>
          <w:sz w:val="28"/>
          <w:szCs w:val="28"/>
          <w:highlight w:val="none"/>
          <w:lang w:val="en-US" w:eastAsia="zh-CN" w:bidi="ar-SA"/>
        </w:rPr>
        <w:t>注：</w:t>
      </w:r>
      <w:r>
        <w:rPr>
          <w:rFonts w:hint="eastAsia" w:asciiTheme="majorEastAsia" w:hAnsiTheme="majorEastAsia" w:eastAsiaTheme="majorEastAsia" w:cstheme="majorEastAsia"/>
          <w:snapToGrid w:val="0"/>
          <w:color w:val="auto"/>
          <w:kern w:val="0"/>
          <w:sz w:val="28"/>
          <w:szCs w:val="28"/>
          <w:highlight w:val="none"/>
          <w:lang w:val="en-US" w:eastAsia="zh-CN" w:bidi="ar-SA"/>
        </w:rPr>
        <w:t>以上所有文件必须加盖公章或本人签名按印，授权委托书应当载明受</w:t>
      </w:r>
      <w:r>
        <w:rPr>
          <w:rFonts w:hint="eastAsia" w:asciiTheme="majorEastAsia" w:hAnsiTheme="majorEastAsia" w:eastAsiaTheme="majorEastAsia" w:cstheme="majorEastAsia"/>
          <w:snapToGrid w:val="0"/>
          <w:color w:val="000000"/>
          <w:kern w:val="0"/>
          <w:sz w:val="28"/>
          <w:szCs w:val="28"/>
          <w:highlight w:val="none"/>
          <w:lang w:val="en-US" w:eastAsia="zh-CN" w:bidi="ar-SA"/>
        </w:rPr>
        <w:t>托人联系电话、送达地址，相关证明材料为复印件的，报名时需提交原件核对无误后退回。</w:t>
      </w:r>
    </w:p>
    <w:p w14:paraId="7624CFC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（三）报名</w:t>
      </w:r>
    </w:p>
    <w:p w14:paraId="65CEABF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1、报名时间：自本公告发布之日起15日内均可报名。</w:t>
      </w:r>
    </w:p>
    <w:p w14:paraId="1684B58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2、报名资料：意向投资人在报名截止时间前应按上述要求递交报名资料。若送达的材料不全或未在报名截止时间前向管理人送达报名资料的，报名无效。</w:t>
      </w:r>
    </w:p>
    <w:p w14:paraId="67B1811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3、报名材料邮寄地址及联系方式</w:t>
      </w:r>
    </w:p>
    <w:p w14:paraId="27D5D88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收件人：安徽英特罗斯服饰有限公司管理人</w:t>
      </w:r>
    </w:p>
    <w:p w14:paraId="5EA28B5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程律师  13856950383</w:t>
      </w:r>
    </w:p>
    <w:p w14:paraId="5C631D4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收件地址：合肥市政务区潜山路1999号中侨中心A座17楼</w:t>
      </w:r>
    </w:p>
    <w:p w14:paraId="0D90994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工作时间：工作日 9:00-12:00；14:00-17:00</w:t>
      </w:r>
    </w:p>
    <w:p w14:paraId="24BE9C3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4、保证金：意向投资人应于公告发布之日起15日内缴纳保证金人民</w:t>
      </w:r>
      <w:r>
        <w:rPr>
          <w:rFonts w:hint="eastAsia" w:asciiTheme="majorEastAsia" w:hAnsiTheme="majorEastAsia" w:eastAsiaTheme="majorEastAsia" w:cstheme="majorEastAsia"/>
          <w:color w:val="auto"/>
          <w:sz w:val="28"/>
          <w:szCs w:val="28"/>
          <w:highlight w:val="none"/>
          <w:lang w:val="en-US" w:eastAsia="zh-CN"/>
        </w:rPr>
        <w:t>币</w:t>
      </w:r>
      <w:r>
        <w:rPr>
          <w:rFonts w:hint="eastAsia" w:asciiTheme="majorEastAsia" w:hAnsiTheme="majorEastAsia" w:eastAsiaTheme="majorEastAsia" w:cstheme="majorEastAsia"/>
          <w:b/>
          <w:bCs/>
          <w:color w:val="auto"/>
          <w:sz w:val="32"/>
          <w:szCs w:val="32"/>
          <w:highlight w:val="none"/>
          <w:lang w:val="en-US" w:eastAsia="zh-CN"/>
        </w:rPr>
        <w:t>30万元</w:t>
      </w:r>
      <w:r>
        <w:rPr>
          <w:rFonts w:hint="eastAsia" w:asciiTheme="majorEastAsia" w:hAnsiTheme="majorEastAsia" w:eastAsiaTheme="majorEastAsia" w:cstheme="majorEastAsia"/>
          <w:color w:val="auto"/>
          <w:sz w:val="28"/>
          <w:szCs w:val="28"/>
          <w:highlight w:val="none"/>
          <w:lang w:val="en-US" w:eastAsia="zh-CN"/>
        </w:rPr>
        <w:t>，未按</w:t>
      </w:r>
      <w:r>
        <w:rPr>
          <w:rFonts w:hint="eastAsia" w:asciiTheme="majorEastAsia" w:hAnsiTheme="majorEastAsia" w:eastAsiaTheme="majorEastAsia" w:cstheme="majorEastAsia"/>
          <w:sz w:val="28"/>
          <w:szCs w:val="28"/>
          <w:highlight w:val="none"/>
          <w:lang w:val="en-US" w:eastAsia="zh-CN"/>
        </w:rPr>
        <w:t>时缴纳或因银行系统原因导致保证金未能按时到账的，视为投资人放弃报名及退出本次遴选。</w:t>
      </w:r>
    </w:p>
    <w:p w14:paraId="2715E43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意向投资人中选后，其缴纳的保证金自动转为后续履约保证金。未中选的意向投资人，管理人确定重整投资人后五个工作日内退还到原支付账户(不计息)。</w:t>
      </w:r>
    </w:p>
    <w:p w14:paraId="6A55D21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管理人账户信息：</w:t>
      </w:r>
    </w:p>
    <w:p w14:paraId="6B12A58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帐户名称：安徽英特罗斯服饰有限公司管理人</w:t>
      </w:r>
    </w:p>
    <w:p w14:paraId="79C5957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开户银行：浙商银行股份有限公司合肥分行</w:t>
      </w:r>
    </w:p>
    <w:p w14:paraId="6C386C0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账号：3610 0000 1012 0100 4916 28</w:t>
      </w:r>
    </w:p>
    <w:p w14:paraId="18C05FF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（四）资格审核</w:t>
      </w:r>
    </w:p>
    <w:p w14:paraId="34BD2D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管理人将对意向投资人提交的材料进行审核，审核结果以邮件、微信、短信、电话等方式通知意向投资人。</w:t>
      </w:r>
    </w:p>
    <w:p w14:paraId="5BE629A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（五）确定投资人</w:t>
      </w:r>
    </w:p>
    <w:p w14:paraId="7A0F92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为保证意向投资人招募工作公平公正，管理人在收到重整意向投资报名文件后将对报名文件进行综合审查，对符合要求的意向投资人，管理人将于公告期满后3日内以短信方式向意向投资人留存给管理人的联系电话发送短信通知。</w:t>
      </w:r>
    </w:p>
    <w:p w14:paraId="05E59A2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意向投资人应根据管理人的要求提交书面材料。意向投资人如在提交书面材料后自行放弃或主动退出本次招募，其缴纳的报名保证金不予退还。管理人将在人民法院的监督指导下根据意向投资人报名情况确定遴选机制，安排评选工作，同步开展与意向投资人的商业谈判或协商，确定本次招募的中选投资人。</w:t>
      </w:r>
    </w:p>
    <w:p w14:paraId="4C66FD2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3、最终确定投资人后，管理人将书面正式通知</w:t>
      </w:r>
      <w:r>
        <w:rPr>
          <w:rFonts w:hint="eastAsia" w:asciiTheme="majorEastAsia" w:hAnsiTheme="majorEastAsia" w:eastAsiaTheme="majorEastAsia" w:cstheme="majorEastAsia"/>
          <w:sz w:val="28"/>
          <w:szCs w:val="28"/>
          <w:highlight w:val="none"/>
          <w:lang w:val="en-US" w:eastAsia="zh-CN"/>
        </w:rPr>
        <w:t>意向投资人。意向投资人收到管理人的正式通知后，应在管理人通知要求的时间内与管理人签订重整投资协议。</w:t>
      </w:r>
    </w:p>
    <w:p w14:paraId="468AC45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4、重整投资协议签署后，重整投资人应配合安徽省颍上县人民法院和管理人完成英特罗斯公司重整程序。</w:t>
      </w:r>
    </w:p>
    <w:p w14:paraId="320BA5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b/>
          <w:bCs/>
          <w:snapToGrid w:val="0"/>
          <w:color w:val="000000"/>
          <w:kern w:val="0"/>
          <w:sz w:val="28"/>
          <w:szCs w:val="28"/>
          <w:highlight w:val="none"/>
          <w:lang w:val="en-US" w:eastAsia="zh-CN" w:bidi="ar-SA"/>
        </w:rPr>
      </w:pPr>
      <w:r>
        <w:rPr>
          <w:rFonts w:hint="eastAsia" w:asciiTheme="majorEastAsia" w:hAnsiTheme="majorEastAsia" w:eastAsiaTheme="majorEastAsia" w:cstheme="majorEastAsia"/>
          <w:b/>
          <w:bCs/>
          <w:sz w:val="28"/>
          <w:szCs w:val="28"/>
          <w:highlight w:val="none"/>
          <w:lang w:val="en-US" w:eastAsia="zh-CN"/>
        </w:rPr>
        <w:t>四、意向投资人确定的基本原则</w:t>
      </w:r>
    </w:p>
    <w:p w14:paraId="247CCA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（一）基本原则</w:t>
      </w:r>
    </w:p>
    <w:p w14:paraId="0D5159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1、遴选过程应公开公正，公平对待所有意向投资人。</w:t>
      </w:r>
    </w:p>
    <w:p w14:paraId="56AEB8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2、遴选以保持</w:t>
      </w:r>
      <w:r>
        <w:rPr>
          <w:rFonts w:hint="eastAsia" w:asciiTheme="majorEastAsia" w:hAnsiTheme="majorEastAsia" w:eastAsiaTheme="majorEastAsia" w:cstheme="majorEastAsia"/>
          <w:sz w:val="28"/>
          <w:szCs w:val="28"/>
          <w:highlight w:val="none"/>
          <w:lang w:val="en-US" w:eastAsia="zh-CN"/>
        </w:rPr>
        <w:t>英特罗斯公司</w:t>
      </w:r>
      <w:r>
        <w:rPr>
          <w:rFonts w:hint="eastAsia" w:asciiTheme="majorEastAsia" w:hAnsiTheme="majorEastAsia" w:eastAsiaTheme="majorEastAsia" w:cstheme="majorEastAsia"/>
          <w:snapToGrid w:val="0"/>
          <w:color w:val="000000"/>
          <w:kern w:val="0"/>
          <w:sz w:val="28"/>
          <w:szCs w:val="28"/>
          <w:highlight w:val="none"/>
          <w:lang w:val="en-US" w:eastAsia="zh-CN" w:bidi="ar-SA"/>
        </w:rPr>
        <w:t>存续和发展实现</w:t>
      </w:r>
      <w:r>
        <w:rPr>
          <w:rFonts w:hint="eastAsia" w:asciiTheme="majorEastAsia" w:hAnsiTheme="majorEastAsia" w:eastAsiaTheme="majorEastAsia" w:cstheme="majorEastAsia"/>
          <w:sz w:val="28"/>
          <w:szCs w:val="28"/>
          <w:highlight w:val="none"/>
          <w:lang w:val="en-US" w:eastAsia="zh-CN"/>
        </w:rPr>
        <w:t>英特罗斯公司</w:t>
      </w:r>
      <w:r>
        <w:rPr>
          <w:rFonts w:hint="eastAsia" w:asciiTheme="majorEastAsia" w:hAnsiTheme="majorEastAsia" w:eastAsiaTheme="majorEastAsia" w:cstheme="majorEastAsia"/>
          <w:snapToGrid w:val="0"/>
          <w:color w:val="000000"/>
          <w:kern w:val="0"/>
          <w:sz w:val="28"/>
          <w:szCs w:val="28"/>
          <w:highlight w:val="none"/>
          <w:lang w:val="en-US" w:eastAsia="zh-CN" w:bidi="ar-SA"/>
        </w:rPr>
        <w:t>资产价值最大化、切实保护各类债权人和债务人的合法权益为目标。</w:t>
      </w:r>
    </w:p>
    <w:p w14:paraId="435695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（二）中选意向投资人确定原则</w:t>
      </w:r>
    </w:p>
    <w:p w14:paraId="0F7554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1、如仅有一个意向投资人，且其满足本次招募条件的，则其为中标人。</w:t>
      </w:r>
    </w:p>
    <w:p w14:paraId="54B937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2、如有两个及以上的意向投资人，且其均满足本次招募条件的，价高者为中标人。</w:t>
      </w:r>
    </w:p>
    <w:p w14:paraId="1651D5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3、中标人因违反本公告内容无法中标，或在管理人规定的期限内拒绝与管理人签订书面投资协议的，比中标人投标价次之者自动中标，以此类推。</w:t>
      </w:r>
    </w:p>
    <w:p w14:paraId="0F88A0A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五、风险提示</w:t>
      </w:r>
    </w:p>
    <w:p w14:paraId="20B9A3C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（一）意向投资人决定参与招募前应仔细阅读招募公告，理解和知晓重整过程中可能存在的风险、责任和义务。</w:t>
      </w:r>
    </w:p>
    <w:p w14:paraId="3F694ED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（二）意向投资人自行承担英特罗斯公司及英特罗斯公司重整资产、负债等已知或可能存在的瑕疵及导致的风险和损失。</w:t>
      </w:r>
    </w:p>
    <w:p w14:paraId="6DFFC7E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（三）英特罗斯公司重整计划草案能否取得债权人会议表决同意，重整计划能否取得人民法院裁定批准，重整计划能否顺利执行落实等均存在不确定性，意向投资人自行承担重整失败的不利后果及相关损失。</w:t>
      </w:r>
    </w:p>
    <w:p w14:paraId="2305962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（四）招募公告有关英特罗斯公司的情况仅供意向投资人参考，管理人不对本招募公告披露的内容承担保证责任。意向投资人应根据自行尽职调查的结果进行自主判断和自担风险。</w:t>
      </w:r>
    </w:p>
    <w:p w14:paraId="7B38ACB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（五）管理人有权决定继续、中止或终止意向投资人招募，也有权决定重新招募意向投资人，且不承担任何违约赔偿责任。</w:t>
      </w:r>
    </w:p>
    <w:p w14:paraId="66DB19D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六）英特罗斯公司按现状重整，对重整企业后续经营的相关事宜(包括但不限于股权变更、行业准入等),请意向投资人自行向政府职能部门了解办理的流程、条件、期限等相关规定。管理人对股权变更登记或资产产权变更登记等不作保证，以属地政府的决定或审批为准。</w:t>
      </w:r>
    </w:p>
    <w:p w14:paraId="18A3475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七）英特罗斯公司因未履行生效法律文书，被人民法院多次列入失信被执行人名单以及税务信用风险等可能影响英特罗斯公司信用记录修复，意向投资人应自行调查了解与处理信用修复相关事宜。同时鉴于该等问题涉及政府、法院等部门且存在较多的法律、法规及政策盲点，由此可能影响投资目的，管理人不作任何承诺，由意向投资人自行判断风险。</w:t>
      </w:r>
    </w:p>
    <w:p w14:paraId="5064946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（八）</w:t>
      </w:r>
      <w:r>
        <w:rPr>
          <w:rFonts w:hint="eastAsia" w:asciiTheme="majorEastAsia" w:hAnsiTheme="majorEastAsia" w:eastAsiaTheme="majorEastAsia" w:cstheme="majorEastAsia"/>
          <w:color w:val="auto"/>
          <w:sz w:val="28"/>
          <w:szCs w:val="28"/>
          <w:highlight w:val="none"/>
          <w:lang w:val="en-US" w:eastAsia="zh-CN"/>
        </w:rPr>
        <w:t>目前英特罗斯公司未向管理人移交任何财务资料和账簿，管理人不能确定英特罗斯公司是否存在对外负债以及对外负债的具体情况，意向投资人需自行评估相应风险。</w:t>
      </w:r>
    </w:p>
    <w:p w14:paraId="4AA45E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（九）由于相关法律、法规、政策的变化，意向投资人应自行关注相关政府主管部门的通知、公告等信息，并及时作出应对，同时自负因各项规定修改、调整所带来的全部投资风险。</w:t>
      </w:r>
    </w:p>
    <w:p w14:paraId="30077988">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六、特别声明</w:t>
      </w:r>
    </w:p>
    <w:p w14:paraId="31EAA29A">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 xml:space="preserve">1、本招募公告仅限于确定英特罗斯公司重整意向投资人，有效推动本案的进程，本招募公告不构成要约，不具有重整投资协议的约束力。 </w:t>
      </w:r>
    </w:p>
    <w:p w14:paraId="268A16F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本招募公告所披露的相关情况仅供意向投资人参考，并不替代意向投资人的尽职调查，管理人不承担任何瑕疵担保责任。意向投资人可在通过初步审查后，根据相关安排，自行或委托中介机构开展尽职调查工作。</w:t>
      </w:r>
    </w:p>
    <w:p w14:paraId="6BC3D0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3、本次重整以英特罗斯公司现状进行重整，意向投资人向管理人提交报名的，视为其同意按英特罗斯公司现状进行重整，投资风险由意向投资人自行承担。</w:t>
      </w:r>
    </w:p>
    <w:p w14:paraId="2864822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本招募公告的最终解释权归管理人所有。意向投资人一旦提交报名材料，则视为对本公告内容和要求均无异议。</w:t>
      </w:r>
    </w:p>
    <w:p w14:paraId="0B66449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热忱欢迎社会各界报名参与本次招募。</w:t>
      </w:r>
    </w:p>
    <w:p w14:paraId="46EE54C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特此公告</w:t>
      </w:r>
    </w:p>
    <w:p w14:paraId="7024DBB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Theme="majorEastAsia" w:hAnsiTheme="majorEastAsia" w:eastAsiaTheme="majorEastAsia" w:cstheme="majorEastAsia"/>
          <w:sz w:val="28"/>
          <w:szCs w:val="28"/>
          <w:highlight w:val="none"/>
          <w:lang w:val="en-US" w:eastAsia="zh-CN"/>
        </w:rPr>
      </w:pPr>
    </w:p>
    <w:p w14:paraId="629D4CFC">
      <w:pPr>
        <w:keepNext w:val="0"/>
        <w:keepLines w:val="0"/>
        <w:pageBreakBefore w:val="0"/>
        <w:widowControl/>
        <w:kinsoku w:val="0"/>
        <w:wordWrap/>
        <w:overflowPunct/>
        <w:topLinePunct w:val="0"/>
        <w:autoSpaceDE w:val="0"/>
        <w:autoSpaceDN w:val="0"/>
        <w:bidi w:val="0"/>
        <w:adjustRightInd w:val="0"/>
        <w:snapToGrid w:val="0"/>
        <w:spacing w:line="560" w:lineRule="exact"/>
        <w:ind w:firstLine="3920" w:firstLineChars="14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安徽英特罗斯服饰有限公司管理人</w:t>
      </w:r>
    </w:p>
    <w:p w14:paraId="0CECF280">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jc w:val="center"/>
        <w:textAlignment w:val="baseline"/>
        <w:rPr>
          <w:rFonts w:hint="eastAsia" w:asciiTheme="majorEastAsia" w:hAnsiTheme="majorEastAsia" w:eastAsiaTheme="majorEastAsia" w:cstheme="majorEastAsia"/>
          <w:spacing w:val="-9"/>
          <w:sz w:val="28"/>
          <w:szCs w:val="28"/>
          <w:highlight w:val="none"/>
        </w:rPr>
      </w:pPr>
      <w:r>
        <w:rPr>
          <w:rFonts w:hint="eastAsia" w:asciiTheme="majorEastAsia" w:hAnsiTheme="majorEastAsia" w:eastAsiaTheme="majorEastAsia" w:cstheme="majorEastAsia"/>
          <w:spacing w:val="-9"/>
          <w:sz w:val="28"/>
          <w:szCs w:val="28"/>
          <w:highlight w:val="none"/>
          <w:lang w:val="en-US" w:eastAsia="zh-CN"/>
        </w:rPr>
        <w:t xml:space="preserve">                       </w:t>
      </w:r>
      <w:r>
        <w:rPr>
          <w:rFonts w:hint="eastAsia" w:asciiTheme="majorEastAsia" w:hAnsiTheme="majorEastAsia" w:eastAsiaTheme="majorEastAsia" w:cstheme="majorEastAsia"/>
          <w:spacing w:val="-9"/>
          <w:sz w:val="28"/>
          <w:szCs w:val="28"/>
          <w:highlight w:val="none"/>
        </w:rPr>
        <w:t>202</w:t>
      </w:r>
      <w:r>
        <w:rPr>
          <w:rFonts w:hint="eastAsia" w:asciiTheme="majorEastAsia" w:hAnsiTheme="majorEastAsia" w:eastAsiaTheme="majorEastAsia" w:cstheme="majorEastAsia"/>
          <w:spacing w:val="-9"/>
          <w:sz w:val="28"/>
          <w:szCs w:val="28"/>
          <w:highlight w:val="none"/>
          <w:lang w:val="en-US" w:eastAsia="zh-CN"/>
        </w:rPr>
        <w:t>5</w:t>
      </w:r>
      <w:r>
        <w:rPr>
          <w:rFonts w:hint="eastAsia" w:asciiTheme="majorEastAsia" w:hAnsiTheme="majorEastAsia" w:eastAsiaTheme="majorEastAsia" w:cstheme="majorEastAsia"/>
          <w:spacing w:val="-9"/>
          <w:sz w:val="28"/>
          <w:szCs w:val="28"/>
          <w:highlight w:val="none"/>
        </w:rPr>
        <w:t>年</w:t>
      </w:r>
      <w:r>
        <w:rPr>
          <w:rFonts w:hint="eastAsia" w:asciiTheme="majorEastAsia" w:hAnsiTheme="majorEastAsia" w:eastAsiaTheme="majorEastAsia" w:cstheme="majorEastAsia"/>
          <w:spacing w:val="-9"/>
          <w:sz w:val="28"/>
          <w:szCs w:val="28"/>
          <w:highlight w:val="none"/>
          <w:lang w:val="en-US" w:eastAsia="zh-CN"/>
        </w:rPr>
        <w:t>10</w:t>
      </w:r>
      <w:r>
        <w:rPr>
          <w:rFonts w:hint="eastAsia" w:asciiTheme="majorEastAsia" w:hAnsiTheme="majorEastAsia" w:eastAsiaTheme="majorEastAsia" w:cstheme="majorEastAsia"/>
          <w:spacing w:val="-9"/>
          <w:sz w:val="28"/>
          <w:szCs w:val="28"/>
          <w:highlight w:val="none"/>
        </w:rPr>
        <w:t>月</w:t>
      </w:r>
      <w:r>
        <w:rPr>
          <w:rFonts w:hint="eastAsia" w:asciiTheme="majorEastAsia" w:hAnsiTheme="majorEastAsia" w:eastAsiaTheme="majorEastAsia" w:cstheme="majorEastAsia"/>
          <w:spacing w:val="-9"/>
          <w:sz w:val="28"/>
          <w:szCs w:val="28"/>
          <w:highlight w:val="none"/>
          <w:lang w:val="en-US" w:eastAsia="zh-CN"/>
        </w:rPr>
        <w:t>12</w:t>
      </w:r>
      <w:r>
        <w:rPr>
          <w:rFonts w:hint="eastAsia" w:asciiTheme="majorEastAsia" w:hAnsiTheme="majorEastAsia" w:eastAsiaTheme="majorEastAsia" w:cstheme="majorEastAsia"/>
          <w:spacing w:val="-9"/>
          <w:sz w:val="28"/>
          <w:szCs w:val="28"/>
          <w:highlight w:val="none"/>
        </w:rPr>
        <w:t>日</w:t>
      </w:r>
    </w:p>
    <w:p w14:paraId="52E392C4">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jc w:val="both"/>
        <w:textAlignment w:val="baseline"/>
        <w:rPr>
          <w:rFonts w:hint="eastAsia" w:asciiTheme="majorEastAsia" w:hAnsiTheme="majorEastAsia" w:eastAsiaTheme="majorEastAsia" w:cstheme="majorEastAsia"/>
          <w:spacing w:val="-9"/>
          <w:sz w:val="28"/>
          <w:szCs w:val="28"/>
          <w:highlight w:val="none"/>
        </w:rPr>
      </w:pPr>
    </w:p>
    <w:p w14:paraId="3EB4170C">
      <w:pPr>
        <w:pStyle w:val="2"/>
        <w:spacing w:before="95" w:line="222" w:lineRule="auto"/>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pacing w:val="14"/>
          <w:sz w:val="28"/>
          <w:szCs w:val="28"/>
          <w:highlight w:val="none"/>
        </w:rPr>
        <w:t xml:space="preserve">附件1 </w:t>
      </w:r>
      <w:r>
        <w:rPr>
          <w:rFonts w:hint="eastAsia" w:asciiTheme="majorEastAsia" w:hAnsiTheme="majorEastAsia" w:eastAsiaTheme="majorEastAsia" w:cstheme="majorEastAsia"/>
          <w:spacing w:val="14"/>
          <w:sz w:val="28"/>
          <w:szCs w:val="28"/>
          <w:highlight w:val="none"/>
          <w:lang w:eastAsia="zh-CN"/>
        </w:rPr>
        <w:t>：《</w:t>
      </w:r>
      <w:r>
        <w:rPr>
          <w:rFonts w:hint="eastAsia" w:asciiTheme="majorEastAsia" w:hAnsiTheme="majorEastAsia" w:eastAsiaTheme="majorEastAsia" w:cstheme="majorEastAsia"/>
          <w:spacing w:val="14"/>
          <w:sz w:val="28"/>
          <w:szCs w:val="28"/>
          <w:highlight w:val="none"/>
        </w:rPr>
        <w:t>报名意向书</w:t>
      </w:r>
      <w:r>
        <w:rPr>
          <w:rFonts w:hint="eastAsia" w:asciiTheme="majorEastAsia" w:hAnsiTheme="majorEastAsia" w:eastAsiaTheme="majorEastAsia" w:cstheme="majorEastAsia"/>
          <w:spacing w:val="14"/>
          <w:sz w:val="28"/>
          <w:szCs w:val="28"/>
          <w:highlight w:val="none"/>
          <w:lang w:eastAsia="zh-CN"/>
        </w:rPr>
        <w:t>》</w:t>
      </w:r>
      <w:bookmarkStart w:id="0" w:name="_GoBack"/>
      <w:bookmarkEnd w:id="0"/>
    </w:p>
    <w:p w14:paraId="46549FA9">
      <w:pPr>
        <w:pStyle w:val="2"/>
        <w:spacing w:before="211" w:line="557" w:lineRule="exact"/>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pacing w:val="13"/>
          <w:position w:val="19"/>
          <w:sz w:val="28"/>
          <w:szCs w:val="28"/>
          <w:highlight w:val="none"/>
        </w:rPr>
        <w:t xml:space="preserve">附件2 </w:t>
      </w:r>
      <w:r>
        <w:rPr>
          <w:rFonts w:hint="eastAsia" w:asciiTheme="majorEastAsia" w:hAnsiTheme="majorEastAsia" w:eastAsiaTheme="majorEastAsia" w:cstheme="majorEastAsia"/>
          <w:spacing w:val="13"/>
          <w:position w:val="19"/>
          <w:sz w:val="28"/>
          <w:szCs w:val="28"/>
          <w:highlight w:val="none"/>
          <w:lang w:eastAsia="zh-CN"/>
        </w:rPr>
        <w:t>：《</w:t>
      </w:r>
      <w:r>
        <w:rPr>
          <w:rFonts w:hint="eastAsia" w:asciiTheme="majorEastAsia" w:hAnsiTheme="majorEastAsia" w:eastAsiaTheme="majorEastAsia" w:cstheme="majorEastAsia"/>
          <w:spacing w:val="13"/>
          <w:position w:val="19"/>
          <w:sz w:val="28"/>
          <w:szCs w:val="28"/>
          <w:highlight w:val="none"/>
        </w:rPr>
        <w:t>意向投资人报名承诺函</w:t>
      </w:r>
      <w:r>
        <w:rPr>
          <w:rFonts w:hint="eastAsia" w:asciiTheme="majorEastAsia" w:hAnsiTheme="majorEastAsia" w:eastAsiaTheme="majorEastAsia" w:cstheme="majorEastAsia"/>
          <w:spacing w:val="13"/>
          <w:position w:val="19"/>
          <w:sz w:val="28"/>
          <w:szCs w:val="28"/>
          <w:highlight w:val="none"/>
          <w:lang w:eastAsia="zh-CN"/>
        </w:rPr>
        <w:t>》</w:t>
      </w:r>
    </w:p>
    <w:p w14:paraId="6D0EC8A8">
      <w:pPr>
        <w:pStyle w:val="2"/>
        <w:spacing w:before="2" w:line="220" w:lineRule="auto"/>
        <w:rPr>
          <w:rFonts w:hint="eastAsia" w:asciiTheme="majorEastAsia" w:hAnsiTheme="majorEastAsia" w:eastAsiaTheme="majorEastAsia" w:cstheme="majorEastAsia"/>
          <w:sz w:val="28"/>
          <w:szCs w:val="28"/>
          <w:highlight w:val="none"/>
          <w:lang w:eastAsia="zh-CN"/>
        </w:rPr>
        <w:sectPr>
          <w:pgSz w:w="11900" w:h="16840"/>
          <w:pgMar w:top="1440" w:right="1800" w:bottom="1213" w:left="1800" w:header="0" w:footer="0" w:gutter="0"/>
          <w:cols w:space="0" w:num="1"/>
          <w:rtlGutter w:val="0"/>
          <w:docGrid w:linePitch="0" w:charSpace="0"/>
        </w:sectPr>
      </w:pPr>
      <w:r>
        <w:rPr>
          <w:rFonts w:hint="eastAsia" w:asciiTheme="majorEastAsia" w:hAnsiTheme="majorEastAsia" w:eastAsiaTheme="majorEastAsia" w:cstheme="majorEastAsia"/>
          <w:spacing w:val="12"/>
          <w:sz w:val="28"/>
          <w:szCs w:val="28"/>
          <w:highlight w:val="none"/>
        </w:rPr>
        <w:t xml:space="preserve">附件3 </w:t>
      </w:r>
      <w:r>
        <w:rPr>
          <w:rFonts w:hint="eastAsia" w:asciiTheme="majorEastAsia" w:hAnsiTheme="majorEastAsia" w:eastAsiaTheme="majorEastAsia" w:cstheme="majorEastAsia"/>
          <w:spacing w:val="12"/>
          <w:sz w:val="28"/>
          <w:szCs w:val="28"/>
          <w:highlight w:val="none"/>
          <w:lang w:eastAsia="zh-CN"/>
        </w:rPr>
        <w:t>：《</w:t>
      </w:r>
      <w:r>
        <w:rPr>
          <w:rFonts w:hint="eastAsia" w:asciiTheme="majorEastAsia" w:hAnsiTheme="majorEastAsia" w:eastAsiaTheme="majorEastAsia" w:cstheme="majorEastAsia"/>
          <w:spacing w:val="12"/>
          <w:sz w:val="28"/>
          <w:szCs w:val="28"/>
          <w:highlight w:val="none"/>
        </w:rPr>
        <w:t>保密承诺函</w:t>
      </w:r>
      <w:r>
        <w:rPr>
          <w:rFonts w:hint="eastAsia" w:asciiTheme="majorEastAsia" w:hAnsiTheme="majorEastAsia" w:eastAsiaTheme="majorEastAsia" w:cstheme="majorEastAsia"/>
          <w:spacing w:val="12"/>
          <w:sz w:val="28"/>
          <w:szCs w:val="28"/>
          <w:highlight w:val="none"/>
          <w:lang w:eastAsia="zh-CN"/>
        </w:rPr>
        <w:t>》</w:t>
      </w:r>
    </w:p>
    <w:p w14:paraId="5B6642E2">
      <w:pPr>
        <w:pStyle w:val="2"/>
        <w:spacing w:before="157" w:line="222" w:lineRule="auto"/>
        <w:rPr>
          <w:rFonts w:hint="eastAsia" w:asciiTheme="majorEastAsia" w:hAnsiTheme="majorEastAsia" w:eastAsiaTheme="majorEastAsia" w:cstheme="majorEastAsia"/>
          <w:sz w:val="21"/>
          <w:highlight w:val="none"/>
        </w:rPr>
      </w:pPr>
      <w:r>
        <w:rPr>
          <w:rFonts w:hint="eastAsia" w:asciiTheme="majorEastAsia" w:hAnsiTheme="majorEastAsia" w:eastAsiaTheme="majorEastAsia" w:cstheme="majorEastAsia"/>
          <w:spacing w:val="12"/>
          <w:sz w:val="26"/>
          <w:szCs w:val="26"/>
          <w:highlight w:val="none"/>
        </w:rPr>
        <w:t>附件1</w:t>
      </w:r>
    </w:p>
    <w:p w14:paraId="0A79158F">
      <w:pPr>
        <w:spacing w:before="110" w:line="222" w:lineRule="auto"/>
        <w:ind w:left="3789"/>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b/>
          <w:bCs/>
          <w:spacing w:val="9"/>
          <w:sz w:val="44"/>
          <w:szCs w:val="44"/>
          <w:highlight w:val="none"/>
        </w:rPr>
        <w:t>报名意向书</w:t>
      </w:r>
    </w:p>
    <w:p w14:paraId="5129AF7B">
      <w:pPr>
        <w:spacing w:line="66" w:lineRule="exact"/>
        <w:rPr>
          <w:rFonts w:hint="eastAsia" w:asciiTheme="majorEastAsia" w:hAnsiTheme="majorEastAsia" w:eastAsiaTheme="majorEastAsia" w:cstheme="majorEastAsia"/>
          <w:highlight w:val="none"/>
        </w:rPr>
      </w:pPr>
    </w:p>
    <w:tbl>
      <w:tblPr>
        <w:tblStyle w:val="8"/>
        <w:tblW w:w="8729" w:type="dxa"/>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37"/>
        <w:gridCol w:w="2461"/>
        <w:gridCol w:w="2631"/>
      </w:tblGrid>
      <w:tr w14:paraId="3FDDC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3" w:hRule="atLeast"/>
        </w:trPr>
        <w:tc>
          <w:tcPr>
            <w:tcW w:w="3637" w:type="dxa"/>
            <w:vAlign w:val="top"/>
          </w:tcPr>
          <w:p w14:paraId="30FB466E">
            <w:pPr>
              <w:pStyle w:val="9"/>
              <w:spacing w:before="206" w:line="220" w:lineRule="auto"/>
              <w:ind w:left="57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意向投资人名称</w:t>
            </w:r>
          </w:p>
          <w:p w14:paraId="04402189">
            <w:pPr>
              <w:pStyle w:val="9"/>
              <w:spacing w:before="285" w:line="219" w:lineRule="auto"/>
              <w:ind w:left="50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5"/>
                <w:sz w:val="28"/>
                <w:szCs w:val="28"/>
                <w:highlight w:val="none"/>
              </w:rPr>
              <w:t>(联合体牵头人列首位)</w:t>
            </w:r>
          </w:p>
        </w:tc>
        <w:tc>
          <w:tcPr>
            <w:tcW w:w="5092" w:type="dxa"/>
            <w:gridSpan w:val="2"/>
            <w:vAlign w:val="top"/>
          </w:tcPr>
          <w:p w14:paraId="228ADE24">
            <w:pPr>
              <w:rPr>
                <w:rFonts w:hint="eastAsia" w:asciiTheme="majorEastAsia" w:hAnsiTheme="majorEastAsia" w:eastAsiaTheme="majorEastAsia" w:cstheme="majorEastAsia"/>
                <w:sz w:val="28"/>
                <w:szCs w:val="28"/>
                <w:highlight w:val="none"/>
              </w:rPr>
            </w:pPr>
          </w:p>
        </w:tc>
      </w:tr>
      <w:tr w14:paraId="288A1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3637" w:type="dxa"/>
            <w:tcBorders>
              <w:bottom w:val="nil"/>
            </w:tcBorders>
            <w:vAlign w:val="top"/>
          </w:tcPr>
          <w:p w14:paraId="38AE800E">
            <w:pPr>
              <w:pStyle w:val="9"/>
              <w:spacing w:before="171" w:line="219" w:lineRule="auto"/>
              <w:ind w:left="75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2"/>
                <w:sz w:val="28"/>
                <w:szCs w:val="28"/>
                <w:highlight w:val="none"/>
              </w:rPr>
              <w:t>意向投资人简介</w:t>
            </w:r>
          </w:p>
        </w:tc>
        <w:tc>
          <w:tcPr>
            <w:tcW w:w="5092" w:type="dxa"/>
            <w:gridSpan w:val="2"/>
            <w:tcBorders>
              <w:bottom w:val="nil"/>
            </w:tcBorders>
            <w:vAlign w:val="top"/>
          </w:tcPr>
          <w:p w14:paraId="154C384C">
            <w:pPr>
              <w:rPr>
                <w:rFonts w:hint="eastAsia" w:asciiTheme="majorEastAsia" w:hAnsiTheme="majorEastAsia" w:eastAsiaTheme="majorEastAsia" w:cstheme="majorEastAsia"/>
                <w:sz w:val="28"/>
                <w:szCs w:val="28"/>
                <w:highlight w:val="none"/>
              </w:rPr>
            </w:pPr>
          </w:p>
        </w:tc>
      </w:tr>
      <w:tr w14:paraId="0704F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3637" w:type="dxa"/>
            <w:tcBorders>
              <w:top w:val="nil"/>
              <w:bottom w:val="nil"/>
            </w:tcBorders>
            <w:vAlign w:val="top"/>
          </w:tcPr>
          <w:p w14:paraId="07B78BD9">
            <w:pPr>
              <w:pStyle w:val="9"/>
              <w:spacing w:before="274" w:line="219" w:lineRule="auto"/>
              <w:ind w:left="14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(包括基本情况、主营业务</w:t>
            </w:r>
          </w:p>
        </w:tc>
        <w:tc>
          <w:tcPr>
            <w:tcW w:w="5092" w:type="dxa"/>
            <w:gridSpan w:val="2"/>
            <w:tcBorders>
              <w:top w:val="nil"/>
              <w:bottom w:val="nil"/>
            </w:tcBorders>
            <w:vAlign w:val="top"/>
          </w:tcPr>
          <w:p w14:paraId="1B5466CB">
            <w:pPr>
              <w:rPr>
                <w:rFonts w:hint="eastAsia" w:asciiTheme="majorEastAsia" w:hAnsiTheme="majorEastAsia" w:eastAsiaTheme="majorEastAsia" w:cstheme="majorEastAsia"/>
                <w:sz w:val="28"/>
                <w:szCs w:val="28"/>
                <w:highlight w:val="none"/>
              </w:rPr>
            </w:pPr>
          </w:p>
        </w:tc>
      </w:tr>
      <w:tr w14:paraId="2B661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3637" w:type="dxa"/>
            <w:tcBorders>
              <w:top w:val="nil"/>
            </w:tcBorders>
            <w:vAlign w:val="top"/>
          </w:tcPr>
          <w:p w14:paraId="3C799FDE">
            <w:pPr>
              <w:pStyle w:val="9"/>
              <w:spacing w:before="186" w:line="219" w:lineRule="auto"/>
              <w:jc w:val="right"/>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等，联合体应分别进行说明)</w:t>
            </w:r>
          </w:p>
        </w:tc>
        <w:tc>
          <w:tcPr>
            <w:tcW w:w="5092" w:type="dxa"/>
            <w:gridSpan w:val="2"/>
            <w:tcBorders>
              <w:top w:val="nil"/>
            </w:tcBorders>
            <w:vAlign w:val="top"/>
          </w:tcPr>
          <w:p w14:paraId="1E839332">
            <w:pPr>
              <w:rPr>
                <w:rFonts w:hint="eastAsia" w:asciiTheme="majorEastAsia" w:hAnsiTheme="majorEastAsia" w:eastAsiaTheme="majorEastAsia" w:cstheme="majorEastAsia"/>
                <w:sz w:val="28"/>
                <w:szCs w:val="28"/>
                <w:highlight w:val="none"/>
              </w:rPr>
            </w:pPr>
          </w:p>
        </w:tc>
      </w:tr>
      <w:tr w14:paraId="6DF39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2" w:hRule="atLeast"/>
        </w:trPr>
        <w:tc>
          <w:tcPr>
            <w:tcW w:w="3637" w:type="dxa"/>
            <w:tcBorders>
              <w:bottom w:val="nil"/>
            </w:tcBorders>
            <w:vAlign w:val="top"/>
          </w:tcPr>
          <w:p w14:paraId="39EFA430">
            <w:pPr>
              <w:pStyle w:val="9"/>
              <w:spacing w:before="205" w:line="219" w:lineRule="auto"/>
              <w:ind w:left="885"/>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投资意向概述</w:t>
            </w:r>
          </w:p>
        </w:tc>
        <w:tc>
          <w:tcPr>
            <w:tcW w:w="5092" w:type="dxa"/>
            <w:gridSpan w:val="2"/>
            <w:tcBorders>
              <w:bottom w:val="nil"/>
            </w:tcBorders>
            <w:vAlign w:val="top"/>
          </w:tcPr>
          <w:p w14:paraId="4701D662">
            <w:pPr>
              <w:rPr>
                <w:rFonts w:hint="eastAsia" w:asciiTheme="majorEastAsia" w:hAnsiTheme="majorEastAsia" w:eastAsiaTheme="majorEastAsia" w:cstheme="majorEastAsia"/>
                <w:sz w:val="28"/>
                <w:szCs w:val="28"/>
                <w:highlight w:val="none"/>
              </w:rPr>
            </w:pPr>
          </w:p>
        </w:tc>
      </w:tr>
      <w:tr w14:paraId="6F9EB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3637" w:type="dxa"/>
            <w:tcBorders>
              <w:top w:val="nil"/>
              <w:bottom w:val="nil"/>
            </w:tcBorders>
            <w:vAlign w:val="top"/>
          </w:tcPr>
          <w:p w14:paraId="4A67B47D">
            <w:pPr>
              <w:pStyle w:val="9"/>
              <w:spacing w:before="291" w:line="219" w:lineRule="auto"/>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(包括拟投资方式、投资款项</w:t>
            </w:r>
          </w:p>
        </w:tc>
        <w:tc>
          <w:tcPr>
            <w:tcW w:w="5092" w:type="dxa"/>
            <w:gridSpan w:val="2"/>
            <w:tcBorders>
              <w:top w:val="nil"/>
              <w:bottom w:val="nil"/>
            </w:tcBorders>
            <w:vAlign w:val="top"/>
          </w:tcPr>
          <w:p w14:paraId="638D8056">
            <w:pPr>
              <w:rPr>
                <w:rFonts w:hint="eastAsia" w:asciiTheme="majorEastAsia" w:hAnsiTheme="majorEastAsia" w:eastAsiaTheme="majorEastAsia" w:cstheme="majorEastAsia"/>
                <w:sz w:val="28"/>
                <w:szCs w:val="28"/>
                <w:highlight w:val="none"/>
              </w:rPr>
            </w:pPr>
          </w:p>
        </w:tc>
      </w:tr>
      <w:tr w14:paraId="7021C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trPr>
        <w:tc>
          <w:tcPr>
            <w:tcW w:w="3637" w:type="dxa"/>
            <w:tcBorders>
              <w:top w:val="nil"/>
            </w:tcBorders>
            <w:vAlign w:val="top"/>
          </w:tcPr>
          <w:p w14:paraId="3FC8633E">
            <w:pPr>
              <w:pStyle w:val="9"/>
              <w:spacing w:before="159" w:line="219" w:lineRule="auto"/>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3"/>
                <w:sz w:val="28"/>
                <w:szCs w:val="28"/>
                <w:highlight w:val="none"/>
              </w:rPr>
              <w:t>金额等)</w:t>
            </w:r>
          </w:p>
        </w:tc>
        <w:tc>
          <w:tcPr>
            <w:tcW w:w="5092" w:type="dxa"/>
            <w:gridSpan w:val="2"/>
            <w:tcBorders>
              <w:top w:val="nil"/>
            </w:tcBorders>
            <w:vAlign w:val="top"/>
          </w:tcPr>
          <w:p w14:paraId="3DD87A07">
            <w:pPr>
              <w:rPr>
                <w:rFonts w:hint="eastAsia" w:asciiTheme="majorEastAsia" w:hAnsiTheme="majorEastAsia" w:eastAsiaTheme="majorEastAsia" w:cstheme="majorEastAsia"/>
                <w:sz w:val="28"/>
                <w:szCs w:val="28"/>
                <w:highlight w:val="none"/>
              </w:rPr>
            </w:pPr>
          </w:p>
        </w:tc>
      </w:tr>
      <w:tr w14:paraId="4AF7C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3637" w:type="dxa"/>
            <w:vMerge w:val="restart"/>
            <w:tcBorders>
              <w:bottom w:val="nil"/>
            </w:tcBorders>
            <w:vAlign w:val="top"/>
          </w:tcPr>
          <w:p w14:paraId="3DFF4251">
            <w:pPr>
              <w:pStyle w:val="9"/>
              <w:spacing w:before="179" w:line="220" w:lineRule="auto"/>
              <w:ind w:left="48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意向投资人通讯方式</w:t>
            </w:r>
          </w:p>
          <w:p w14:paraId="631D9A4A">
            <w:pPr>
              <w:pStyle w:val="9"/>
              <w:spacing w:before="317" w:line="219" w:lineRule="auto"/>
              <w:jc w:val="right"/>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(联系人应为有权代表意向</w:t>
            </w:r>
          </w:p>
          <w:p w14:paraId="50F019A1">
            <w:pPr>
              <w:spacing w:line="250" w:lineRule="auto"/>
              <w:rPr>
                <w:rFonts w:hint="eastAsia" w:asciiTheme="majorEastAsia" w:hAnsiTheme="majorEastAsia" w:eastAsiaTheme="majorEastAsia" w:cstheme="majorEastAsia"/>
                <w:sz w:val="28"/>
                <w:szCs w:val="28"/>
                <w:highlight w:val="none"/>
              </w:rPr>
            </w:pPr>
          </w:p>
          <w:p w14:paraId="14CEA6DB">
            <w:pPr>
              <w:pStyle w:val="9"/>
              <w:spacing w:before="88" w:line="219" w:lineRule="auto"/>
              <w:ind w:left="54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7"/>
                <w:sz w:val="28"/>
                <w:szCs w:val="28"/>
                <w:highlight w:val="none"/>
              </w:rPr>
              <w:t>投资人的授权人士)</w:t>
            </w:r>
          </w:p>
        </w:tc>
        <w:tc>
          <w:tcPr>
            <w:tcW w:w="2461" w:type="dxa"/>
            <w:vAlign w:val="top"/>
          </w:tcPr>
          <w:p w14:paraId="0A63D70A">
            <w:pPr>
              <w:pStyle w:val="9"/>
              <w:spacing w:before="231" w:line="221"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联系人：</w:t>
            </w:r>
          </w:p>
        </w:tc>
        <w:tc>
          <w:tcPr>
            <w:tcW w:w="2631" w:type="dxa"/>
            <w:vAlign w:val="top"/>
          </w:tcPr>
          <w:p w14:paraId="2E3BBA9C">
            <w:pPr>
              <w:pStyle w:val="9"/>
              <w:spacing w:before="231" w:line="221" w:lineRule="auto"/>
              <w:ind w:left="27"/>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联系电话：</w:t>
            </w:r>
          </w:p>
        </w:tc>
      </w:tr>
      <w:tr w14:paraId="312D3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3637" w:type="dxa"/>
            <w:vMerge w:val="continue"/>
            <w:tcBorders>
              <w:top w:val="nil"/>
              <w:bottom w:val="nil"/>
            </w:tcBorders>
            <w:vAlign w:val="top"/>
          </w:tcPr>
          <w:p w14:paraId="34C70ABE">
            <w:pPr>
              <w:rPr>
                <w:rFonts w:hint="eastAsia" w:asciiTheme="majorEastAsia" w:hAnsiTheme="majorEastAsia" w:eastAsiaTheme="majorEastAsia" w:cstheme="majorEastAsia"/>
                <w:sz w:val="28"/>
                <w:szCs w:val="28"/>
                <w:highlight w:val="none"/>
              </w:rPr>
            </w:pPr>
          </w:p>
        </w:tc>
        <w:tc>
          <w:tcPr>
            <w:tcW w:w="5092" w:type="dxa"/>
            <w:gridSpan w:val="2"/>
            <w:vAlign w:val="top"/>
          </w:tcPr>
          <w:p w14:paraId="5EEF4AFD">
            <w:pPr>
              <w:pStyle w:val="9"/>
              <w:spacing w:before="190" w:line="220"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电子邮箱：</w:t>
            </w:r>
          </w:p>
        </w:tc>
      </w:tr>
      <w:tr w14:paraId="10576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637" w:type="dxa"/>
            <w:vMerge w:val="continue"/>
            <w:tcBorders>
              <w:top w:val="nil"/>
            </w:tcBorders>
            <w:vAlign w:val="top"/>
          </w:tcPr>
          <w:p w14:paraId="40420D4B">
            <w:pPr>
              <w:rPr>
                <w:rFonts w:hint="eastAsia" w:asciiTheme="majorEastAsia" w:hAnsiTheme="majorEastAsia" w:eastAsiaTheme="majorEastAsia" w:cstheme="majorEastAsia"/>
                <w:sz w:val="28"/>
                <w:szCs w:val="28"/>
                <w:highlight w:val="none"/>
              </w:rPr>
            </w:pPr>
          </w:p>
        </w:tc>
        <w:tc>
          <w:tcPr>
            <w:tcW w:w="5092" w:type="dxa"/>
            <w:gridSpan w:val="2"/>
            <w:vAlign w:val="top"/>
          </w:tcPr>
          <w:p w14:paraId="0CE6E3C6">
            <w:pPr>
              <w:pStyle w:val="9"/>
              <w:spacing w:before="203" w:line="229"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6"/>
                <w:sz w:val="28"/>
                <w:szCs w:val="28"/>
                <w:highlight w:val="none"/>
              </w:rPr>
              <w:t>地址</w:t>
            </w:r>
          </w:p>
        </w:tc>
      </w:tr>
    </w:tbl>
    <w:p w14:paraId="23DFDC97">
      <w:pPr>
        <w:pStyle w:val="2"/>
        <w:spacing w:before="201" w:line="441" w:lineRule="auto"/>
        <w:ind w:left="545" w:right="721" w:firstLine="570"/>
        <w:jc w:val="both"/>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7"/>
          <w:sz w:val="28"/>
          <w:szCs w:val="28"/>
          <w:highlight w:val="none"/>
        </w:rPr>
        <w:t>本单位/本人郑重承诺，本单位/本人已充分了解并认可本次意</w:t>
      </w:r>
      <w:r>
        <w:rPr>
          <w:rFonts w:hint="eastAsia" w:asciiTheme="majorEastAsia" w:hAnsiTheme="majorEastAsia" w:eastAsiaTheme="majorEastAsia" w:cstheme="majorEastAsia"/>
          <w:spacing w:val="18"/>
          <w:sz w:val="28"/>
          <w:szCs w:val="28"/>
          <w:highlight w:val="none"/>
        </w:rPr>
        <w:t>向投资人招募的全部要求，已充分评估、知悉并自愿承担参与本</w:t>
      </w:r>
      <w:r>
        <w:rPr>
          <w:rFonts w:hint="eastAsia" w:asciiTheme="majorEastAsia" w:hAnsiTheme="majorEastAsia" w:eastAsiaTheme="majorEastAsia" w:cstheme="majorEastAsia"/>
          <w:spacing w:val="13"/>
          <w:sz w:val="28"/>
          <w:szCs w:val="28"/>
          <w:highlight w:val="none"/>
        </w:rPr>
        <w:t>次意向投资人招募的全部成本、风险、负担。</w:t>
      </w:r>
    </w:p>
    <w:p w14:paraId="02DB8233">
      <w:pPr>
        <w:spacing w:line="266" w:lineRule="auto"/>
        <w:rPr>
          <w:rFonts w:hint="eastAsia" w:asciiTheme="majorEastAsia" w:hAnsiTheme="majorEastAsia" w:eastAsiaTheme="majorEastAsia" w:cstheme="majorEastAsia"/>
          <w:sz w:val="28"/>
          <w:szCs w:val="28"/>
          <w:highlight w:val="none"/>
        </w:rPr>
      </w:pPr>
    </w:p>
    <w:p w14:paraId="5E9448E6">
      <w:pPr>
        <w:pStyle w:val="2"/>
        <w:spacing w:before="85" w:line="680" w:lineRule="exact"/>
        <w:ind w:firstLine="3168" w:firstLineChars="9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36"/>
          <w:position w:val="32"/>
          <w:sz w:val="28"/>
          <w:szCs w:val="28"/>
          <w:highlight w:val="none"/>
        </w:rPr>
        <w:t>意向投资人(签章):</w:t>
      </w:r>
    </w:p>
    <w:p w14:paraId="3E96B10D">
      <w:pPr>
        <w:pStyle w:val="2"/>
        <w:spacing w:before="1" w:line="222" w:lineRule="auto"/>
        <w:ind w:firstLine="3204" w:firstLineChars="9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38"/>
          <w:sz w:val="28"/>
          <w:szCs w:val="28"/>
          <w:highlight w:val="none"/>
        </w:rPr>
        <w:t>授权代表(签字):</w:t>
      </w:r>
    </w:p>
    <w:p w14:paraId="06FD9C7F">
      <w:pPr>
        <w:pStyle w:val="2"/>
        <w:spacing w:before="317" w:line="222" w:lineRule="auto"/>
        <w:ind w:firstLine="3312" w:firstLineChars="1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2"/>
          <w:sz w:val="28"/>
          <w:szCs w:val="28"/>
          <w:highlight w:val="none"/>
          <w:lang w:val="en-US" w:eastAsia="zh-CN"/>
        </w:rPr>
        <w:t>2025</w:t>
      </w:r>
      <w:r>
        <w:rPr>
          <w:rFonts w:hint="eastAsia" w:asciiTheme="majorEastAsia" w:hAnsiTheme="majorEastAsia" w:eastAsiaTheme="majorEastAsia" w:cstheme="majorEastAsia"/>
          <w:spacing w:val="-2"/>
          <w:sz w:val="28"/>
          <w:szCs w:val="28"/>
          <w:highlight w:val="none"/>
        </w:rPr>
        <w:t>年</w:t>
      </w:r>
      <w:r>
        <w:rPr>
          <w:rFonts w:hint="eastAsia" w:asciiTheme="majorEastAsia" w:hAnsiTheme="majorEastAsia" w:eastAsiaTheme="majorEastAsia" w:cstheme="majorEastAsia"/>
          <w:spacing w:val="24"/>
          <w:sz w:val="28"/>
          <w:szCs w:val="28"/>
          <w:highlight w:val="none"/>
        </w:rPr>
        <w:t xml:space="preserve">   </w:t>
      </w:r>
      <w:r>
        <w:rPr>
          <w:rFonts w:hint="eastAsia" w:asciiTheme="majorEastAsia" w:hAnsiTheme="majorEastAsia" w:eastAsiaTheme="majorEastAsia" w:cstheme="majorEastAsia"/>
          <w:spacing w:val="-2"/>
          <w:sz w:val="28"/>
          <w:szCs w:val="28"/>
          <w:highlight w:val="none"/>
        </w:rPr>
        <w:t>月     日</w:t>
      </w:r>
    </w:p>
    <w:p w14:paraId="4AF967AC">
      <w:pPr>
        <w:spacing w:line="222" w:lineRule="auto"/>
        <w:rPr>
          <w:rFonts w:hint="eastAsia" w:asciiTheme="majorEastAsia" w:hAnsiTheme="majorEastAsia" w:eastAsiaTheme="majorEastAsia" w:cstheme="majorEastAsia"/>
          <w:sz w:val="26"/>
          <w:szCs w:val="26"/>
          <w:highlight w:val="none"/>
        </w:rPr>
        <w:sectPr>
          <w:pgSz w:w="11900" w:h="16840"/>
          <w:pgMar w:top="1431" w:right="1045" w:bottom="0" w:left="1785" w:header="0" w:footer="0" w:gutter="0"/>
          <w:cols w:space="720" w:num="1"/>
        </w:sectPr>
      </w:pPr>
    </w:p>
    <w:p w14:paraId="5D890FB0">
      <w:pPr>
        <w:pStyle w:val="2"/>
        <w:spacing w:before="124" w:line="222" w:lineRule="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pacing w:val="-12"/>
          <w:sz w:val="28"/>
          <w:szCs w:val="28"/>
          <w:highlight w:val="none"/>
        </w:rPr>
        <w:t>附件2</w:t>
      </w:r>
    </w:p>
    <w:p w14:paraId="43D99A37">
      <w:pPr>
        <w:spacing w:before="113" w:line="222" w:lineRule="auto"/>
        <w:jc w:val="center"/>
        <w:rPr>
          <w:rFonts w:hint="eastAsia" w:asciiTheme="majorEastAsia" w:hAnsiTheme="majorEastAsia" w:eastAsiaTheme="majorEastAsia" w:cstheme="majorEastAsia"/>
          <w:sz w:val="31"/>
          <w:szCs w:val="31"/>
          <w:highlight w:val="none"/>
        </w:rPr>
      </w:pPr>
      <w:r>
        <w:rPr>
          <w:rFonts w:hint="eastAsia" w:asciiTheme="majorEastAsia" w:hAnsiTheme="majorEastAsia" w:eastAsiaTheme="majorEastAsia" w:cstheme="majorEastAsia"/>
          <w:b/>
          <w:bCs/>
          <w:spacing w:val="7"/>
          <w:sz w:val="44"/>
          <w:szCs w:val="44"/>
          <w:highlight w:val="none"/>
        </w:rPr>
        <w:t>意向投资人报名承诺函</w:t>
      </w:r>
    </w:p>
    <w:p w14:paraId="58888618">
      <w:pPr>
        <w:spacing w:line="353" w:lineRule="auto"/>
        <w:rPr>
          <w:rFonts w:hint="eastAsia" w:asciiTheme="majorEastAsia" w:hAnsiTheme="majorEastAsia" w:eastAsiaTheme="majorEastAsia" w:cstheme="majorEastAsia"/>
          <w:sz w:val="21"/>
          <w:highlight w:val="none"/>
        </w:rPr>
      </w:pPr>
    </w:p>
    <w:p w14:paraId="33861BB5">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致：安徽英特罗斯服饰有限公司管理人</w:t>
      </w:r>
    </w:p>
    <w:p w14:paraId="708B48C7">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我方拟参与贵方开展安徽英特罗斯服饰有限公司重整案招募意向投资人的项目(下称“本项目”),我方已仔细阅读《安徽英特罗斯服饰有限公司破产重整案招募投资人公告》,清楚并理解其内容，愿意受该公告约束。在此，我方承诺：</w:t>
      </w:r>
    </w:p>
    <w:p w14:paraId="47A05AE0">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一、我方符合贵方发布的投资人招募公告规定的意向投资人应具备的下列各项招募条件：</w:t>
      </w:r>
    </w:p>
    <w:p w14:paraId="2501A41E">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(一)我方是依照中华人民共和国法律设立并有效存续的企业法人或非法人组织或具备完全民事行为能力的自然人，具有较高的社会责任感和良好的商业信誉。</w:t>
      </w:r>
    </w:p>
    <w:p w14:paraId="0029E097">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(二)我方近三年不存在重大违法行为或涉嫌有重大违法行为,未被列入失信被执行人名单。</w:t>
      </w:r>
    </w:p>
    <w:p w14:paraId="71544643">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(三)我方具备确定性的投资资金来源，能在合理时间支付保证金、投资款所需资金，且保证资金来源合法合规。</w:t>
      </w:r>
    </w:p>
    <w:p w14:paraId="2C5C2AC0">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(四)我方如组建联合体并作为牵头投资人参与本项目的，我方保证其他联合体成员均符合上述全部招募条件。</w:t>
      </w:r>
    </w:p>
    <w:p w14:paraId="28A67334">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二、我方提交的报名材料均真实、合法、有效且不存在重大隐瞒或遗漏。我方自愿参与安徽英特罗斯服饰有限公司破产重整案投资人的公开招募和遴选，已经获得内部有关机关/机构的决策和批准。</w:t>
      </w:r>
    </w:p>
    <w:p w14:paraId="3B491B02">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三、若我方最终被确定为安徽英特罗斯服饰有限公司破产重整案的投资人，我方将全面充分依照重整投资协议的约定履行相应义务。</w:t>
      </w:r>
    </w:p>
    <w:p w14:paraId="301CD74A">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Theme="majorEastAsia" w:hAnsiTheme="majorEastAsia" w:eastAsiaTheme="majorEastAsia" w:cstheme="majorEastAsia"/>
          <w:sz w:val="28"/>
          <w:szCs w:val="28"/>
          <w:highlight w:val="none"/>
          <w:lang w:val="en-US" w:eastAsia="zh-CN"/>
        </w:rPr>
      </w:pPr>
    </w:p>
    <w:p w14:paraId="66595EB8">
      <w:pPr>
        <w:keepNext w:val="0"/>
        <w:keepLines w:val="0"/>
        <w:pageBreakBefore w:val="0"/>
        <w:widowControl/>
        <w:kinsoku w:val="0"/>
        <w:wordWrap/>
        <w:overflowPunct/>
        <w:topLinePunct w:val="0"/>
        <w:autoSpaceDE w:val="0"/>
        <w:autoSpaceDN w:val="0"/>
        <w:bidi w:val="0"/>
        <w:adjustRightInd w:val="0"/>
        <w:snapToGrid w:val="0"/>
        <w:spacing w:line="520" w:lineRule="exact"/>
        <w:ind w:firstLine="2240" w:firstLineChars="8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承诺人(盖章/签字、指印):</w:t>
      </w:r>
    </w:p>
    <w:p w14:paraId="2F1DA334">
      <w:pPr>
        <w:keepNext w:val="0"/>
        <w:keepLines w:val="0"/>
        <w:pageBreakBefore w:val="0"/>
        <w:widowControl/>
        <w:kinsoku w:val="0"/>
        <w:wordWrap/>
        <w:overflowPunct/>
        <w:topLinePunct w:val="0"/>
        <w:autoSpaceDE w:val="0"/>
        <w:autoSpaceDN w:val="0"/>
        <w:bidi w:val="0"/>
        <w:adjustRightInd w:val="0"/>
        <w:snapToGrid w:val="0"/>
        <w:spacing w:line="520" w:lineRule="exact"/>
        <w:ind w:firstLine="2240" w:firstLineChars="8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2025年  月   日</w:t>
      </w:r>
    </w:p>
    <w:p w14:paraId="7C3A2C7F">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sectPr>
          <w:pgSz w:w="11900" w:h="16840"/>
          <w:pgMar w:top="1431" w:right="1527" w:bottom="0" w:left="1785" w:header="0" w:footer="0" w:gutter="0"/>
          <w:cols w:space="720" w:num="1"/>
        </w:sectPr>
      </w:pPr>
    </w:p>
    <w:p w14:paraId="1AEB9C7A">
      <w:pPr>
        <w:pStyle w:val="2"/>
        <w:spacing w:before="240" w:line="222" w:lineRule="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pacing w:val="-6"/>
          <w:sz w:val="28"/>
          <w:szCs w:val="28"/>
          <w:highlight w:val="none"/>
        </w:rPr>
        <w:t>附件3</w:t>
      </w:r>
    </w:p>
    <w:p w14:paraId="7F7699C9">
      <w:pPr>
        <w:spacing w:before="83" w:line="221" w:lineRule="auto"/>
        <w:ind w:left="3515"/>
        <w:rPr>
          <w:rFonts w:hint="eastAsia" w:asciiTheme="majorEastAsia" w:hAnsiTheme="majorEastAsia" w:eastAsiaTheme="majorEastAsia" w:cstheme="majorEastAsia"/>
          <w:sz w:val="35"/>
          <w:szCs w:val="35"/>
          <w:highlight w:val="none"/>
        </w:rPr>
      </w:pPr>
      <w:r>
        <w:rPr>
          <w:rFonts w:hint="eastAsia" w:asciiTheme="majorEastAsia" w:hAnsiTheme="majorEastAsia" w:eastAsiaTheme="majorEastAsia" w:cstheme="majorEastAsia"/>
          <w:b/>
          <w:bCs/>
          <w:spacing w:val="-1"/>
          <w:sz w:val="44"/>
          <w:szCs w:val="44"/>
          <w:highlight w:val="none"/>
        </w:rPr>
        <w:t>保密承诺函</w:t>
      </w:r>
    </w:p>
    <w:p w14:paraId="09A89EBA">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Theme="majorEastAsia" w:hAnsiTheme="majorEastAsia" w:eastAsiaTheme="majorEastAsia" w:cstheme="majorEastAsia"/>
          <w:sz w:val="21"/>
          <w:highlight w:val="none"/>
        </w:rPr>
      </w:pPr>
    </w:p>
    <w:p w14:paraId="426DBDF0">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textAlignment w:val="baseline"/>
        <w:rPr>
          <w:rFonts w:hint="eastAsia" w:asciiTheme="minorEastAsia" w:hAnsiTheme="minorEastAsia" w:eastAsiaTheme="minorEastAsia" w:cstheme="minorEastAsia"/>
          <w:snapToGrid w:val="0"/>
          <w:color w:val="000000"/>
          <w:kern w:val="0"/>
          <w:sz w:val="28"/>
          <w:szCs w:val="28"/>
          <w:highlight w:val="none"/>
          <w:lang w:val="en-US" w:eastAsia="zh-CN" w:bidi="ar-SA"/>
        </w:rPr>
      </w:pPr>
      <w:r>
        <w:rPr>
          <w:rFonts w:hint="eastAsia" w:asciiTheme="minorEastAsia" w:hAnsiTheme="minorEastAsia" w:eastAsiaTheme="minorEastAsia" w:cstheme="minorEastAsia"/>
          <w:snapToGrid w:val="0"/>
          <w:color w:val="000000"/>
          <w:kern w:val="0"/>
          <w:sz w:val="28"/>
          <w:szCs w:val="28"/>
          <w:highlight w:val="none"/>
          <w:lang w:val="en-US" w:eastAsia="zh-CN" w:bidi="ar-SA"/>
        </w:rPr>
        <w:t>致：安徽英特罗斯服饰有限公司管理人</w:t>
      </w:r>
    </w:p>
    <w:p w14:paraId="372D8D78">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ind w:left="25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我方拟参与贵方开展的安徽英特罗斯服饰有限公司破产重整案意向投资人招募的项目(下称“本项目”)。鉴于我方有可能在参与本项目的过程中接触或使用安徽英特罗斯服饰有限公司的保密信息，根据《中华人民共和国民法典》等相关法律法规的规定，我方就保密义务相关事宜做出如下承诺：</w:t>
      </w:r>
    </w:p>
    <w:p w14:paraId="00C95DC7">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ind w:left="25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一 、我方承诺对参与本项目过程中取得(接触、获取/或知悉) 的安徽英特罗斯服饰有限公司任何未公开的资料、信息、记录、件，与本项目有关的意见、建议、分析、研究报告，以及围绕本项目进行的谈判磋商、文件签署等任何项目进展信息(下称“保密信息”)严格履行保密义务，未经贵方事先许可不向任何第三方及任何媒体透露，并保证该等保密信息仅用于本项目之有关工作。</w:t>
      </w:r>
    </w:p>
    <w:p w14:paraId="0C9DB756">
      <w:pPr>
        <w:pStyle w:val="2"/>
        <w:keepNext w:val="0"/>
        <w:keepLines w:val="0"/>
        <w:pageBreakBefore w:val="0"/>
        <w:widowControl/>
        <w:kinsoku w:val="0"/>
        <w:wordWrap/>
        <w:overflowPunct/>
        <w:topLinePunct w:val="0"/>
        <w:autoSpaceDE w:val="0"/>
        <w:autoSpaceDN w:val="0"/>
        <w:bidi w:val="0"/>
        <w:adjustRightInd w:val="0"/>
        <w:snapToGrid w:val="0"/>
        <w:spacing w:before="168" w:line="460" w:lineRule="exact"/>
        <w:ind w:left="250" w:right="20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二 、我方应当告知参与人员和我方聘请的相关人员遵守本保密承诺函的承诺，并应采取必要措施，确保参与人员和外聘人员履行保密义务。若参与人员或外聘人员违反本保密承诺函的承诺 ,泄露了管理人及安徽英特罗斯服饰有限公司所提供的相关信息和资料，依据本承诺函约定，我方应与泄密员工或外聘人员承担连带责任。</w:t>
      </w:r>
    </w:p>
    <w:p w14:paraId="67B0D128">
      <w:pPr>
        <w:pStyle w:val="2"/>
        <w:keepNext w:val="0"/>
        <w:keepLines w:val="0"/>
        <w:pageBreakBefore w:val="0"/>
        <w:widowControl/>
        <w:kinsoku w:val="0"/>
        <w:wordWrap/>
        <w:overflowPunct/>
        <w:topLinePunct w:val="0"/>
        <w:autoSpaceDE w:val="0"/>
        <w:autoSpaceDN w:val="0"/>
        <w:bidi w:val="0"/>
        <w:adjustRightInd w:val="0"/>
        <w:snapToGrid w:val="0"/>
        <w:spacing w:before="166" w:line="460" w:lineRule="exact"/>
        <w:ind w:left="83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若违反上述承诺，我方将自愿承担相关法律责任和由此带来</w:t>
      </w:r>
    </w:p>
    <w:p w14:paraId="24105DB3">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left="25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的一切不利后果，并赔偿各方因此遭受的全部损失。</w:t>
      </w:r>
    </w:p>
    <w:p w14:paraId="505D0B89">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left="83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本保密承诺函自我方签署之日起生效。</w:t>
      </w:r>
    </w:p>
    <w:p w14:paraId="64797220">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p>
    <w:p w14:paraId="097630DF">
      <w:pPr>
        <w:pStyle w:val="2"/>
        <w:keepNext w:val="0"/>
        <w:keepLines w:val="0"/>
        <w:pageBreakBefore w:val="0"/>
        <w:widowControl/>
        <w:kinsoku w:val="0"/>
        <w:wordWrap/>
        <w:overflowPunct/>
        <w:topLinePunct w:val="0"/>
        <w:autoSpaceDE w:val="0"/>
        <w:autoSpaceDN w:val="0"/>
        <w:bidi w:val="0"/>
        <w:adjustRightInd w:val="0"/>
        <w:snapToGrid w:val="0"/>
        <w:spacing w:before="92" w:line="460" w:lineRule="exact"/>
        <w:ind w:firstLine="2240" w:firstLineChars="8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承诺人(盖章/签字、指印)：</w:t>
      </w:r>
    </w:p>
    <w:p w14:paraId="2B9B1AEB">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firstLine="2240" w:firstLineChars="8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2025年  月   日</w:t>
      </w:r>
    </w:p>
    <w:sectPr>
      <w:pgSz w:w="11907" w:h="16839"/>
      <w:pgMar w:top="1431" w:right="1785" w:bottom="1425" w:left="1785" w:header="0" w:footer="117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A0574"/>
    <w:multiLevelType w:val="singleLevel"/>
    <w:tmpl w:val="C52A057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Tg4ZjViMmE4OTZiYjU0OTY1NzY5MGNjNmYyZmI3MTAifQ=="/>
  </w:docVars>
  <w:rsids>
    <w:rsidRoot w:val="00000000"/>
    <w:rsid w:val="03E12CD0"/>
    <w:rsid w:val="0D1F46AC"/>
    <w:rsid w:val="10CA6F4F"/>
    <w:rsid w:val="122C73C7"/>
    <w:rsid w:val="14364764"/>
    <w:rsid w:val="18E71743"/>
    <w:rsid w:val="1F90634B"/>
    <w:rsid w:val="220B1CB9"/>
    <w:rsid w:val="2268710B"/>
    <w:rsid w:val="23303F07"/>
    <w:rsid w:val="26587F23"/>
    <w:rsid w:val="2E324DB1"/>
    <w:rsid w:val="3B170AB1"/>
    <w:rsid w:val="3F0A2092"/>
    <w:rsid w:val="46485062"/>
    <w:rsid w:val="47A179D9"/>
    <w:rsid w:val="47C22C96"/>
    <w:rsid w:val="4A7F4E6E"/>
    <w:rsid w:val="50402801"/>
    <w:rsid w:val="52A66D10"/>
    <w:rsid w:val="54435102"/>
    <w:rsid w:val="5D505D1A"/>
    <w:rsid w:val="61C434C8"/>
    <w:rsid w:val="62844C31"/>
    <w:rsid w:val="6A997170"/>
    <w:rsid w:val="6C711CE5"/>
    <w:rsid w:val="6D4F63E5"/>
    <w:rsid w:val="6D5C2559"/>
    <w:rsid w:val="71D92806"/>
    <w:rsid w:val="72035AD5"/>
    <w:rsid w:val="741C7D0C"/>
    <w:rsid w:val="7536625B"/>
    <w:rsid w:val="797265CF"/>
    <w:rsid w:val="7DB54EB0"/>
    <w:rsid w:val="7FD13D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4"/>
      <w:szCs w:val="24"/>
      <w:lang w:val="en-US" w:eastAsia="en-US" w:bidi="ar-SA"/>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宋体" w:hAnsi="宋体" w:eastAsia="宋体" w:cs="宋体"/>
      <w:sz w:val="27"/>
      <w:szCs w:val="27"/>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5342</Words>
  <Characters>5577</Characters>
  <TotalTime>41</TotalTime>
  <ScaleCrop>false</ScaleCrop>
  <LinksUpToDate>false</LinksUpToDate>
  <CharactersWithSpaces>5637</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2023-11-18T12:47:00Z</dcterms:created>
  <dc:creator>lishuang</dc:creator>
  <cp:lastModifiedBy>凌胜英</cp:lastModifiedBy>
  <cp:lastPrinted>2025-10-08T11:13:00Z</cp:lastPrinted>
  <dcterms:modified xsi:type="dcterms:W3CDTF">2025-10-11T11:15:50Z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2024-03-23T09:22:27Z</vt:filetime>
  </property>
  <property fmtid="{D5CDD505-2E9C-101B-9397-08002B2CF9AE}" pid="4" name="KSOProductBuildVer">
    <vt:lpwstr>2052-12.1.0.22529</vt:lpwstr>
  </property>
  <property fmtid="{D5CDD505-2E9C-101B-9397-08002B2CF9AE}" pid="5" name="ICV">
    <vt:lpwstr>D6047A2F4D644BF1B71D7DA6CBD166ED_13</vt:lpwstr>
  </property>
  <property fmtid="{D5CDD505-2E9C-101B-9397-08002B2CF9AE}" pid="6" name="KSOTemplateDocerSaveRecord">
    <vt:lpwstr>eyJoZGlkIjoiM2YzM2U1MjAzODIxOWFkZDAyOWY3NzQ0ZWQzOTU5NWYiLCJ1c2VySWQiOiIzMjMzNTg0NDYifQ==</vt:lpwstr>
  </property>
</Properties>
</file>