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E0728A">
      <w:pPr>
        <w:widowControl/>
        <w:shd w:val="clear" w:color="auto" w:fill="FFFFFF"/>
        <w:spacing w:line="560" w:lineRule="exact"/>
        <w:jc w:val="center"/>
        <w:textAlignment w:val="top"/>
        <w:rPr>
          <w:rFonts w:hint="eastAsia" w:ascii="宋体" w:hAnsi="宋体" w:eastAsia="宋体" w:cs="宋体"/>
          <w:b/>
          <w:bCs/>
          <w:color w:val="000000"/>
          <w:sz w:val="36"/>
          <w:szCs w:val="36"/>
          <w:shd w:val="clear" w:color="auto" w:fill="FFFFFF"/>
        </w:rPr>
      </w:pPr>
      <w:bookmarkStart w:id="1" w:name="_GoBack"/>
      <w:r>
        <w:rPr>
          <w:rFonts w:hint="eastAsia" w:ascii="宋体" w:hAnsi="宋体" w:eastAsia="宋体" w:cs="宋体"/>
          <w:b/>
          <w:bCs/>
          <w:color w:val="000000"/>
          <w:sz w:val="36"/>
          <w:szCs w:val="36"/>
          <w:shd w:val="clear" w:color="auto" w:fill="FFFFFF"/>
        </w:rPr>
        <w:t>北京</w:t>
      </w:r>
      <w:r>
        <w:rPr>
          <w:rFonts w:hint="eastAsia" w:ascii="宋体" w:hAnsi="宋体" w:eastAsia="宋体" w:cs="宋体"/>
          <w:b/>
          <w:bCs/>
          <w:color w:val="000000"/>
          <w:sz w:val="36"/>
          <w:szCs w:val="36"/>
          <w:shd w:val="clear" w:color="auto" w:fill="FFFFFF"/>
          <w:lang w:val="en-US" w:eastAsia="zh-CN"/>
        </w:rPr>
        <w:t>中广兴业物业管理</w:t>
      </w:r>
      <w:r>
        <w:rPr>
          <w:rFonts w:hint="eastAsia" w:ascii="宋体" w:hAnsi="宋体" w:eastAsia="宋体" w:cs="宋体"/>
          <w:b/>
          <w:bCs/>
          <w:color w:val="000000"/>
          <w:sz w:val="36"/>
          <w:szCs w:val="36"/>
          <w:shd w:val="clear" w:color="auto" w:fill="FFFFFF"/>
        </w:rPr>
        <w:t>有限公司破产清算案</w:t>
      </w:r>
    </w:p>
    <w:p w14:paraId="1B9711D2">
      <w:pPr>
        <w:widowControl/>
        <w:shd w:val="clear" w:color="auto" w:fill="FFFFFF"/>
        <w:spacing w:line="560" w:lineRule="exact"/>
        <w:jc w:val="center"/>
        <w:textAlignment w:val="top"/>
        <w:rPr>
          <w:rFonts w:hint="eastAsia" w:ascii="宋体" w:hAnsi="宋体" w:eastAsia="宋体" w:cs="宋体"/>
          <w:b/>
          <w:bCs/>
          <w:color w:val="000000"/>
          <w:sz w:val="36"/>
          <w:szCs w:val="36"/>
          <w:shd w:val="clear" w:color="auto" w:fill="FFFFFF"/>
        </w:rPr>
      </w:pPr>
      <w:r>
        <w:rPr>
          <w:rFonts w:hint="eastAsia" w:ascii="宋体" w:hAnsi="宋体" w:eastAsia="宋体" w:cs="宋体"/>
          <w:b/>
          <w:bCs/>
          <w:color w:val="000000"/>
          <w:sz w:val="36"/>
          <w:szCs w:val="36"/>
          <w:shd w:val="clear" w:color="auto" w:fill="FFFFFF"/>
        </w:rPr>
        <w:t>意向投资人预招募公告</w:t>
      </w:r>
    </w:p>
    <w:bookmarkEnd w:id="1"/>
    <w:p w14:paraId="0D93582B">
      <w:pPr>
        <w:widowControl/>
        <w:shd w:val="clear" w:color="auto" w:fill="FFFFFF"/>
        <w:spacing w:line="240" w:lineRule="exact"/>
        <w:jc w:val="center"/>
        <w:textAlignment w:val="top"/>
        <w:rPr>
          <w:rFonts w:hint="eastAsia" w:ascii="宋体" w:hAnsi="宋体" w:eastAsia="宋体" w:cs="宋体"/>
          <w:b/>
          <w:bCs/>
          <w:color w:val="000000"/>
          <w:sz w:val="36"/>
          <w:szCs w:val="36"/>
          <w:shd w:val="clear" w:color="auto" w:fill="FFFFFF"/>
        </w:rPr>
      </w:pPr>
    </w:p>
    <w:p w14:paraId="2ECABCB7">
      <w:pPr>
        <w:keepNext w:val="0"/>
        <w:keepLines w:val="0"/>
        <w:pageBreakBefore w:val="0"/>
        <w:widowControl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202</w:t>
      </w:r>
      <w:r>
        <w:rPr>
          <w:rFonts w:hint="eastAsia" w:ascii="仿宋" w:hAnsi="仿宋" w:eastAsia="仿宋" w:cs="仿宋"/>
          <w:sz w:val="28"/>
          <w:szCs w:val="28"/>
          <w:lang w:val="en-US" w:eastAsia="zh-CN"/>
        </w:rPr>
        <w:t>5</w:t>
      </w:r>
      <w:r>
        <w:rPr>
          <w:rFonts w:hint="eastAsia" w:ascii="仿宋" w:hAnsi="仿宋" w:eastAsia="仿宋" w:cs="仿宋"/>
          <w:sz w:val="28"/>
          <w:szCs w:val="28"/>
        </w:rPr>
        <w:t>年</w:t>
      </w:r>
      <w:r>
        <w:rPr>
          <w:rFonts w:hint="eastAsia" w:ascii="仿宋" w:hAnsi="仿宋" w:eastAsia="仿宋" w:cs="仿宋"/>
          <w:sz w:val="28"/>
          <w:szCs w:val="28"/>
          <w:lang w:val="en-US" w:eastAsia="zh-CN"/>
        </w:rPr>
        <w:t>7</w:t>
      </w:r>
      <w:r>
        <w:rPr>
          <w:rFonts w:hint="eastAsia" w:ascii="仿宋" w:hAnsi="仿宋" w:eastAsia="仿宋" w:cs="仿宋"/>
          <w:sz w:val="28"/>
          <w:szCs w:val="28"/>
        </w:rPr>
        <w:t>月</w:t>
      </w:r>
      <w:r>
        <w:rPr>
          <w:rFonts w:hint="eastAsia" w:ascii="仿宋" w:hAnsi="仿宋" w:eastAsia="仿宋" w:cs="仿宋"/>
          <w:sz w:val="28"/>
          <w:szCs w:val="28"/>
          <w:lang w:val="en-US" w:eastAsia="zh-CN"/>
        </w:rPr>
        <w:t>31</w:t>
      </w:r>
      <w:r>
        <w:rPr>
          <w:rFonts w:hint="eastAsia" w:ascii="仿宋" w:hAnsi="仿宋" w:eastAsia="仿宋" w:cs="仿宋"/>
          <w:sz w:val="28"/>
          <w:szCs w:val="28"/>
        </w:rPr>
        <w:t>日</w:t>
      </w:r>
      <w:r>
        <w:rPr>
          <w:rFonts w:hint="eastAsia" w:ascii="仿宋" w:hAnsi="仿宋" w:cs="仿宋"/>
          <w:sz w:val="28"/>
          <w:szCs w:val="28"/>
          <w:lang w:eastAsia="zh-CN"/>
        </w:rPr>
        <w:t>，</w:t>
      </w:r>
      <w:r>
        <w:rPr>
          <w:rFonts w:hint="eastAsia" w:ascii="仿宋" w:hAnsi="仿宋" w:eastAsia="仿宋" w:cs="仿宋"/>
          <w:sz w:val="28"/>
          <w:szCs w:val="28"/>
        </w:rPr>
        <w:t>北京市第一中级人民法院作出（202</w:t>
      </w:r>
      <w:r>
        <w:rPr>
          <w:rFonts w:hint="eastAsia" w:ascii="仿宋" w:hAnsi="仿宋" w:eastAsia="仿宋" w:cs="仿宋"/>
          <w:sz w:val="28"/>
          <w:szCs w:val="28"/>
          <w:lang w:val="en-US" w:eastAsia="zh-CN"/>
        </w:rPr>
        <w:t>5</w:t>
      </w:r>
      <w:r>
        <w:rPr>
          <w:rFonts w:hint="eastAsia" w:ascii="仿宋" w:hAnsi="仿宋" w:eastAsia="仿宋" w:cs="仿宋"/>
          <w:sz w:val="28"/>
          <w:szCs w:val="28"/>
        </w:rPr>
        <w:t>）京01破申</w:t>
      </w:r>
      <w:r>
        <w:rPr>
          <w:rFonts w:hint="eastAsia" w:ascii="仿宋" w:hAnsi="仿宋" w:eastAsia="仿宋" w:cs="仿宋"/>
          <w:sz w:val="28"/>
          <w:szCs w:val="28"/>
          <w:lang w:val="en-US" w:eastAsia="zh-CN"/>
        </w:rPr>
        <w:t>647</w:t>
      </w:r>
      <w:r>
        <w:rPr>
          <w:rFonts w:hint="eastAsia" w:ascii="仿宋" w:hAnsi="仿宋" w:eastAsia="仿宋" w:cs="仿宋"/>
          <w:sz w:val="28"/>
          <w:szCs w:val="28"/>
        </w:rPr>
        <w:t>号民事裁定书，裁定受理</w:t>
      </w:r>
      <w:r>
        <w:rPr>
          <w:rFonts w:hint="eastAsia" w:ascii="仿宋" w:hAnsi="仿宋" w:eastAsia="仿宋" w:cs="仿宋"/>
          <w:sz w:val="28"/>
          <w:szCs w:val="28"/>
          <w:lang w:val="en-US" w:eastAsia="zh-CN"/>
        </w:rPr>
        <w:t>张卫申请北京中广兴业物业管理有限公司</w:t>
      </w:r>
      <w:r>
        <w:rPr>
          <w:rFonts w:hint="eastAsia" w:ascii="仿宋" w:hAnsi="仿宋" w:cs="仿宋"/>
          <w:sz w:val="28"/>
          <w:szCs w:val="28"/>
          <w:lang w:val="en-US" w:eastAsia="zh-CN"/>
        </w:rPr>
        <w:t>（以下简称“中广兴业公司”）</w:t>
      </w:r>
      <w:r>
        <w:rPr>
          <w:rFonts w:hint="eastAsia" w:ascii="仿宋" w:hAnsi="仿宋" w:eastAsia="仿宋" w:cs="仿宋"/>
          <w:sz w:val="28"/>
          <w:szCs w:val="28"/>
          <w:lang w:val="en-US" w:eastAsia="zh-CN"/>
        </w:rPr>
        <w:t>破产清算一案。</w:t>
      </w:r>
      <w:r>
        <w:rPr>
          <w:rFonts w:hint="eastAsia" w:ascii="仿宋" w:hAnsi="仿宋" w:eastAsia="仿宋" w:cs="仿宋"/>
          <w:sz w:val="28"/>
          <w:szCs w:val="28"/>
        </w:rPr>
        <w:t>并于202</w:t>
      </w:r>
      <w:r>
        <w:rPr>
          <w:rFonts w:hint="eastAsia" w:ascii="仿宋" w:hAnsi="仿宋" w:eastAsia="仿宋" w:cs="仿宋"/>
          <w:sz w:val="28"/>
          <w:szCs w:val="28"/>
          <w:lang w:val="en-US" w:eastAsia="zh-CN"/>
        </w:rPr>
        <w:t>5</w:t>
      </w:r>
      <w:r>
        <w:rPr>
          <w:rFonts w:hint="eastAsia" w:ascii="仿宋" w:hAnsi="仿宋" w:eastAsia="仿宋" w:cs="仿宋"/>
          <w:sz w:val="28"/>
          <w:szCs w:val="28"/>
        </w:rPr>
        <w:t>年</w:t>
      </w:r>
      <w:r>
        <w:rPr>
          <w:rFonts w:hint="eastAsia" w:ascii="仿宋" w:hAnsi="仿宋" w:eastAsia="仿宋" w:cs="仿宋"/>
          <w:sz w:val="28"/>
          <w:szCs w:val="28"/>
          <w:lang w:val="en-US" w:eastAsia="zh-CN"/>
        </w:rPr>
        <w:t>8</w:t>
      </w:r>
      <w:r>
        <w:rPr>
          <w:rFonts w:hint="eastAsia" w:ascii="仿宋" w:hAnsi="仿宋" w:eastAsia="仿宋" w:cs="仿宋"/>
          <w:sz w:val="28"/>
          <w:szCs w:val="28"/>
        </w:rPr>
        <w:t>月</w:t>
      </w:r>
      <w:r>
        <w:rPr>
          <w:rFonts w:hint="eastAsia" w:ascii="仿宋" w:hAnsi="仿宋" w:eastAsia="仿宋" w:cs="仿宋"/>
          <w:sz w:val="28"/>
          <w:szCs w:val="28"/>
          <w:lang w:val="en-US" w:eastAsia="zh-CN"/>
        </w:rPr>
        <w:t>28</w:t>
      </w:r>
      <w:r>
        <w:rPr>
          <w:rFonts w:hint="eastAsia" w:ascii="仿宋" w:hAnsi="仿宋" w:eastAsia="仿宋" w:cs="仿宋"/>
          <w:sz w:val="28"/>
          <w:szCs w:val="28"/>
        </w:rPr>
        <w:t>日作出（202</w:t>
      </w:r>
      <w:r>
        <w:rPr>
          <w:rFonts w:hint="eastAsia" w:ascii="仿宋" w:hAnsi="仿宋" w:eastAsia="仿宋" w:cs="仿宋"/>
          <w:sz w:val="28"/>
          <w:szCs w:val="28"/>
          <w:lang w:val="en-US" w:eastAsia="zh-CN"/>
        </w:rPr>
        <w:t>5</w:t>
      </w:r>
      <w:r>
        <w:rPr>
          <w:rFonts w:hint="eastAsia" w:ascii="仿宋" w:hAnsi="仿宋" w:eastAsia="仿宋" w:cs="仿宋"/>
          <w:sz w:val="28"/>
          <w:szCs w:val="28"/>
        </w:rPr>
        <w:t>）京01破</w:t>
      </w:r>
      <w:r>
        <w:rPr>
          <w:rFonts w:hint="eastAsia" w:ascii="仿宋" w:hAnsi="仿宋" w:eastAsia="仿宋" w:cs="仿宋"/>
          <w:sz w:val="28"/>
          <w:szCs w:val="28"/>
          <w:lang w:val="en-US" w:eastAsia="zh-CN"/>
        </w:rPr>
        <w:t>391</w:t>
      </w:r>
      <w:r>
        <w:rPr>
          <w:rFonts w:hint="eastAsia" w:ascii="仿宋" w:hAnsi="仿宋" w:eastAsia="仿宋" w:cs="仿宋"/>
          <w:sz w:val="28"/>
          <w:szCs w:val="28"/>
        </w:rPr>
        <w:t>号决定书，指定</w:t>
      </w:r>
      <w:r>
        <w:rPr>
          <w:rFonts w:hint="eastAsia" w:ascii="仿宋" w:hAnsi="仿宋" w:eastAsia="仿宋" w:cs="仿宋"/>
          <w:sz w:val="28"/>
          <w:szCs w:val="28"/>
          <w:lang w:val="en-US" w:eastAsia="zh-CN"/>
        </w:rPr>
        <w:t>北京华信清算服务有限公司</w:t>
      </w:r>
      <w:r>
        <w:rPr>
          <w:rFonts w:hint="eastAsia" w:ascii="仿宋" w:hAnsi="仿宋" w:eastAsia="仿宋" w:cs="仿宋"/>
          <w:sz w:val="28"/>
          <w:szCs w:val="28"/>
        </w:rPr>
        <w:t>担任管理人。</w:t>
      </w:r>
    </w:p>
    <w:p w14:paraId="6316A3A3">
      <w:pPr>
        <w:shd w:val="clear" w:color="auto" w:fill="FFFFFF"/>
        <w:spacing w:line="54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lang w:bidi="ar"/>
        </w:rPr>
        <w:t>为充分识别</w:t>
      </w:r>
      <w:r>
        <w:rPr>
          <w:rFonts w:hint="eastAsia" w:ascii="仿宋" w:hAnsi="仿宋"/>
          <w:color w:val="000000"/>
          <w:sz w:val="28"/>
          <w:szCs w:val="28"/>
          <w:shd w:val="clear" w:color="auto" w:fill="FFFFFF"/>
          <w:lang w:val="en-US" w:eastAsia="zh-CN" w:bidi="ar"/>
        </w:rPr>
        <w:t>中广兴业公司</w:t>
      </w:r>
      <w:r>
        <w:rPr>
          <w:rFonts w:hint="eastAsia" w:ascii="仿宋" w:hAnsi="仿宋"/>
          <w:color w:val="000000"/>
          <w:sz w:val="28"/>
          <w:szCs w:val="28"/>
          <w:shd w:val="clear" w:color="auto" w:fill="FFFFFF"/>
          <w:lang w:bidi="ar"/>
        </w:rPr>
        <w:t>的重整价值，最大限度地维护全体债权人、债务人以及其他各方主体的合法权益，在北京市第一中级人民法院的监督和指导下，现管理人拟为</w:t>
      </w:r>
      <w:r>
        <w:rPr>
          <w:rFonts w:hint="eastAsia" w:ascii="仿宋" w:hAnsi="仿宋"/>
          <w:color w:val="000000"/>
          <w:sz w:val="28"/>
          <w:szCs w:val="28"/>
          <w:shd w:val="clear" w:color="auto" w:fill="FFFFFF"/>
          <w:lang w:val="en-US" w:eastAsia="zh-CN" w:bidi="ar"/>
        </w:rPr>
        <w:t>中广兴业公司</w:t>
      </w:r>
      <w:r>
        <w:rPr>
          <w:rFonts w:hint="eastAsia" w:ascii="仿宋" w:hAnsi="仿宋"/>
          <w:color w:val="000000"/>
          <w:sz w:val="28"/>
          <w:szCs w:val="28"/>
          <w:shd w:val="clear" w:color="auto" w:fill="FFFFFF"/>
          <w:lang w:bidi="ar"/>
        </w:rPr>
        <w:t>向社会公开预招募意向投资人。现就意向投资人预招募和预遴选等相关事项公告说明如下。</w:t>
      </w:r>
    </w:p>
    <w:p w14:paraId="769095CE">
      <w:pPr>
        <w:pStyle w:val="5"/>
        <w:shd w:val="clear" w:color="auto" w:fill="FFFFFF"/>
        <w:spacing w:line="540" w:lineRule="exact"/>
        <w:ind w:firstLine="562" w:firstLineChars="200"/>
        <w:textAlignment w:val="top"/>
        <w:rPr>
          <w:rFonts w:hint="eastAsia" w:ascii="楷体" w:hAnsi="楷体" w:eastAsia="楷体" w:cs="楷体"/>
          <w:color w:val="000000"/>
          <w:sz w:val="28"/>
          <w:szCs w:val="28"/>
        </w:rPr>
      </w:pPr>
      <w:r>
        <w:rPr>
          <w:rFonts w:hint="eastAsia" w:ascii="楷体" w:hAnsi="楷体" w:eastAsia="楷体" w:cs="楷体"/>
          <w:b/>
          <w:bCs/>
          <w:color w:val="000000"/>
          <w:sz w:val="28"/>
          <w:szCs w:val="28"/>
          <w:shd w:val="clear" w:color="auto" w:fill="FFFFFF"/>
        </w:rPr>
        <w:t>一、预招募须知</w:t>
      </w:r>
    </w:p>
    <w:p w14:paraId="23CFE7C3">
      <w:pPr>
        <w:pStyle w:val="5"/>
        <w:shd w:val="clear" w:color="auto" w:fill="FFFFFF"/>
        <w:spacing w:line="52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rPr>
        <w:t>（一）本公告所披露的相关信息仅供意向投资人作参考使用，并不替代意向投资人的尽职调查，管理人不对本公告披露的相关信息承担保证责任。意向投资人须自行决定是否聘请专业投资顾问、法律顾问进行尽职调查、出具投资意见等。</w:t>
      </w:r>
    </w:p>
    <w:p w14:paraId="79FAFB47">
      <w:pPr>
        <w:pStyle w:val="5"/>
        <w:shd w:val="clear" w:color="auto" w:fill="FFFFFF"/>
        <w:spacing w:line="52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rPr>
        <w:t>（二）意向投资人决定参与预招募前应仔细阅读本公告，理解投资过程中可能存在的风险，一旦提交报名材料即视为同意按债务人现状进行投资，接受所有</w:t>
      </w:r>
      <w:r>
        <w:rPr>
          <w:rFonts w:hint="eastAsia" w:ascii="仿宋" w:hAnsi="仿宋"/>
          <w:color w:val="000000"/>
          <w:sz w:val="28"/>
          <w:szCs w:val="28"/>
          <w:shd w:val="clear" w:color="auto" w:fill="FFFFFF"/>
          <w:lang w:val="en-US" w:eastAsia="zh-CN"/>
        </w:rPr>
        <w:t>资产上</w:t>
      </w:r>
      <w:r>
        <w:rPr>
          <w:rFonts w:hint="eastAsia" w:ascii="仿宋" w:hAnsi="仿宋"/>
          <w:color w:val="000000"/>
          <w:sz w:val="28"/>
          <w:szCs w:val="28"/>
          <w:shd w:val="clear" w:color="auto" w:fill="FFFFFF"/>
        </w:rPr>
        <w:t>已知和未知的瑕疵，也视为对本次投资人预招募程序确认并同意承担风险。</w:t>
      </w:r>
    </w:p>
    <w:p w14:paraId="2C86D206">
      <w:pPr>
        <w:pStyle w:val="5"/>
        <w:shd w:val="clear" w:color="auto" w:fill="FFFFFF"/>
        <w:spacing w:line="52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rPr>
        <w:t>（三）本预招募公告不适用《中华人民共和国招标投标法》，管理人有权视本案的进展情况、实际需求随时决定调整、继续、中止或终止本次意向投资人预招募和遴选，管理人对此不承担违约或赔偿责任，公告内容的解释权由管理人行使。</w:t>
      </w:r>
    </w:p>
    <w:p w14:paraId="4B33F424">
      <w:pPr>
        <w:pStyle w:val="5"/>
        <w:shd w:val="clear" w:color="auto" w:fill="FFFFFF"/>
        <w:spacing w:line="52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rPr>
        <w:t>（四）本公告所称意向投资人，可以是产业投资人，可以是财务投资人，也可以是运营意向人，意向投资人既可以单独报名，也可以组成联合体报名。同等条件下，本次预招募优先考虑对</w:t>
      </w:r>
      <w:r>
        <w:rPr>
          <w:rFonts w:hint="eastAsia" w:ascii="仿宋" w:hAnsi="仿宋"/>
          <w:color w:val="000000"/>
          <w:sz w:val="28"/>
          <w:szCs w:val="28"/>
          <w:shd w:val="clear" w:color="auto" w:fill="FFFFFF"/>
          <w:lang w:eastAsia="zh-CN"/>
        </w:rPr>
        <w:t>中广兴业公司</w:t>
      </w:r>
      <w:r>
        <w:rPr>
          <w:rFonts w:hint="eastAsia" w:ascii="仿宋" w:hAnsi="仿宋"/>
          <w:color w:val="000000"/>
          <w:sz w:val="28"/>
          <w:szCs w:val="28"/>
          <w:shd w:val="clear" w:color="auto" w:fill="FFFFFF"/>
        </w:rPr>
        <w:t>具有产业协同效应的产业投资人。</w:t>
      </w:r>
    </w:p>
    <w:p w14:paraId="2329D941">
      <w:pPr>
        <w:pStyle w:val="5"/>
        <w:shd w:val="clear" w:color="auto" w:fill="FFFFFF"/>
        <w:spacing w:line="52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rPr>
        <w:t>（五）意向投资人须在报名参与本次预招募时缴纳尽调保证金，待尽调后确定参与的，再行补足报名保证金。管理人有权在预招募及遴选过程中根据进展情况，要求进入下一轮遴选程序的报名投资人追加缴纳保证金，意向投资人缴纳对应保证金后方可进入下一轮遴选程序，具体缴纳时间及金额由管理人另行通知。</w:t>
      </w:r>
    </w:p>
    <w:p w14:paraId="178053BB">
      <w:pPr>
        <w:pStyle w:val="5"/>
        <w:shd w:val="clear" w:color="auto" w:fill="FFFFFF"/>
        <w:spacing w:line="52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rPr>
        <w:t>（六）本公告不构成要约，不具有重整投资协议的约束效力。</w:t>
      </w:r>
    </w:p>
    <w:p w14:paraId="3118DA7E">
      <w:pPr>
        <w:pStyle w:val="5"/>
        <w:widowControl/>
        <w:shd w:val="clear" w:color="auto" w:fill="FFFFFF"/>
        <w:spacing w:line="520" w:lineRule="exact"/>
        <w:ind w:firstLine="562" w:firstLineChars="200"/>
        <w:textAlignment w:val="top"/>
        <w:rPr>
          <w:rFonts w:hint="eastAsia" w:ascii="楷体" w:hAnsi="楷体" w:eastAsia="楷体" w:cs="楷体"/>
          <w:color w:val="000000"/>
          <w:sz w:val="28"/>
          <w:szCs w:val="28"/>
        </w:rPr>
      </w:pPr>
      <w:r>
        <w:rPr>
          <w:rFonts w:hint="eastAsia" w:ascii="楷体" w:hAnsi="楷体" w:eastAsia="楷体" w:cs="楷体"/>
          <w:b/>
          <w:bCs/>
          <w:color w:val="000000"/>
          <w:sz w:val="28"/>
          <w:szCs w:val="28"/>
          <w:shd w:val="clear" w:color="auto" w:fill="FFFFFF"/>
        </w:rPr>
        <w:t>二、基本情况</w:t>
      </w:r>
    </w:p>
    <w:p w14:paraId="2182D809">
      <w:pPr>
        <w:pStyle w:val="5"/>
        <w:widowControl/>
        <w:shd w:val="clear" w:color="auto" w:fill="FFFFFF"/>
        <w:spacing w:line="520" w:lineRule="exact"/>
        <w:ind w:firstLine="562" w:firstLineChars="200"/>
        <w:textAlignment w:val="top"/>
        <w:rPr>
          <w:rFonts w:hint="eastAsia" w:ascii="仿宋" w:hAnsi="仿宋"/>
          <w:b/>
          <w:bCs/>
          <w:color w:val="000000"/>
          <w:sz w:val="28"/>
          <w:szCs w:val="28"/>
          <w:shd w:val="clear" w:color="auto" w:fill="FFFFFF"/>
        </w:rPr>
      </w:pPr>
      <w:r>
        <w:rPr>
          <w:rFonts w:hint="eastAsia" w:ascii="仿宋" w:hAnsi="仿宋"/>
          <w:b/>
          <w:bCs/>
          <w:color w:val="000000"/>
          <w:sz w:val="28"/>
          <w:szCs w:val="28"/>
          <w:shd w:val="clear" w:color="auto" w:fill="FFFFFF"/>
        </w:rPr>
        <w:t>（一）工商登记信息</w:t>
      </w:r>
    </w:p>
    <w:tbl>
      <w:tblPr>
        <w:tblStyle w:val="7"/>
        <w:tblW w:w="8406" w:type="dxa"/>
        <w:tblInd w:w="0" w:type="dxa"/>
        <w:shd w:val="clear" w:color="auto" w:fill="FFFFFF"/>
        <w:tblLayout w:type="autofit"/>
        <w:tblCellMar>
          <w:top w:w="0" w:type="dxa"/>
          <w:left w:w="0" w:type="dxa"/>
          <w:bottom w:w="0" w:type="dxa"/>
          <w:right w:w="0" w:type="dxa"/>
        </w:tblCellMar>
      </w:tblPr>
      <w:tblGrid>
        <w:gridCol w:w="3119"/>
        <w:gridCol w:w="5287"/>
      </w:tblGrid>
      <w:tr w14:paraId="45EB4D45">
        <w:tblPrEx>
          <w:shd w:val="clear" w:color="auto" w:fill="FFFFFF"/>
          <w:tblCellMar>
            <w:top w:w="0" w:type="dxa"/>
            <w:left w:w="0" w:type="dxa"/>
            <w:bottom w:w="0" w:type="dxa"/>
            <w:right w:w="0" w:type="dxa"/>
          </w:tblCellMar>
        </w:tblPrEx>
        <w:trPr>
          <w:trHeight w:val="283" w:hRule="atLeast"/>
        </w:trPr>
        <w:tc>
          <w:tcPr>
            <w:tcW w:w="3119"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3A696F4">
            <w:pPr>
              <w:widowControl/>
              <w:spacing w:line="500" w:lineRule="exact"/>
              <w:textAlignment w:val="top"/>
              <w:rPr>
                <w:rFonts w:hint="eastAsia" w:ascii="仿宋" w:hAnsi="仿宋"/>
                <w:sz w:val="24"/>
                <w:szCs w:val="24"/>
              </w:rPr>
            </w:pPr>
            <w:r>
              <w:rPr>
                <w:rFonts w:hint="eastAsia" w:ascii="仿宋" w:hAnsi="仿宋"/>
                <w:color w:val="000000"/>
                <w:sz w:val="24"/>
                <w:szCs w:val="24"/>
                <w:lang w:bidi="ar"/>
              </w:rPr>
              <w:t>企业名称</w:t>
            </w:r>
          </w:p>
        </w:tc>
        <w:tc>
          <w:tcPr>
            <w:tcW w:w="5287"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18F9E5A3">
            <w:pPr>
              <w:widowControl/>
              <w:spacing w:line="500" w:lineRule="exact"/>
              <w:textAlignment w:val="top"/>
              <w:rPr>
                <w:rFonts w:hint="eastAsia" w:ascii="仿宋" w:hAnsi="仿宋"/>
                <w:sz w:val="24"/>
                <w:szCs w:val="24"/>
              </w:rPr>
            </w:pPr>
            <w:r>
              <w:rPr>
                <w:rFonts w:hint="eastAsia" w:ascii="仿宋" w:hAnsi="仿宋"/>
                <w:color w:val="000000"/>
                <w:sz w:val="24"/>
                <w:szCs w:val="24"/>
                <w:lang w:val="en-US" w:eastAsia="zh-CN" w:bidi="ar"/>
              </w:rPr>
              <w:t>北京中广兴业物业管理</w:t>
            </w:r>
            <w:r>
              <w:rPr>
                <w:rFonts w:hint="eastAsia" w:ascii="仿宋" w:hAnsi="仿宋"/>
                <w:color w:val="000000"/>
                <w:sz w:val="24"/>
                <w:szCs w:val="24"/>
                <w:lang w:bidi="ar"/>
              </w:rPr>
              <w:t>有限公司</w:t>
            </w:r>
          </w:p>
        </w:tc>
      </w:tr>
      <w:tr w14:paraId="69E4A03E">
        <w:tblPrEx>
          <w:shd w:val="clear" w:color="auto" w:fill="FFFFFF"/>
          <w:tblCellMar>
            <w:top w:w="0" w:type="dxa"/>
            <w:left w:w="0" w:type="dxa"/>
            <w:bottom w:w="0" w:type="dxa"/>
            <w:right w:w="0" w:type="dxa"/>
          </w:tblCellMar>
        </w:tblPrEx>
        <w:trPr>
          <w:trHeight w:val="283" w:hRule="atLeast"/>
        </w:trPr>
        <w:tc>
          <w:tcPr>
            <w:tcW w:w="311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F002C9A">
            <w:pPr>
              <w:widowControl/>
              <w:spacing w:line="500" w:lineRule="exact"/>
              <w:textAlignment w:val="top"/>
              <w:rPr>
                <w:rFonts w:hint="eastAsia" w:ascii="仿宋" w:hAnsi="仿宋"/>
                <w:sz w:val="24"/>
                <w:szCs w:val="24"/>
              </w:rPr>
            </w:pPr>
            <w:r>
              <w:rPr>
                <w:rFonts w:hint="eastAsia" w:ascii="仿宋" w:hAnsi="仿宋"/>
                <w:color w:val="000000"/>
                <w:sz w:val="24"/>
                <w:szCs w:val="24"/>
                <w:lang w:bidi="ar"/>
              </w:rPr>
              <w:t>统一社会信用代码</w:t>
            </w:r>
          </w:p>
        </w:tc>
        <w:tc>
          <w:tcPr>
            <w:tcW w:w="5287" w:type="dxa"/>
            <w:tcBorders>
              <w:top w:val="nil"/>
              <w:left w:val="nil"/>
              <w:bottom w:val="single" w:color="auto" w:sz="8" w:space="0"/>
              <w:right w:val="single" w:color="auto" w:sz="8" w:space="0"/>
            </w:tcBorders>
            <w:shd w:val="clear" w:color="auto" w:fill="FFFFFF"/>
            <w:tcMar>
              <w:left w:w="108" w:type="dxa"/>
              <w:right w:w="108" w:type="dxa"/>
            </w:tcMar>
            <w:vAlign w:val="center"/>
          </w:tcPr>
          <w:p w14:paraId="74BBF64B">
            <w:pPr>
              <w:widowControl/>
              <w:spacing w:line="500" w:lineRule="exact"/>
              <w:textAlignment w:val="top"/>
              <w:rPr>
                <w:rFonts w:hint="default" w:ascii="仿宋" w:hAnsi="仿宋" w:eastAsia="仿宋"/>
                <w:sz w:val="24"/>
                <w:szCs w:val="24"/>
                <w:lang w:val="en-US" w:eastAsia="zh-CN"/>
              </w:rPr>
            </w:pPr>
            <w:r>
              <w:rPr>
                <w:rFonts w:hint="eastAsia" w:ascii="仿宋" w:hAnsi="仿宋"/>
                <w:color w:val="000000"/>
                <w:sz w:val="24"/>
                <w:szCs w:val="24"/>
                <w:lang w:val="en-US" w:eastAsia="zh-CN" w:bidi="ar"/>
              </w:rPr>
              <w:t>911101066656225330</w:t>
            </w:r>
          </w:p>
        </w:tc>
      </w:tr>
      <w:tr w14:paraId="463993B7">
        <w:tblPrEx>
          <w:shd w:val="clear" w:color="auto" w:fill="FFFFFF"/>
          <w:tblCellMar>
            <w:top w:w="0" w:type="dxa"/>
            <w:left w:w="0" w:type="dxa"/>
            <w:bottom w:w="0" w:type="dxa"/>
            <w:right w:w="0" w:type="dxa"/>
          </w:tblCellMar>
        </w:tblPrEx>
        <w:trPr>
          <w:trHeight w:val="283" w:hRule="atLeast"/>
        </w:trPr>
        <w:tc>
          <w:tcPr>
            <w:tcW w:w="311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2E45440">
            <w:pPr>
              <w:widowControl/>
              <w:spacing w:line="500" w:lineRule="exact"/>
              <w:textAlignment w:val="top"/>
              <w:rPr>
                <w:rFonts w:hint="eastAsia" w:ascii="仿宋" w:hAnsi="仿宋"/>
                <w:sz w:val="24"/>
                <w:szCs w:val="24"/>
              </w:rPr>
            </w:pPr>
            <w:r>
              <w:rPr>
                <w:rFonts w:hint="eastAsia" w:ascii="仿宋" w:hAnsi="仿宋"/>
                <w:color w:val="000000"/>
                <w:sz w:val="24"/>
                <w:szCs w:val="24"/>
                <w:lang w:bidi="ar"/>
              </w:rPr>
              <w:t>登记机关</w:t>
            </w:r>
          </w:p>
        </w:tc>
        <w:tc>
          <w:tcPr>
            <w:tcW w:w="5287" w:type="dxa"/>
            <w:tcBorders>
              <w:top w:val="nil"/>
              <w:left w:val="nil"/>
              <w:bottom w:val="single" w:color="auto" w:sz="8" w:space="0"/>
              <w:right w:val="single" w:color="auto" w:sz="8" w:space="0"/>
            </w:tcBorders>
            <w:shd w:val="clear" w:color="auto" w:fill="FFFFFF"/>
            <w:tcMar>
              <w:left w:w="108" w:type="dxa"/>
              <w:right w:w="108" w:type="dxa"/>
            </w:tcMar>
            <w:vAlign w:val="center"/>
          </w:tcPr>
          <w:p w14:paraId="0C80DA0B">
            <w:pPr>
              <w:widowControl/>
              <w:spacing w:line="500" w:lineRule="exact"/>
              <w:textAlignment w:val="top"/>
              <w:rPr>
                <w:rFonts w:hint="eastAsia" w:ascii="仿宋" w:hAnsi="仿宋"/>
                <w:sz w:val="24"/>
                <w:szCs w:val="24"/>
              </w:rPr>
            </w:pPr>
            <w:r>
              <w:rPr>
                <w:rFonts w:hint="eastAsia" w:ascii="仿宋" w:hAnsi="仿宋"/>
                <w:color w:val="000000"/>
                <w:sz w:val="24"/>
                <w:szCs w:val="24"/>
                <w:lang w:bidi="ar"/>
              </w:rPr>
              <w:t>北京</w:t>
            </w:r>
            <w:r>
              <w:rPr>
                <w:rFonts w:hint="eastAsia" w:ascii="仿宋" w:hAnsi="仿宋"/>
                <w:color w:val="000000"/>
                <w:sz w:val="24"/>
                <w:szCs w:val="24"/>
                <w:lang w:val="en-US" w:eastAsia="zh-CN" w:bidi="ar"/>
              </w:rPr>
              <w:t>市丰台</w:t>
            </w:r>
            <w:r>
              <w:rPr>
                <w:rFonts w:hint="eastAsia" w:ascii="仿宋" w:hAnsi="仿宋"/>
                <w:color w:val="000000"/>
                <w:sz w:val="24"/>
                <w:szCs w:val="24"/>
                <w:lang w:bidi="ar"/>
              </w:rPr>
              <w:t>区市场监督管理局</w:t>
            </w:r>
          </w:p>
        </w:tc>
      </w:tr>
      <w:tr w14:paraId="66700E83">
        <w:tblPrEx>
          <w:shd w:val="clear" w:color="auto" w:fill="FFFFFF"/>
          <w:tblCellMar>
            <w:top w:w="0" w:type="dxa"/>
            <w:left w:w="0" w:type="dxa"/>
            <w:bottom w:w="0" w:type="dxa"/>
            <w:right w:w="0" w:type="dxa"/>
          </w:tblCellMar>
        </w:tblPrEx>
        <w:trPr>
          <w:trHeight w:val="283" w:hRule="atLeast"/>
        </w:trPr>
        <w:tc>
          <w:tcPr>
            <w:tcW w:w="311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9E4BB66">
            <w:pPr>
              <w:widowControl/>
              <w:spacing w:line="500" w:lineRule="exact"/>
              <w:textAlignment w:val="top"/>
              <w:rPr>
                <w:rFonts w:hint="eastAsia" w:ascii="仿宋" w:hAnsi="仿宋"/>
                <w:sz w:val="24"/>
                <w:szCs w:val="24"/>
              </w:rPr>
            </w:pPr>
            <w:r>
              <w:rPr>
                <w:rFonts w:hint="eastAsia" w:ascii="仿宋" w:hAnsi="仿宋"/>
                <w:color w:val="000000"/>
                <w:sz w:val="24"/>
                <w:szCs w:val="24"/>
                <w:lang w:bidi="ar"/>
              </w:rPr>
              <w:t>类型</w:t>
            </w:r>
          </w:p>
        </w:tc>
        <w:tc>
          <w:tcPr>
            <w:tcW w:w="5287" w:type="dxa"/>
            <w:tcBorders>
              <w:top w:val="nil"/>
              <w:left w:val="nil"/>
              <w:bottom w:val="single" w:color="auto" w:sz="8" w:space="0"/>
              <w:right w:val="single" w:color="auto" w:sz="8" w:space="0"/>
            </w:tcBorders>
            <w:shd w:val="clear" w:color="auto" w:fill="FFFFFF"/>
            <w:tcMar>
              <w:left w:w="108" w:type="dxa"/>
              <w:right w:w="108" w:type="dxa"/>
            </w:tcMar>
            <w:vAlign w:val="center"/>
          </w:tcPr>
          <w:p w14:paraId="46F60023">
            <w:pPr>
              <w:widowControl/>
              <w:spacing w:line="500" w:lineRule="exact"/>
              <w:textAlignment w:val="top"/>
              <w:rPr>
                <w:rFonts w:hint="eastAsia" w:ascii="仿宋" w:hAnsi="仿宋"/>
                <w:sz w:val="24"/>
                <w:szCs w:val="24"/>
              </w:rPr>
            </w:pPr>
            <w:r>
              <w:rPr>
                <w:rFonts w:hint="eastAsia" w:ascii="仿宋" w:hAnsi="仿宋"/>
                <w:sz w:val="24"/>
                <w:szCs w:val="24"/>
              </w:rPr>
              <w:t>有限责任公司（自然人投资或控股）</w:t>
            </w:r>
          </w:p>
        </w:tc>
      </w:tr>
      <w:tr w14:paraId="14A4AB48">
        <w:tblPrEx>
          <w:shd w:val="clear" w:color="auto" w:fill="FFFFFF"/>
          <w:tblCellMar>
            <w:top w:w="0" w:type="dxa"/>
            <w:left w:w="0" w:type="dxa"/>
            <w:bottom w:w="0" w:type="dxa"/>
            <w:right w:w="0" w:type="dxa"/>
          </w:tblCellMar>
        </w:tblPrEx>
        <w:trPr>
          <w:trHeight w:val="283" w:hRule="atLeast"/>
        </w:trPr>
        <w:tc>
          <w:tcPr>
            <w:tcW w:w="311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3E9A296">
            <w:pPr>
              <w:widowControl/>
              <w:spacing w:line="500" w:lineRule="exact"/>
              <w:textAlignment w:val="top"/>
              <w:rPr>
                <w:rFonts w:hint="eastAsia" w:ascii="仿宋" w:hAnsi="仿宋"/>
                <w:sz w:val="24"/>
                <w:szCs w:val="24"/>
              </w:rPr>
            </w:pPr>
            <w:r>
              <w:rPr>
                <w:rFonts w:hint="eastAsia" w:ascii="仿宋" w:hAnsi="仿宋"/>
                <w:color w:val="000000"/>
                <w:sz w:val="24"/>
                <w:szCs w:val="24"/>
                <w:lang w:bidi="ar"/>
              </w:rPr>
              <w:t>注册资本</w:t>
            </w:r>
          </w:p>
        </w:tc>
        <w:tc>
          <w:tcPr>
            <w:tcW w:w="5287" w:type="dxa"/>
            <w:tcBorders>
              <w:top w:val="nil"/>
              <w:left w:val="nil"/>
              <w:bottom w:val="single" w:color="auto" w:sz="8" w:space="0"/>
              <w:right w:val="single" w:color="auto" w:sz="8" w:space="0"/>
            </w:tcBorders>
            <w:shd w:val="clear" w:color="auto" w:fill="FFFFFF"/>
            <w:tcMar>
              <w:left w:w="108" w:type="dxa"/>
              <w:right w:w="108" w:type="dxa"/>
            </w:tcMar>
            <w:vAlign w:val="center"/>
          </w:tcPr>
          <w:p w14:paraId="650F3D04">
            <w:pPr>
              <w:widowControl/>
              <w:spacing w:line="500" w:lineRule="exact"/>
              <w:textAlignment w:val="top"/>
              <w:rPr>
                <w:rFonts w:hint="eastAsia" w:ascii="仿宋" w:hAnsi="仿宋"/>
                <w:sz w:val="24"/>
                <w:szCs w:val="24"/>
              </w:rPr>
            </w:pPr>
            <w:r>
              <w:rPr>
                <w:rFonts w:hint="eastAsia" w:ascii="仿宋" w:hAnsi="仿宋"/>
                <w:sz w:val="24"/>
                <w:szCs w:val="24"/>
                <w:lang w:val="en-US" w:eastAsia="zh-CN"/>
              </w:rPr>
              <w:t>100</w:t>
            </w:r>
            <w:r>
              <w:rPr>
                <w:rFonts w:hint="eastAsia" w:ascii="仿宋" w:hAnsi="仿宋"/>
                <w:sz w:val="24"/>
                <w:szCs w:val="24"/>
              </w:rPr>
              <w:t>万元人民币</w:t>
            </w:r>
          </w:p>
        </w:tc>
      </w:tr>
      <w:tr w14:paraId="40EE899E">
        <w:tblPrEx>
          <w:shd w:val="clear" w:color="auto" w:fill="FFFFFF"/>
          <w:tblCellMar>
            <w:top w:w="0" w:type="dxa"/>
            <w:left w:w="0" w:type="dxa"/>
            <w:bottom w:w="0" w:type="dxa"/>
            <w:right w:w="0" w:type="dxa"/>
          </w:tblCellMar>
        </w:tblPrEx>
        <w:trPr>
          <w:trHeight w:val="283" w:hRule="atLeast"/>
        </w:trPr>
        <w:tc>
          <w:tcPr>
            <w:tcW w:w="311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C4BA10E">
            <w:pPr>
              <w:widowControl/>
              <w:spacing w:line="500" w:lineRule="exact"/>
              <w:textAlignment w:val="top"/>
              <w:rPr>
                <w:rFonts w:hint="eastAsia" w:ascii="仿宋" w:hAnsi="仿宋"/>
                <w:sz w:val="24"/>
                <w:szCs w:val="24"/>
              </w:rPr>
            </w:pPr>
            <w:r>
              <w:rPr>
                <w:rFonts w:hint="eastAsia" w:ascii="仿宋" w:hAnsi="仿宋"/>
                <w:color w:val="000000"/>
                <w:sz w:val="24"/>
                <w:szCs w:val="24"/>
                <w:lang w:bidi="ar"/>
              </w:rPr>
              <w:t>注册地址</w:t>
            </w:r>
          </w:p>
        </w:tc>
        <w:tc>
          <w:tcPr>
            <w:tcW w:w="5287" w:type="dxa"/>
            <w:tcBorders>
              <w:top w:val="nil"/>
              <w:left w:val="nil"/>
              <w:bottom w:val="single" w:color="auto" w:sz="8" w:space="0"/>
              <w:right w:val="single" w:color="auto" w:sz="8" w:space="0"/>
            </w:tcBorders>
            <w:shd w:val="clear" w:color="auto" w:fill="FFFFFF"/>
            <w:tcMar>
              <w:left w:w="108" w:type="dxa"/>
              <w:right w:w="108" w:type="dxa"/>
            </w:tcMar>
            <w:vAlign w:val="center"/>
          </w:tcPr>
          <w:p w14:paraId="4C6E5CE5">
            <w:pPr>
              <w:widowControl/>
              <w:spacing w:line="500" w:lineRule="exact"/>
              <w:textAlignment w:val="top"/>
              <w:rPr>
                <w:rFonts w:hint="default" w:ascii="仿宋" w:hAnsi="仿宋" w:eastAsia="仿宋"/>
                <w:sz w:val="24"/>
                <w:szCs w:val="24"/>
                <w:lang w:val="en-US" w:eastAsia="zh-CN"/>
              </w:rPr>
            </w:pPr>
            <w:r>
              <w:rPr>
                <w:rFonts w:hint="eastAsia" w:ascii="仿宋" w:hAnsi="仿宋"/>
                <w:color w:val="000000"/>
                <w:sz w:val="24"/>
                <w:szCs w:val="24"/>
                <w:lang w:val="en-US" w:eastAsia="zh-CN" w:bidi="ar"/>
              </w:rPr>
              <w:t>北京市丰台区丰台镇南开西里23号楼506室</w:t>
            </w:r>
          </w:p>
        </w:tc>
      </w:tr>
      <w:tr w14:paraId="0E105A77">
        <w:tblPrEx>
          <w:shd w:val="clear" w:color="auto" w:fill="FFFFFF"/>
          <w:tblCellMar>
            <w:top w:w="0" w:type="dxa"/>
            <w:left w:w="0" w:type="dxa"/>
            <w:bottom w:w="0" w:type="dxa"/>
            <w:right w:w="0" w:type="dxa"/>
          </w:tblCellMar>
        </w:tblPrEx>
        <w:trPr>
          <w:trHeight w:val="283" w:hRule="atLeast"/>
        </w:trPr>
        <w:tc>
          <w:tcPr>
            <w:tcW w:w="3119" w:type="dxa"/>
            <w:tcBorders>
              <w:top w:val="nil"/>
              <w:left w:val="single" w:color="auto" w:sz="8" w:space="0"/>
              <w:bottom w:val="single" w:color="000000" w:sz="8" w:space="0"/>
              <w:right w:val="single" w:color="auto" w:sz="8" w:space="0"/>
            </w:tcBorders>
            <w:shd w:val="clear" w:color="auto" w:fill="auto"/>
            <w:tcMar>
              <w:left w:w="108" w:type="dxa"/>
              <w:right w:w="108" w:type="dxa"/>
            </w:tcMar>
            <w:vAlign w:val="center"/>
          </w:tcPr>
          <w:p w14:paraId="1A2256BB">
            <w:pPr>
              <w:widowControl/>
              <w:spacing w:line="500" w:lineRule="exact"/>
              <w:jc w:val="left"/>
              <w:textAlignment w:val="top"/>
              <w:rPr>
                <w:rFonts w:hint="eastAsia" w:ascii="仿宋" w:hAnsi="仿宋"/>
                <w:sz w:val="24"/>
                <w:szCs w:val="24"/>
              </w:rPr>
            </w:pPr>
            <w:r>
              <w:rPr>
                <w:rFonts w:hint="eastAsia" w:ascii="仿宋" w:hAnsi="仿宋"/>
                <w:color w:val="000000"/>
                <w:sz w:val="24"/>
                <w:szCs w:val="24"/>
                <w:lang w:bidi="ar"/>
              </w:rPr>
              <w:t>法定代表人</w:t>
            </w:r>
          </w:p>
        </w:tc>
        <w:tc>
          <w:tcPr>
            <w:tcW w:w="5287" w:type="dxa"/>
            <w:tcBorders>
              <w:top w:val="nil"/>
              <w:left w:val="nil"/>
              <w:bottom w:val="single" w:color="000000" w:sz="8" w:space="0"/>
              <w:right w:val="single" w:color="auto" w:sz="8" w:space="0"/>
            </w:tcBorders>
            <w:shd w:val="clear" w:color="auto" w:fill="FFFFFF"/>
            <w:tcMar>
              <w:left w:w="108" w:type="dxa"/>
              <w:right w:w="108" w:type="dxa"/>
            </w:tcMar>
            <w:vAlign w:val="center"/>
          </w:tcPr>
          <w:p w14:paraId="3265FFBA">
            <w:pPr>
              <w:widowControl/>
              <w:spacing w:line="500" w:lineRule="exact"/>
              <w:jc w:val="left"/>
              <w:textAlignment w:val="top"/>
              <w:rPr>
                <w:rFonts w:hint="eastAsia" w:ascii="仿宋" w:hAnsi="仿宋"/>
                <w:sz w:val="24"/>
                <w:szCs w:val="24"/>
              </w:rPr>
            </w:pPr>
            <w:r>
              <w:rPr>
                <w:rFonts w:hint="eastAsia" w:ascii="仿宋" w:hAnsi="仿宋"/>
                <w:sz w:val="24"/>
                <w:szCs w:val="24"/>
                <w:lang w:val="en-US" w:eastAsia="zh-CN"/>
              </w:rPr>
              <w:t>常金杰</w:t>
            </w:r>
          </w:p>
        </w:tc>
      </w:tr>
      <w:tr w14:paraId="257BEC62">
        <w:tblPrEx>
          <w:shd w:val="clear" w:color="auto" w:fill="FFFFFF"/>
          <w:tblCellMar>
            <w:top w:w="0" w:type="dxa"/>
            <w:left w:w="0" w:type="dxa"/>
            <w:bottom w:w="0" w:type="dxa"/>
            <w:right w:w="0" w:type="dxa"/>
          </w:tblCellMar>
        </w:tblPrEx>
        <w:trPr>
          <w:trHeight w:val="283" w:hRule="atLeast"/>
        </w:trPr>
        <w:tc>
          <w:tcPr>
            <w:tcW w:w="3119" w:type="dxa"/>
            <w:tcBorders>
              <w:top w:val="single" w:color="000000" w:sz="8" w:space="0"/>
              <w:left w:val="single" w:color="000000" w:sz="8" w:space="0"/>
              <w:bottom w:val="single" w:color="000000" w:sz="8" w:space="0"/>
              <w:right w:val="single" w:color="000000" w:sz="8" w:space="0"/>
            </w:tcBorders>
            <w:shd w:val="clear" w:color="auto" w:fill="auto"/>
            <w:tcMar>
              <w:left w:w="108" w:type="dxa"/>
              <w:right w:w="108" w:type="dxa"/>
            </w:tcMar>
            <w:vAlign w:val="center"/>
          </w:tcPr>
          <w:p w14:paraId="246B3D2E">
            <w:pPr>
              <w:widowControl/>
              <w:spacing w:line="500" w:lineRule="exact"/>
              <w:textAlignment w:val="top"/>
              <w:rPr>
                <w:rFonts w:hint="eastAsia" w:ascii="仿宋" w:hAnsi="仿宋"/>
                <w:sz w:val="24"/>
                <w:szCs w:val="24"/>
              </w:rPr>
            </w:pPr>
            <w:r>
              <w:rPr>
                <w:rFonts w:hint="eastAsia" w:ascii="仿宋" w:hAnsi="仿宋"/>
                <w:color w:val="000000"/>
                <w:sz w:val="24"/>
                <w:szCs w:val="24"/>
                <w:lang w:bidi="ar"/>
              </w:rPr>
              <w:t>成立日期</w:t>
            </w:r>
          </w:p>
        </w:tc>
        <w:tc>
          <w:tcPr>
            <w:tcW w:w="5287"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4116DF29">
            <w:pPr>
              <w:widowControl/>
              <w:spacing w:line="500" w:lineRule="exact"/>
              <w:textAlignment w:val="top"/>
              <w:rPr>
                <w:rFonts w:hint="default" w:ascii="仿宋" w:hAnsi="仿宋" w:eastAsia="仿宋"/>
                <w:sz w:val="24"/>
                <w:szCs w:val="24"/>
                <w:lang w:val="en-US" w:eastAsia="zh-CN"/>
              </w:rPr>
            </w:pPr>
            <w:r>
              <w:rPr>
                <w:rFonts w:hint="eastAsia" w:ascii="仿宋" w:hAnsi="仿宋"/>
                <w:color w:val="000000"/>
                <w:sz w:val="24"/>
                <w:szCs w:val="24"/>
                <w:lang w:bidi="ar"/>
              </w:rPr>
              <w:t>20</w:t>
            </w:r>
            <w:r>
              <w:rPr>
                <w:rFonts w:hint="eastAsia" w:ascii="仿宋" w:hAnsi="仿宋"/>
                <w:color w:val="000000"/>
                <w:sz w:val="24"/>
                <w:szCs w:val="24"/>
                <w:lang w:val="en-US" w:eastAsia="zh-CN" w:bidi="ar"/>
              </w:rPr>
              <w:t>07</w:t>
            </w:r>
            <w:r>
              <w:rPr>
                <w:rFonts w:hint="eastAsia" w:ascii="仿宋" w:hAnsi="仿宋"/>
                <w:color w:val="000000"/>
                <w:sz w:val="24"/>
                <w:szCs w:val="24"/>
                <w:lang w:bidi="ar"/>
              </w:rPr>
              <w:t>-</w:t>
            </w:r>
            <w:r>
              <w:rPr>
                <w:rFonts w:hint="eastAsia" w:ascii="仿宋" w:hAnsi="仿宋"/>
                <w:color w:val="000000"/>
                <w:sz w:val="24"/>
                <w:szCs w:val="24"/>
                <w:lang w:val="en-US" w:eastAsia="zh-CN" w:bidi="ar"/>
              </w:rPr>
              <w:t>08</w:t>
            </w:r>
            <w:r>
              <w:rPr>
                <w:rFonts w:hint="eastAsia" w:ascii="仿宋" w:hAnsi="仿宋"/>
                <w:color w:val="000000"/>
                <w:sz w:val="24"/>
                <w:szCs w:val="24"/>
                <w:lang w:bidi="ar"/>
              </w:rPr>
              <w:t>-</w:t>
            </w:r>
            <w:r>
              <w:rPr>
                <w:rFonts w:hint="eastAsia" w:ascii="仿宋" w:hAnsi="仿宋"/>
                <w:color w:val="000000"/>
                <w:sz w:val="24"/>
                <w:szCs w:val="24"/>
                <w:lang w:val="en-US" w:eastAsia="zh-CN" w:bidi="ar"/>
              </w:rPr>
              <w:t>02</w:t>
            </w:r>
          </w:p>
        </w:tc>
      </w:tr>
      <w:tr w14:paraId="04F2DA7D">
        <w:tblPrEx>
          <w:shd w:val="clear" w:color="auto" w:fill="FFFFFF"/>
          <w:tblCellMar>
            <w:top w:w="0" w:type="dxa"/>
            <w:left w:w="0" w:type="dxa"/>
            <w:bottom w:w="0" w:type="dxa"/>
            <w:right w:w="0" w:type="dxa"/>
          </w:tblCellMar>
        </w:tblPrEx>
        <w:trPr>
          <w:trHeight w:val="283" w:hRule="atLeast"/>
        </w:trPr>
        <w:tc>
          <w:tcPr>
            <w:tcW w:w="3119" w:type="dxa"/>
            <w:tcBorders>
              <w:top w:val="single" w:color="000000" w:sz="8" w:space="0"/>
              <w:left w:val="single" w:color="000000" w:sz="8" w:space="0"/>
              <w:bottom w:val="single" w:color="000000" w:sz="8" w:space="0"/>
              <w:right w:val="single" w:color="000000" w:sz="8" w:space="0"/>
            </w:tcBorders>
            <w:shd w:val="clear" w:color="auto" w:fill="auto"/>
            <w:tcMar>
              <w:left w:w="108" w:type="dxa"/>
              <w:right w:w="108" w:type="dxa"/>
            </w:tcMar>
            <w:vAlign w:val="center"/>
          </w:tcPr>
          <w:p w14:paraId="1E281FD4">
            <w:pPr>
              <w:widowControl/>
              <w:spacing w:line="500" w:lineRule="exact"/>
              <w:textAlignment w:val="top"/>
              <w:rPr>
                <w:rFonts w:hint="eastAsia" w:ascii="仿宋" w:hAnsi="仿宋"/>
                <w:sz w:val="24"/>
                <w:szCs w:val="24"/>
              </w:rPr>
            </w:pPr>
            <w:r>
              <w:rPr>
                <w:rFonts w:hint="eastAsia" w:ascii="仿宋" w:hAnsi="仿宋"/>
                <w:color w:val="000000"/>
                <w:sz w:val="24"/>
                <w:szCs w:val="24"/>
                <w:lang w:bidi="ar"/>
              </w:rPr>
              <w:t>营业期限</w:t>
            </w:r>
          </w:p>
        </w:tc>
        <w:tc>
          <w:tcPr>
            <w:tcW w:w="5287"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0459D2A6">
            <w:pPr>
              <w:widowControl/>
              <w:spacing w:line="500" w:lineRule="exact"/>
              <w:textAlignment w:val="top"/>
              <w:rPr>
                <w:rFonts w:hint="default" w:ascii="仿宋" w:hAnsi="仿宋" w:eastAsia="仿宋"/>
                <w:sz w:val="24"/>
                <w:szCs w:val="24"/>
                <w:lang w:val="en-US" w:eastAsia="zh-CN"/>
              </w:rPr>
            </w:pPr>
            <w:r>
              <w:rPr>
                <w:rFonts w:hint="eastAsia" w:ascii="仿宋" w:hAnsi="仿宋"/>
                <w:sz w:val="24"/>
                <w:szCs w:val="24"/>
              </w:rPr>
              <w:t>20</w:t>
            </w:r>
            <w:r>
              <w:rPr>
                <w:rFonts w:hint="eastAsia" w:ascii="仿宋" w:hAnsi="仿宋"/>
                <w:sz w:val="24"/>
                <w:szCs w:val="24"/>
                <w:lang w:val="en-US" w:eastAsia="zh-CN"/>
              </w:rPr>
              <w:t>07</w:t>
            </w:r>
            <w:r>
              <w:rPr>
                <w:rFonts w:hint="eastAsia" w:ascii="仿宋" w:hAnsi="仿宋"/>
                <w:sz w:val="24"/>
                <w:szCs w:val="24"/>
              </w:rPr>
              <w:t>-</w:t>
            </w:r>
            <w:r>
              <w:rPr>
                <w:rFonts w:hint="eastAsia" w:ascii="仿宋" w:hAnsi="仿宋"/>
                <w:sz w:val="24"/>
                <w:szCs w:val="24"/>
                <w:lang w:val="en-US" w:eastAsia="zh-CN"/>
              </w:rPr>
              <w:t>08</w:t>
            </w:r>
            <w:r>
              <w:rPr>
                <w:rFonts w:hint="eastAsia" w:ascii="仿宋" w:hAnsi="仿宋"/>
                <w:sz w:val="24"/>
                <w:szCs w:val="24"/>
              </w:rPr>
              <w:t>-</w:t>
            </w:r>
            <w:r>
              <w:rPr>
                <w:rFonts w:hint="eastAsia" w:ascii="仿宋" w:hAnsi="仿宋"/>
                <w:sz w:val="24"/>
                <w:szCs w:val="24"/>
                <w:lang w:val="en-US" w:eastAsia="zh-CN"/>
              </w:rPr>
              <w:t>02</w:t>
            </w:r>
            <w:r>
              <w:rPr>
                <w:rFonts w:hint="eastAsia" w:ascii="仿宋" w:hAnsi="仿宋"/>
                <w:sz w:val="24"/>
                <w:szCs w:val="24"/>
              </w:rPr>
              <w:t>至20</w:t>
            </w:r>
            <w:r>
              <w:rPr>
                <w:rFonts w:hint="eastAsia" w:ascii="仿宋" w:hAnsi="仿宋"/>
                <w:sz w:val="24"/>
                <w:szCs w:val="24"/>
                <w:lang w:val="en-US" w:eastAsia="zh-CN"/>
              </w:rPr>
              <w:t>27</w:t>
            </w:r>
            <w:r>
              <w:rPr>
                <w:rFonts w:hint="eastAsia" w:ascii="仿宋" w:hAnsi="仿宋"/>
                <w:sz w:val="24"/>
                <w:szCs w:val="24"/>
              </w:rPr>
              <w:t>-</w:t>
            </w:r>
            <w:r>
              <w:rPr>
                <w:rFonts w:hint="eastAsia" w:ascii="仿宋" w:hAnsi="仿宋"/>
                <w:sz w:val="24"/>
                <w:szCs w:val="24"/>
                <w:lang w:val="en-US" w:eastAsia="zh-CN"/>
              </w:rPr>
              <w:t>08</w:t>
            </w:r>
            <w:r>
              <w:rPr>
                <w:rFonts w:hint="eastAsia" w:ascii="仿宋" w:hAnsi="仿宋"/>
                <w:sz w:val="24"/>
                <w:szCs w:val="24"/>
              </w:rPr>
              <w:t>-</w:t>
            </w:r>
            <w:r>
              <w:rPr>
                <w:rFonts w:hint="eastAsia" w:ascii="仿宋" w:hAnsi="仿宋"/>
                <w:sz w:val="24"/>
                <w:szCs w:val="24"/>
                <w:lang w:val="en-US" w:eastAsia="zh-CN"/>
              </w:rPr>
              <w:t>01</w:t>
            </w:r>
          </w:p>
        </w:tc>
      </w:tr>
      <w:tr w14:paraId="46EA07A9">
        <w:tblPrEx>
          <w:shd w:val="clear" w:color="auto" w:fill="FFFFFF"/>
          <w:tblCellMar>
            <w:top w:w="0" w:type="dxa"/>
            <w:left w:w="0" w:type="dxa"/>
            <w:bottom w:w="0" w:type="dxa"/>
            <w:right w:w="0" w:type="dxa"/>
          </w:tblCellMar>
        </w:tblPrEx>
        <w:trPr>
          <w:trHeight w:val="283" w:hRule="atLeast"/>
        </w:trPr>
        <w:tc>
          <w:tcPr>
            <w:tcW w:w="3119" w:type="dxa"/>
            <w:tcBorders>
              <w:top w:val="single" w:color="000000" w:sz="8" w:space="0"/>
              <w:left w:val="single" w:color="000000" w:sz="8" w:space="0"/>
              <w:bottom w:val="single" w:color="000000" w:sz="8" w:space="0"/>
              <w:right w:val="single" w:color="000000" w:sz="8" w:space="0"/>
            </w:tcBorders>
            <w:shd w:val="clear" w:color="auto" w:fill="auto"/>
            <w:tcMar>
              <w:left w:w="108" w:type="dxa"/>
              <w:right w:w="108" w:type="dxa"/>
            </w:tcMar>
            <w:vAlign w:val="center"/>
          </w:tcPr>
          <w:p w14:paraId="73B49904">
            <w:pPr>
              <w:widowControl/>
              <w:spacing w:line="500" w:lineRule="exact"/>
              <w:textAlignment w:val="top"/>
              <w:rPr>
                <w:rFonts w:hint="eastAsia" w:ascii="仿宋" w:hAnsi="仿宋"/>
                <w:sz w:val="24"/>
                <w:szCs w:val="24"/>
              </w:rPr>
            </w:pPr>
            <w:r>
              <w:rPr>
                <w:rFonts w:hint="eastAsia" w:ascii="仿宋" w:hAnsi="仿宋"/>
                <w:color w:val="000000"/>
                <w:sz w:val="24"/>
                <w:szCs w:val="24"/>
                <w:lang w:bidi="ar"/>
              </w:rPr>
              <w:t>经营范围</w:t>
            </w:r>
          </w:p>
        </w:tc>
        <w:tc>
          <w:tcPr>
            <w:tcW w:w="5287"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725F23B7">
            <w:pPr>
              <w:widowControl/>
              <w:spacing w:line="500" w:lineRule="exact"/>
              <w:textAlignment w:val="top"/>
              <w:rPr>
                <w:rFonts w:hint="eastAsia" w:ascii="仿宋" w:hAnsi="仿宋"/>
                <w:sz w:val="24"/>
                <w:szCs w:val="24"/>
              </w:rPr>
            </w:pPr>
            <w:r>
              <w:rPr>
                <w:rFonts w:hint="eastAsia" w:ascii="仿宋" w:hAnsi="仿宋"/>
                <w:color w:val="000000"/>
                <w:sz w:val="24"/>
                <w:szCs w:val="24"/>
                <w:lang w:val="en-US" w:eastAsia="zh-CN" w:bidi="ar"/>
              </w:rPr>
              <w:t>销售食品；物业管理；销售日用品、针纺织品、服装、通讯设备、建筑材料、五金交电、电子产品、文具用品；机动车公共停车场管理服务。（领取本执照后，应到区县市政市容委备案。企业依法自主选择经营项目，开展经营活动；依法须经批准的项目，经相关部分批准后依批准的内容开展经营活动；不得从事本市产业政策禁止和限制类项目的经营活动）</w:t>
            </w:r>
            <w:r>
              <w:rPr>
                <w:rFonts w:hint="eastAsia" w:ascii="仿宋" w:hAnsi="仿宋"/>
                <w:color w:val="000000"/>
                <w:sz w:val="24"/>
                <w:szCs w:val="24"/>
                <w:lang w:bidi="ar"/>
              </w:rPr>
              <w:t>。</w:t>
            </w:r>
          </w:p>
        </w:tc>
      </w:tr>
    </w:tbl>
    <w:p w14:paraId="1B34B2B1">
      <w:pPr>
        <w:pStyle w:val="5"/>
        <w:shd w:val="clear" w:color="auto" w:fill="FFFFFF"/>
        <w:spacing w:line="560" w:lineRule="exact"/>
        <w:ind w:firstLine="562" w:firstLineChars="200"/>
        <w:textAlignment w:val="top"/>
        <w:rPr>
          <w:rFonts w:hint="eastAsia" w:ascii="仿宋" w:hAnsi="仿宋"/>
          <w:b/>
          <w:bCs/>
          <w:sz w:val="28"/>
          <w:szCs w:val="28"/>
        </w:rPr>
      </w:pPr>
      <w:r>
        <w:rPr>
          <w:rFonts w:hint="eastAsia" w:ascii="仿宋" w:hAnsi="仿宋"/>
          <w:b/>
          <w:bCs/>
          <w:sz w:val="28"/>
          <w:szCs w:val="28"/>
        </w:rPr>
        <w:t>（二）股权结构情况</w:t>
      </w:r>
    </w:p>
    <w:p w14:paraId="4FB7F10A">
      <w:pPr>
        <w:spacing w:line="560" w:lineRule="exact"/>
        <w:ind w:firstLine="560" w:firstLineChars="200"/>
        <w:rPr>
          <w:rFonts w:hint="eastAsia" w:ascii="仿宋" w:hAnsi="仿宋"/>
          <w:sz w:val="28"/>
          <w:szCs w:val="28"/>
        </w:rPr>
      </w:pPr>
      <w:r>
        <w:rPr>
          <w:rFonts w:hint="eastAsia" w:ascii="仿宋" w:hAnsi="仿宋"/>
          <w:sz w:val="28"/>
          <w:szCs w:val="28"/>
          <w:lang w:eastAsia="zh-CN"/>
        </w:rPr>
        <w:t>中广兴业公司</w:t>
      </w:r>
      <w:r>
        <w:rPr>
          <w:rFonts w:hint="eastAsia" w:ascii="仿宋" w:hAnsi="仿宋"/>
          <w:sz w:val="28"/>
          <w:szCs w:val="28"/>
        </w:rPr>
        <w:t>股东共有</w:t>
      </w:r>
      <w:r>
        <w:rPr>
          <w:rFonts w:hint="eastAsia" w:ascii="仿宋" w:hAnsi="仿宋"/>
          <w:sz w:val="28"/>
          <w:szCs w:val="28"/>
          <w:lang w:val="en-US" w:eastAsia="zh-CN"/>
        </w:rPr>
        <w:t>3</w:t>
      </w:r>
      <w:r>
        <w:rPr>
          <w:rFonts w:hint="eastAsia" w:ascii="仿宋" w:hAnsi="仿宋"/>
          <w:sz w:val="28"/>
          <w:szCs w:val="28"/>
        </w:rPr>
        <w:t>人，具体股东及股权结构如下：</w:t>
      </w:r>
    </w:p>
    <w:p w14:paraId="5EA6E413">
      <w:pPr>
        <w:spacing w:line="560" w:lineRule="exact"/>
        <w:ind w:firstLine="560" w:firstLineChars="200"/>
        <w:rPr>
          <w:rFonts w:hint="eastAsia" w:ascii="仿宋" w:hAnsi="仿宋"/>
          <w:sz w:val="28"/>
          <w:szCs w:val="28"/>
        </w:rPr>
      </w:pPr>
      <w:r>
        <w:rPr>
          <w:rFonts w:hint="eastAsia" w:ascii="仿宋" w:hAnsi="仿宋"/>
          <w:sz w:val="28"/>
          <w:szCs w:val="28"/>
        </w:rPr>
        <w:t>1.</w:t>
      </w:r>
      <w:r>
        <w:rPr>
          <w:rFonts w:hint="eastAsia" w:ascii="仿宋" w:hAnsi="仿宋"/>
          <w:sz w:val="28"/>
          <w:szCs w:val="28"/>
          <w:lang w:val="en-US" w:eastAsia="zh-CN"/>
        </w:rPr>
        <w:t>梁桂生</w:t>
      </w:r>
      <w:r>
        <w:rPr>
          <w:rFonts w:hint="eastAsia" w:ascii="仿宋" w:hAnsi="仿宋"/>
          <w:sz w:val="28"/>
          <w:szCs w:val="28"/>
        </w:rPr>
        <w:t>，认缴出资额</w:t>
      </w:r>
      <w:r>
        <w:rPr>
          <w:rFonts w:hint="eastAsia" w:ascii="仿宋" w:hAnsi="仿宋"/>
          <w:sz w:val="28"/>
          <w:szCs w:val="28"/>
          <w:lang w:val="en-US" w:eastAsia="zh-CN"/>
        </w:rPr>
        <w:t>40</w:t>
      </w:r>
      <w:r>
        <w:rPr>
          <w:rFonts w:hint="eastAsia" w:ascii="仿宋" w:hAnsi="仿宋"/>
          <w:sz w:val="28"/>
          <w:szCs w:val="28"/>
        </w:rPr>
        <w:t>万元，持股比例</w:t>
      </w:r>
      <w:r>
        <w:rPr>
          <w:rFonts w:hint="eastAsia" w:ascii="仿宋" w:hAnsi="仿宋"/>
          <w:sz w:val="28"/>
          <w:szCs w:val="28"/>
          <w:lang w:val="en-US" w:eastAsia="zh-CN"/>
        </w:rPr>
        <w:t>40</w:t>
      </w:r>
      <w:r>
        <w:rPr>
          <w:rFonts w:hint="eastAsia" w:ascii="仿宋" w:hAnsi="仿宋"/>
          <w:sz w:val="28"/>
          <w:szCs w:val="28"/>
        </w:rPr>
        <w:t>%；</w:t>
      </w:r>
    </w:p>
    <w:p w14:paraId="438885C4">
      <w:pPr>
        <w:spacing w:line="560" w:lineRule="exact"/>
        <w:ind w:firstLine="560" w:firstLineChars="200"/>
        <w:rPr>
          <w:rFonts w:hint="eastAsia" w:ascii="仿宋" w:hAnsi="仿宋"/>
          <w:sz w:val="28"/>
          <w:szCs w:val="28"/>
        </w:rPr>
      </w:pPr>
      <w:r>
        <w:rPr>
          <w:rFonts w:hint="eastAsia" w:ascii="仿宋" w:hAnsi="仿宋"/>
          <w:sz w:val="28"/>
          <w:szCs w:val="28"/>
        </w:rPr>
        <w:t>2.</w:t>
      </w:r>
      <w:r>
        <w:rPr>
          <w:rFonts w:hint="eastAsia" w:ascii="仿宋" w:hAnsi="仿宋"/>
          <w:sz w:val="28"/>
          <w:szCs w:val="28"/>
          <w:lang w:val="en-US" w:eastAsia="zh-CN"/>
        </w:rPr>
        <w:t>郭镐南</w:t>
      </w:r>
      <w:r>
        <w:rPr>
          <w:rFonts w:hint="eastAsia" w:ascii="仿宋" w:hAnsi="仿宋"/>
          <w:sz w:val="28"/>
          <w:szCs w:val="28"/>
        </w:rPr>
        <w:t>，认缴出资额</w:t>
      </w:r>
      <w:r>
        <w:rPr>
          <w:rFonts w:hint="eastAsia" w:ascii="仿宋" w:hAnsi="仿宋"/>
          <w:sz w:val="28"/>
          <w:szCs w:val="28"/>
          <w:lang w:val="en-US" w:eastAsia="zh-CN"/>
        </w:rPr>
        <w:t>30</w:t>
      </w:r>
      <w:r>
        <w:rPr>
          <w:rFonts w:hint="eastAsia" w:ascii="仿宋" w:hAnsi="仿宋"/>
          <w:sz w:val="28"/>
          <w:szCs w:val="28"/>
        </w:rPr>
        <w:t>万元，持股比例</w:t>
      </w:r>
      <w:r>
        <w:rPr>
          <w:rFonts w:hint="eastAsia" w:ascii="仿宋" w:hAnsi="仿宋"/>
          <w:sz w:val="28"/>
          <w:szCs w:val="28"/>
          <w:lang w:val="en-US" w:eastAsia="zh-CN"/>
        </w:rPr>
        <w:t>30</w:t>
      </w:r>
      <w:r>
        <w:rPr>
          <w:rFonts w:hint="eastAsia" w:ascii="仿宋" w:hAnsi="仿宋"/>
          <w:sz w:val="28"/>
          <w:szCs w:val="28"/>
        </w:rPr>
        <w:t>%；</w:t>
      </w:r>
    </w:p>
    <w:p w14:paraId="67809A60">
      <w:pPr>
        <w:spacing w:line="560" w:lineRule="exact"/>
        <w:ind w:firstLine="560" w:firstLineChars="200"/>
        <w:rPr>
          <w:rFonts w:hint="eastAsia" w:ascii="仿宋" w:hAnsi="仿宋"/>
          <w:sz w:val="28"/>
          <w:szCs w:val="28"/>
        </w:rPr>
      </w:pPr>
      <w:r>
        <w:rPr>
          <w:rFonts w:hint="eastAsia" w:ascii="仿宋" w:hAnsi="仿宋"/>
          <w:sz w:val="28"/>
          <w:szCs w:val="28"/>
        </w:rPr>
        <w:t>3.</w:t>
      </w:r>
      <w:r>
        <w:rPr>
          <w:rFonts w:hint="eastAsia" w:ascii="仿宋" w:hAnsi="仿宋"/>
          <w:sz w:val="28"/>
          <w:szCs w:val="28"/>
          <w:lang w:val="en-US" w:eastAsia="zh-CN"/>
        </w:rPr>
        <w:t>常金杰</w:t>
      </w:r>
      <w:r>
        <w:rPr>
          <w:rFonts w:hint="eastAsia" w:ascii="仿宋" w:hAnsi="仿宋"/>
          <w:sz w:val="28"/>
          <w:szCs w:val="28"/>
        </w:rPr>
        <w:t>，认缴出资额</w:t>
      </w:r>
      <w:r>
        <w:rPr>
          <w:rFonts w:hint="eastAsia" w:ascii="仿宋" w:hAnsi="仿宋"/>
          <w:sz w:val="28"/>
          <w:szCs w:val="28"/>
          <w:lang w:val="en-US" w:eastAsia="zh-CN"/>
        </w:rPr>
        <w:t>30</w:t>
      </w:r>
      <w:r>
        <w:rPr>
          <w:rFonts w:hint="eastAsia" w:ascii="仿宋" w:hAnsi="仿宋"/>
          <w:sz w:val="28"/>
          <w:szCs w:val="28"/>
        </w:rPr>
        <w:t>万元，持股比例</w:t>
      </w:r>
      <w:r>
        <w:rPr>
          <w:rFonts w:hint="eastAsia" w:ascii="仿宋" w:hAnsi="仿宋"/>
          <w:sz w:val="28"/>
          <w:szCs w:val="28"/>
          <w:lang w:val="en-US" w:eastAsia="zh-CN"/>
        </w:rPr>
        <w:t>30</w:t>
      </w:r>
      <w:r>
        <w:rPr>
          <w:rFonts w:hint="eastAsia" w:ascii="仿宋" w:hAnsi="仿宋"/>
          <w:sz w:val="28"/>
          <w:szCs w:val="28"/>
        </w:rPr>
        <w:t>%</w:t>
      </w:r>
      <w:r>
        <w:rPr>
          <w:rFonts w:hint="eastAsia" w:ascii="仿宋" w:hAnsi="仿宋"/>
          <w:sz w:val="28"/>
          <w:szCs w:val="28"/>
          <w:lang w:eastAsia="zh-CN"/>
        </w:rPr>
        <w:t>。</w:t>
      </w:r>
    </w:p>
    <w:p w14:paraId="09429FF8">
      <w:pPr>
        <w:ind w:firstLine="560"/>
        <w:rPr>
          <w:rFonts w:hint="eastAsia" w:ascii="仿宋" w:hAnsi="仿宋"/>
          <w:b/>
          <w:bCs/>
          <w:color w:val="000000"/>
          <w:sz w:val="28"/>
          <w:szCs w:val="28"/>
          <w:shd w:val="clear" w:color="auto" w:fill="FFFFFF"/>
        </w:rPr>
      </w:pPr>
      <w:r>
        <w:rPr>
          <w:rFonts w:hint="eastAsia" w:ascii="仿宋" w:hAnsi="仿宋"/>
          <w:b/>
          <w:bCs/>
          <w:color w:val="000000"/>
          <w:sz w:val="28"/>
          <w:szCs w:val="28"/>
          <w:shd w:val="clear" w:color="auto" w:fill="FFFFFF"/>
        </w:rPr>
        <w:t>（三）资产负债情况</w:t>
      </w:r>
    </w:p>
    <w:p w14:paraId="5AC9160F">
      <w:pPr>
        <w:pStyle w:val="5"/>
        <w:shd w:val="clear" w:color="auto" w:fill="FFFFFF"/>
        <w:spacing w:line="560" w:lineRule="exact"/>
        <w:ind w:firstLine="560" w:firstLineChars="200"/>
        <w:textAlignment w:val="top"/>
        <w:rPr>
          <w:rFonts w:hint="default" w:ascii="仿宋" w:hAnsi="仿宋"/>
          <w:color w:val="000000"/>
          <w:sz w:val="28"/>
          <w:szCs w:val="28"/>
          <w:shd w:val="clear" w:color="auto" w:fill="FFFFFF"/>
          <w:lang w:val="en-US" w:eastAsia="zh-CN"/>
        </w:rPr>
      </w:pPr>
      <w:r>
        <w:rPr>
          <w:rFonts w:hint="eastAsia" w:ascii="仿宋" w:hAnsi="仿宋"/>
          <w:color w:val="000000"/>
          <w:sz w:val="28"/>
          <w:szCs w:val="28"/>
          <w:shd w:val="clear" w:color="auto" w:fill="FFFFFF"/>
          <w:lang w:val="en-US" w:eastAsia="zh-CN" w:bidi="ar"/>
        </w:rPr>
        <w:t>根据管理人调取的档案材料，中广兴业公司主要资产为享有海淀区学院路乙9号院1号楼房屋的经营权和收益权（截至日期为2062年5月2日），</w:t>
      </w:r>
      <w:r>
        <w:rPr>
          <w:rFonts w:hint="eastAsia" w:ascii="仿宋" w:hAnsi="仿宋"/>
          <w:color w:val="000000"/>
          <w:sz w:val="28"/>
          <w:szCs w:val="28"/>
          <w:shd w:val="clear" w:color="auto" w:fill="FFFFFF"/>
          <w:lang w:val="en-US" w:eastAsia="zh-CN"/>
        </w:rPr>
        <w:t>该房屋东至学院路，南至学院路甲9号，西至中国矿业大学，北至弘彧大厦。周边有弘彧大厦、金码大厦、六所大厦等办公项目，办公聚集程度较好；有嘻番里购物中心、办公底商等商业项目，商业繁华度较好；有多条公交线路及地铁15号线、昌平线六道口站，交通便捷度较好；</w:t>
      </w:r>
    </w:p>
    <w:p w14:paraId="77BFFE38">
      <w:pPr>
        <w:shd w:val="clear" w:color="auto" w:fill="FFFFFF"/>
        <w:spacing w:line="560" w:lineRule="exact"/>
        <w:ind w:firstLine="560" w:firstLineChars="200"/>
        <w:textAlignment w:val="top"/>
        <w:rPr>
          <w:rFonts w:hint="eastAsia" w:ascii="仿宋" w:hAnsi="仿宋"/>
          <w:color w:val="000000"/>
          <w:sz w:val="28"/>
          <w:szCs w:val="28"/>
          <w:shd w:val="clear" w:color="auto" w:fill="FFFFFF"/>
          <w:lang w:bidi="ar"/>
        </w:rPr>
      </w:pPr>
      <w:r>
        <w:rPr>
          <w:rFonts w:hint="eastAsia" w:ascii="仿宋" w:hAnsi="仿宋"/>
          <w:color w:val="000000"/>
          <w:sz w:val="28"/>
          <w:szCs w:val="28"/>
          <w:shd w:val="clear" w:color="auto" w:fill="FFFFFF"/>
          <w:lang w:val="en-US" w:eastAsia="zh-CN" w:bidi="ar"/>
        </w:rPr>
        <w:t>根据债权申报情况，中广兴业公司负债总额为2.83亿元，最终以</w:t>
      </w:r>
      <w:r>
        <w:rPr>
          <w:rFonts w:hint="eastAsia" w:ascii="仿宋" w:hAnsi="仿宋"/>
          <w:color w:val="000000"/>
          <w:sz w:val="28"/>
          <w:szCs w:val="28"/>
          <w:shd w:val="clear" w:color="auto" w:fill="FFFFFF"/>
          <w:lang w:bidi="ar"/>
        </w:rPr>
        <w:t>管理人审查确认的债权数据为准。</w:t>
      </w:r>
    </w:p>
    <w:p w14:paraId="1F76CCDD">
      <w:pPr>
        <w:pStyle w:val="5"/>
        <w:shd w:val="clear" w:color="auto" w:fill="FFFFFF"/>
        <w:spacing w:line="560" w:lineRule="exact"/>
        <w:ind w:firstLine="562" w:firstLineChars="200"/>
        <w:textAlignment w:val="top"/>
        <w:rPr>
          <w:rFonts w:hint="eastAsia" w:ascii="楷体" w:hAnsi="楷体" w:eastAsia="楷体" w:cs="楷体"/>
          <w:color w:val="000000"/>
          <w:sz w:val="28"/>
          <w:szCs w:val="28"/>
        </w:rPr>
      </w:pPr>
      <w:r>
        <w:rPr>
          <w:rFonts w:hint="eastAsia" w:ascii="楷体" w:hAnsi="楷体" w:eastAsia="楷体" w:cs="楷体"/>
          <w:b/>
          <w:bCs/>
          <w:color w:val="000000"/>
          <w:sz w:val="28"/>
          <w:szCs w:val="28"/>
          <w:shd w:val="clear" w:color="auto" w:fill="FFFFFF"/>
        </w:rPr>
        <w:t>三、预招募目的及条件</w:t>
      </w:r>
    </w:p>
    <w:p w14:paraId="5B02493A">
      <w:pPr>
        <w:pStyle w:val="5"/>
        <w:shd w:val="clear" w:color="auto" w:fill="FFFFFF"/>
        <w:spacing w:line="560" w:lineRule="exact"/>
        <w:ind w:firstLine="562" w:firstLineChars="200"/>
        <w:textAlignment w:val="top"/>
        <w:rPr>
          <w:rFonts w:hint="eastAsia" w:ascii="仿宋" w:hAnsi="仿宋"/>
          <w:color w:val="000000"/>
          <w:sz w:val="28"/>
          <w:szCs w:val="28"/>
        </w:rPr>
      </w:pPr>
      <w:r>
        <w:rPr>
          <w:rFonts w:hint="eastAsia" w:ascii="仿宋" w:hAnsi="仿宋"/>
          <w:b/>
          <w:bCs/>
          <w:color w:val="000000"/>
          <w:sz w:val="28"/>
          <w:szCs w:val="28"/>
          <w:shd w:val="clear" w:color="auto" w:fill="FFFFFF"/>
        </w:rPr>
        <w:t>（一）预招募目的</w:t>
      </w:r>
    </w:p>
    <w:p w14:paraId="01C00C3E">
      <w:pPr>
        <w:shd w:val="clear" w:color="auto" w:fill="FFFFFF"/>
        <w:spacing w:line="56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lang w:bidi="ar"/>
        </w:rPr>
        <w:t>通过预招募意向投资方，对债务人名下的资产进行重整，以恢复其经营活力，实现资产的保值增值，保障债权人的合法权益。</w:t>
      </w:r>
    </w:p>
    <w:p w14:paraId="3FA255A7">
      <w:pPr>
        <w:pStyle w:val="5"/>
        <w:shd w:val="clear" w:color="auto" w:fill="FFFFFF"/>
        <w:spacing w:line="560" w:lineRule="exact"/>
        <w:ind w:firstLine="562" w:firstLineChars="200"/>
        <w:textAlignment w:val="top"/>
        <w:rPr>
          <w:rFonts w:hint="eastAsia" w:ascii="仿宋" w:hAnsi="仿宋"/>
          <w:color w:val="000000"/>
          <w:sz w:val="28"/>
          <w:szCs w:val="28"/>
        </w:rPr>
      </w:pPr>
      <w:r>
        <w:rPr>
          <w:rFonts w:hint="eastAsia" w:ascii="仿宋" w:hAnsi="仿宋"/>
          <w:b/>
          <w:bCs/>
          <w:color w:val="000000"/>
          <w:sz w:val="28"/>
          <w:szCs w:val="28"/>
          <w:shd w:val="clear" w:color="auto" w:fill="FFFFFF"/>
        </w:rPr>
        <w:t>（二）预招募条件</w:t>
      </w:r>
    </w:p>
    <w:p w14:paraId="51BCCB2D">
      <w:pPr>
        <w:shd w:val="clear" w:color="auto" w:fill="FFFFFF"/>
        <w:spacing w:line="56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lang w:bidi="ar"/>
        </w:rPr>
        <w:t>管理人秉持公平、公开、公正的基本原则预招募意向投资人，意向投资人至少须具备以下条件：</w:t>
      </w:r>
    </w:p>
    <w:p w14:paraId="52CB5038">
      <w:pPr>
        <w:pStyle w:val="5"/>
        <w:shd w:val="clear" w:color="auto" w:fill="FFFFFF"/>
        <w:spacing w:line="56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rPr>
        <w:t>1.意向投资人应当是依法成立且有效存续的企业法人或非法人组织等主体。</w:t>
      </w:r>
    </w:p>
    <w:p w14:paraId="5CD14A23">
      <w:pPr>
        <w:pStyle w:val="5"/>
        <w:shd w:val="clear" w:color="auto" w:fill="FFFFFF"/>
        <w:spacing w:line="560" w:lineRule="exact"/>
        <w:ind w:firstLine="560" w:firstLineChars="200"/>
        <w:textAlignment w:val="top"/>
        <w:rPr>
          <w:rFonts w:hint="eastAsia" w:ascii="仿宋" w:hAnsi="仿宋"/>
          <w:color w:val="000000"/>
          <w:sz w:val="28"/>
          <w:szCs w:val="28"/>
          <w:shd w:val="clear" w:color="auto" w:fill="FFFFFF"/>
        </w:rPr>
      </w:pPr>
      <w:r>
        <w:rPr>
          <w:rFonts w:hint="eastAsia" w:ascii="仿宋" w:hAnsi="仿宋"/>
          <w:color w:val="000000"/>
          <w:sz w:val="28"/>
          <w:szCs w:val="28"/>
          <w:shd w:val="clear" w:color="auto" w:fill="FFFFFF"/>
        </w:rPr>
        <w:t>2.意向投资人应具有良好的信用记录，未被人民法院列入失信被执行人名单，最近三年（自202</w:t>
      </w:r>
      <w:r>
        <w:rPr>
          <w:rFonts w:hint="eastAsia" w:ascii="仿宋" w:hAnsi="仿宋"/>
          <w:color w:val="000000"/>
          <w:sz w:val="28"/>
          <w:szCs w:val="28"/>
          <w:shd w:val="clear" w:color="auto" w:fill="FFFFFF"/>
          <w:lang w:val="en-US" w:eastAsia="zh-CN"/>
        </w:rPr>
        <w:t>2</w:t>
      </w:r>
      <w:r>
        <w:rPr>
          <w:rFonts w:hint="eastAsia" w:ascii="仿宋" w:hAnsi="仿宋"/>
          <w:color w:val="000000"/>
          <w:sz w:val="28"/>
          <w:szCs w:val="28"/>
          <w:shd w:val="clear" w:color="auto" w:fill="FFFFFF"/>
        </w:rPr>
        <w:t>年1</w:t>
      </w:r>
      <w:r>
        <w:rPr>
          <w:rFonts w:hint="eastAsia" w:ascii="仿宋" w:hAnsi="仿宋"/>
          <w:color w:val="000000"/>
          <w:sz w:val="28"/>
          <w:szCs w:val="28"/>
          <w:shd w:val="clear" w:color="auto" w:fill="FFFFFF"/>
          <w:lang w:val="en-US" w:eastAsia="zh-CN"/>
        </w:rPr>
        <w:t>0</w:t>
      </w:r>
      <w:r>
        <w:rPr>
          <w:rFonts w:hint="eastAsia" w:ascii="仿宋" w:hAnsi="仿宋"/>
          <w:color w:val="000000"/>
          <w:sz w:val="28"/>
          <w:szCs w:val="28"/>
          <w:shd w:val="clear" w:color="auto" w:fill="FFFFFF"/>
        </w:rPr>
        <w:t>月1日起算）无重大违法行为</w:t>
      </w:r>
      <w:r>
        <w:rPr>
          <w:rFonts w:hint="eastAsia" w:ascii="仿宋" w:hAnsi="仿宋"/>
          <w:color w:val="000000"/>
          <w:sz w:val="28"/>
          <w:szCs w:val="28"/>
          <w:shd w:val="clear" w:color="auto" w:fill="FFFFFF"/>
          <w:lang w:val="en-US" w:eastAsia="zh-CN"/>
        </w:rPr>
        <w:t>亦</w:t>
      </w:r>
      <w:r>
        <w:rPr>
          <w:rFonts w:hint="eastAsia" w:ascii="仿宋" w:hAnsi="仿宋"/>
          <w:color w:val="000000"/>
          <w:sz w:val="28"/>
          <w:szCs w:val="28"/>
          <w:shd w:val="clear" w:color="auto" w:fill="FFFFFF"/>
        </w:rPr>
        <w:t>未涉嫌重大违法行为，不属于失信联合惩戒对象，未被市场监督管理部门列入企业经营异常名单。若报名机构为存续三年以下（含）企业法人，应按实际成立年限出具承诺。</w:t>
      </w:r>
    </w:p>
    <w:p w14:paraId="6415F9BA">
      <w:pPr>
        <w:pStyle w:val="5"/>
        <w:shd w:val="clear" w:color="auto" w:fill="FFFFFF"/>
        <w:spacing w:line="560" w:lineRule="exact"/>
        <w:ind w:firstLine="560" w:firstLineChars="200"/>
        <w:textAlignment w:val="top"/>
        <w:rPr>
          <w:rFonts w:hint="eastAsia" w:ascii="仿宋" w:hAnsi="仿宋"/>
          <w:color w:val="000000"/>
          <w:sz w:val="28"/>
          <w:szCs w:val="28"/>
          <w:highlight w:val="none"/>
          <w:shd w:val="clear" w:color="auto" w:fill="FFFFFF"/>
        </w:rPr>
      </w:pPr>
      <w:r>
        <w:rPr>
          <w:rFonts w:hint="eastAsia" w:ascii="仿宋" w:hAnsi="仿宋"/>
          <w:color w:val="000000"/>
          <w:sz w:val="28"/>
          <w:szCs w:val="28"/>
          <w:shd w:val="clear" w:color="auto" w:fill="FFFFFF"/>
        </w:rPr>
        <w:t>3.意向投资人</w:t>
      </w:r>
      <w:r>
        <w:rPr>
          <w:rFonts w:hint="eastAsia" w:ascii="仿宋" w:hAnsi="仿宋"/>
          <w:color w:val="000000"/>
          <w:sz w:val="28"/>
          <w:szCs w:val="28"/>
          <w:highlight w:val="none"/>
          <w:shd w:val="clear" w:color="auto" w:fill="FFFFFF"/>
        </w:rPr>
        <w:t>应在报名截止日前向本公告中列明的管理人账户足额缴纳尽调保证金人民币</w:t>
      </w:r>
      <w:r>
        <w:rPr>
          <w:rFonts w:hint="eastAsia" w:ascii="仿宋" w:hAnsi="仿宋"/>
          <w:color w:val="000000"/>
          <w:sz w:val="28"/>
          <w:szCs w:val="28"/>
          <w:highlight w:val="none"/>
          <w:shd w:val="clear" w:color="auto" w:fill="FFFFFF"/>
          <w:lang w:val="en-US" w:eastAsia="zh-CN"/>
        </w:rPr>
        <w:t>壹佰</w:t>
      </w:r>
      <w:r>
        <w:rPr>
          <w:rFonts w:hint="eastAsia" w:ascii="仿宋" w:hAnsi="仿宋"/>
          <w:color w:val="000000"/>
          <w:sz w:val="28"/>
          <w:szCs w:val="28"/>
          <w:highlight w:val="none"/>
          <w:shd w:val="clear" w:color="auto" w:fill="FFFFFF"/>
        </w:rPr>
        <w:t>万元。</w:t>
      </w:r>
    </w:p>
    <w:p w14:paraId="3A1A4CAE">
      <w:pPr>
        <w:pStyle w:val="5"/>
        <w:shd w:val="clear" w:color="auto" w:fill="FFFFFF"/>
        <w:spacing w:line="560" w:lineRule="exact"/>
        <w:ind w:firstLine="560" w:firstLineChars="200"/>
        <w:textAlignment w:val="top"/>
        <w:rPr>
          <w:rFonts w:hint="eastAsia" w:ascii="仿宋" w:hAnsi="仿宋"/>
          <w:color w:val="000000"/>
          <w:sz w:val="28"/>
          <w:szCs w:val="28"/>
          <w:highlight w:val="none"/>
          <w:shd w:val="clear" w:color="auto" w:fill="FFFFFF"/>
        </w:rPr>
      </w:pPr>
      <w:r>
        <w:rPr>
          <w:rFonts w:hint="eastAsia" w:ascii="仿宋" w:hAnsi="仿宋"/>
          <w:color w:val="000000"/>
          <w:sz w:val="28"/>
          <w:szCs w:val="28"/>
          <w:highlight w:val="none"/>
          <w:shd w:val="clear" w:color="auto" w:fill="FFFFFF"/>
        </w:rPr>
        <w:t>4.意向投资人应在提交书面《重整投资方案》前向本公告中列明的管理人账户足额缴纳报名保证金人民币</w:t>
      </w:r>
      <w:r>
        <w:rPr>
          <w:rFonts w:hint="eastAsia" w:ascii="仿宋" w:hAnsi="仿宋"/>
          <w:color w:val="000000"/>
          <w:sz w:val="28"/>
          <w:szCs w:val="28"/>
          <w:highlight w:val="none"/>
          <w:shd w:val="clear" w:color="auto" w:fill="FFFFFF"/>
          <w:lang w:val="en-US" w:eastAsia="zh-CN"/>
        </w:rPr>
        <w:t>壹仟</w:t>
      </w:r>
      <w:r>
        <w:rPr>
          <w:rFonts w:hint="eastAsia" w:ascii="仿宋" w:hAnsi="仿宋"/>
          <w:color w:val="000000"/>
          <w:sz w:val="28"/>
          <w:szCs w:val="28"/>
          <w:highlight w:val="none"/>
          <w:shd w:val="clear" w:color="auto" w:fill="FFFFFF"/>
        </w:rPr>
        <w:t>万元，同时尽调保证金转化为报名保证金，其余报名保证金由意向投资人在期限内补足。</w:t>
      </w:r>
    </w:p>
    <w:p w14:paraId="1DFC8F92">
      <w:pPr>
        <w:pStyle w:val="5"/>
        <w:shd w:val="clear" w:color="auto" w:fill="FFFFFF"/>
        <w:spacing w:line="560" w:lineRule="exact"/>
        <w:ind w:firstLine="560" w:firstLineChars="200"/>
        <w:textAlignment w:val="top"/>
        <w:rPr>
          <w:rFonts w:hint="eastAsia" w:ascii="仿宋" w:hAnsi="仿宋"/>
          <w:color w:val="000000"/>
          <w:sz w:val="28"/>
          <w:szCs w:val="28"/>
          <w:highlight w:val="none"/>
          <w:shd w:val="clear" w:color="auto" w:fill="FFFFFF"/>
        </w:rPr>
      </w:pPr>
      <w:r>
        <w:rPr>
          <w:rFonts w:hint="eastAsia" w:ascii="仿宋" w:hAnsi="仿宋"/>
          <w:color w:val="000000"/>
          <w:sz w:val="28"/>
          <w:szCs w:val="28"/>
          <w:highlight w:val="none"/>
          <w:shd w:val="clear" w:color="auto" w:fill="FFFFFF"/>
        </w:rPr>
        <w:t>5.意向投资人以联合体形式参与遴选的，其中任一投资人均需符合上述第1、2项条件且须明确联合体中各方角色。</w:t>
      </w:r>
    </w:p>
    <w:p w14:paraId="7D1C9E24">
      <w:pPr>
        <w:pStyle w:val="5"/>
        <w:shd w:val="clear" w:color="auto" w:fill="FFFFFF"/>
        <w:spacing w:line="540" w:lineRule="exact"/>
        <w:ind w:firstLine="562" w:firstLineChars="200"/>
        <w:textAlignment w:val="top"/>
        <w:rPr>
          <w:rFonts w:hint="eastAsia" w:ascii="楷体" w:hAnsi="楷体" w:eastAsia="楷体" w:cs="楷体"/>
          <w:color w:val="000000"/>
          <w:sz w:val="28"/>
          <w:szCs w:val="28"/>
          <w:highlight w:val="none"/>
        </w:rPr>
      </w:pPr>
      <w:r>
        <w:rPr>
          <w:rFonts w:hint="eastAsia" w:ascii="楷体" w:hAnsi="楷体" w:eastAsia="楷体" w:cs="楷体"/>
          <w:b/>
          <w:bCs/>
          <w:color w:val="000000"/>
          <w:sz w:val="28"/>
          <w:szCs w:val="28"/>
          <w:highlight w:val="none"/>
          <w:shd w:val="clear" w:color="auto" w:fill="FFFFFF"/>
        </w:rPr>
        <w:t>四、预招募流程</w:t>
      </w:r>
    </w:p>
    <w:p w14:paraId="4DEBBD91">
      <w:pPr>
        <w:pStyle w:val="5"/>
        <w:shd w:val="clear" w:color="auto" w:fill="FFFFFF"/>
        <w:spacing w:line="540" w:lineRule="exact"/>
        <w:ind w:firstLine="562" w:firstLineChars="200"/>
        <w:textAlignment w:val="top"/>
        <w:rPr>
          <w:rFonts w:hint="eastAsia" w:ascii="仿宋" w:hAnsi="仿宋"/>
          <w:color w:val="000000"/>
          <w:sz w:val="28"/>
          <w:szCs w:val="28"/>
          <w:highlight w:val="none"/>
        </w:rPr>
      </w:pPr>
      <w:r>
        <w:rPr>
          <w:rFonts w:hint="eastAsia" w:ascii="仿宋" w:hAnsi="仿宋"/>
          <w:b/>
          <w:bCs/>
          <w:color w:val="000000"/>
          <w:sz w:val="28"/>
          <w:szCs w:val="28"/>
          <w:highlight w:val="none"/>
          <w:shd w:val="clear" w:color="auto" w:fill="FFFFFF"/>
        </w:rPr>
        <w:t>（一）报名</w:t>
      </w:r>
    </w:p>
    <w:p w14:paraId="67D4527E">
      <w:pPr>
        <w:pStyle w:val="5"/>
        <w:shd w:val="clear" w:color="auto" w:fill="FFFFFF"/>
        <w:spacing w:line="540" w:lineRule="exact"/>
        <w:ind w:firstLine="560" w:firstLineChars="200"/>
        <w:textAlignment w:val="top"/>
        <w:rPr>
          <w:rFonts w:hint="eastAsia" w:ascii="仿宋" w:hAnsi="仿宋"/>
          <w:color w:val="000000"/>
          <w:sz w:val="28"/>
          <w:szCs w:val="28"/>
          <w:highlight w:val="none"/>
        </w:rPr>
      </w:pPr>
      <w:r>
        <w:rPr>
          <w:rFonts w:hint="eastAsia" w:ascii="仿宋" w:hAnsi="仿宋"/>
          <w:color w:val="000000"/>
          <w:sz w:val="28"/>
          <w:szCs w:val="28"/>
          <w:highlight w:val="none"/>
          <w:shd w:val="clear" w:color="auto" w:fill="FFFFFF"/>
        </w:rPr>
        <w:t>1.报名时间</w:t>
      </w:r>
    </w:p>
    <w:p w14:paraId="576D9E6A">
      <w:pPr>
        <w:shd w:val="clear" w:color="auto" w:fill="FFFFFF"/>
        <w:spacing w:line="540" w:lineRule="exact"/>
        <w:ind w:firstLine="560" w:firstLineChars="200"/>
        <w:textAlignment w:val="top"/>
        <w:rPr>
          <w:rFonts w:hint="eastAsia" w:ascii="仿宋" w:hAnsi="仿宋"/>
          <w:color w:val="000000"/>
          <w:sz w:val="28"/>
          <w:szCs w:val="28"/>
          <w:highlight w:val="none"/>
        </w:rPr>
      </w:pPr>
      <w:r>
        <w:rPr>
          <w:rFonts w:hint="eastAsia" w:ascii="仿宋" w:hAnsi="仿宋"/>
          <w:color w:val="000000"/>
          <w:sz w:val="28"/>
          <w:szCs w:val="28"/>
          <w:highlight w:val="none"/>
          <w:shd w:val="clear" w:color="auto" w:fill="FFFFFF"/>
          <w:lang w:bidi="ar"/>
        </w:rPr>
        <w:t>意向投资人应当于本公告发布之日起至</w:t>
      </w:r>
      <w:r>
        <w:rPr>
          <w:rFonts w:hint="eastAsia" w:ascii="仿宋" w:hAnsi="仿宋"/>
          <w:color w:val="000000"/>
          <w:sz w:val="28"/>
          <w:szCs w:val="28"/>
          <w:highlight w:val="none"/>
          <w:u w:val="single"/>
          <w:shd w:val="clear" w:color="auto" w:fill="FFFFFF"/>
          <w:lang w:bidi="ar"/>
        </w:rPr>
        <w:t>2025年</w:t>
      </w:r>
      <w:r>
        <w:rPr>
          <w:rFonts w:hint="eastAsia" w:ascii="仿宋" w:hAnsi="仿宋"/>
          <w:color w:val="000000"/>
          <w:sz w:val="28"/>
          <w:szCs w:val="28"/>
          <w:highlight w:val="none"/>
          <w:u w:val="single"/>
          <w:shd w:val="clear" w:color="auto" w:fill="FFFFFF"/>
          <w:lang w:val="en-US" w:eastAsia="zh-CN" w:bidi="ar"/>
        </w:rPr>
        <w:t>11</w:t>
      </w:r>
      <w:r>
        <w:rPr>
          <w:rFonts w:hint="eastAsia" w:ascii="仿宋" w:hAnsi="仿宋"/>
          <w:color w:val="000000"/>
          <w:sz w:val="28"/>
          <w:szCs w:val="28"/>
          <w:highlight w:val="none"/>
          <w:u w:val="single"/>
          <w:shd w:val="clear" w:color="auto" w:fill="FFFFFF"/>
          <w:lang w:bidi="ar"/>
        </w:rPr>
        <w:t>月</w:t>
      </w:r>
      <w:r>
        <w:rPr>
          <w:rFonts w:hint="eastAsia" w:ascii="仿宋" w:hAnsi="仿宋"/>
          <w:color w:val="000000"/>
          <w:sz w:val="28"/>
          <w:szCs w:val="28"/>
          <w:highlight w:val="none"/>
          <w:u w:val="single"/>
          <w:shd w:val="clear" w:color="auto" w:fill="FFFFFF"/>
          <w:lang w:val="en-US" w:eastAsia="zh-CN" w:bidi="ar"/>
        </w:rPr>
        <w:t>21</w:t>
      </w:r>
      <w:r>
        <w:rPr>
          <w:rFonts w:hint="eastAsia" w:ascii="仿宋" w:hAnsi="仿宋"/>
          <w:color w:val="000000"/>
          <w:sz w:val="28"/>
          <w:szCs w:val="28"/>
          <w:highlight w:val="none"/>
          <w:u w:val="single"/>
          <w:shd w:val="clear" w:color="auto" w:fill="FFFFFF"/>
          <w:lang w:bidi="ar"/>
        </w:rPr>
        <w:t>日17时</w:t>
      </w:r>
      <w:r>
        <w:rPr>
          <w:rFonts w:hint="eastAsia" w:ascii="仿宋" w:hAnsi="仿宋"/>
          <w:color w:val="000000"/>
          <w:sz w:val="28"/>
          <w:szCs w:val="28"/>
          <w:highlight w:val="none"/>
          <w:shd w:val="clear" w:color="auto" w:fill="FFFFFF"/>
          <w:lang w:bidi="ar"/>
        </w:rPr>
        <w:t>前，将报名材料纸质版提交至管理人指定报名地点，同时发送报名材料扫描版至管理人指定电子邮箱：bjhx@yunqingsuan.com（文件超过15M的请以网盘链接等形式发送），管理人接收到纸质报名材料或电子版扫描件报名材料，均视为意向投资人成功提交报名材料。期限届满后，管理人有权视情况决定是否延长报名期限。</w:t>
      </w:r>
    </w:p>
    <w:p w14:paraId="23631EE7">
      <w:pPr>
        <w:pStyle w:val="5"/>
        <w:shd w:val="clear" w:color="auto" w:fill="FFFFFF"/>
        <w:spacing w:line="540" w:lineRule="exact"/>
        <w:ind w:firstLine="560" w:firstLineChars="200"/>
        <w:textAlignment w:val="top"/>
        <w:rPr>
          <w:rFonts w:hint="eastAsia" w:ascii="仿宋" w:hAnsi="仿宋"/>
          <w:color w:val="000000"/>
          <w:sz w:val="28"/>
          <w:szCs w:val="28"/>
          <w:highlight w:val="none"/>
        </w:rPr>
      </w:pPr>
      <w:r>
        <w:rPr>
          <w:rFonts w:hint="eastAsia" w:ascii="仿宋" w:hAnsi="仿宋"/>
          <w:color w:val="000000"/>
          <w:sz w:val="28"/>
          <w:szCs w:val="28"/>
          <w:highlight w:val="none"/>
          <w:shd w:val="clear" w:color="auto" w:fill="FFFFFF"/>
        </w:rPr>
        <w:t>2.报名材料</w:t>
      </w:r>
    </w:p>
    <w:p w14:paraId="2CA547F4">
      <w:pPr>
        <w:shd w:val="clear" w:color="auto" w:fill="FFFFFF"/>
        <w:spacing w:line="54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highlight w:val="none"/>
          <w:shd w:val="clear" w:color="auto" w:fill="FFFFFF"/>
          <w:lang w:bidi="ar"/>
        </w:rPr>
        <w:t>意向投资人需提交纸质版报名材料一式两份，装订成册，加盖意向投资人公章和骑缝章，并由其法定代表人、负责人或授权代表签名；如意向投资人为联合体的，联合体成员均需加盖公章，由</w:t>
      </w:r>
      <w:r>
        <w:rPr>
          <w:rFonts w:hint="eastAsia" w:ascii="仿宋" w:hAnsi="仿宋"/>
          <w:color w:val="000000"/>
          <w:sz w:val="28"/>
          <w:szCs w:val="28"/>
          <w:shd w:val="clear" w:color="auto" w:fill="FFFFFF"/>
          <w:lang w:bidi="ar"/>
        </w:rPr>
        <w:t>联合体牵头投资人加盖骑缝章并提交。意向投资人未按本公告要求提交完整报名材料的，管理人有权不予接收或要求补正。材料具体包括：</w:t>
      </w:r>
    </w:p>
    <w:p w14:paraId="5BC632C8">
      <w:pPr>
        <w:pStyle w:val="5"/>
        <w:shd w:val="clear" w:color="auto" w:fill="FFFFFF"/>
        <w:spacing w:line="54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rPr>
        <w:t>（1）报名意向书（见附件1）；</w:t>
      </w:r>
    </w:p>
    <w:p w14:paraId="5D970602">
      <w:pPr>
        <w:pStyle w:val="5"/>
        <w:shd w:val="clear" w:color="auto" w:fill="FFFFFF"/>
        <w:spacing w:line="54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rPr>
        <w:t>（2）关于意向投资人未被人民法院列入失信被执行人名单、不属于惩戒对象、预招募遴选期间遵守管理人安排等事项的承诺函（见附件2）；</w:t>
      </w:r>
    </w:p>
    <w:p w14:paraId="05CE7563">
      <w:pPr>
        <w:pStyle w:val="5"/>
        <w:shd w:val="clear" w:color="auto" w:fill="FFFFFF"/>
        <w:spacing w:line="54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rPr>
        <w:t>（3）意向投资人简介（含主体资格、股权结构、主营业务、历史沿革、组织结构等信息，如为联合体参与遴选的，需要介绍各投资人所担当的角色分工、权利义务等）；</w:t>
      </w:r>
    </w:p>
    <w:p w14:paraId="5C7A17B4">
      <w:pPr>
        <w:pStyle w:val="5"/>
        <w:shd w:val="clear" w:color="auto" w:fill="FFFFFF"/>
        <w:spacing w:line="54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rPr>
        <w:t>（4）意向投资人的营业执照复印件（须加盖公章）、法定代表人或负责人的身份证明文件（见附件3）、授权委托书原件（见附件4）及受托人身份证明文件、最近三年的财务报表等。若报名机构为存续三年以下（含）企业法人，应按实际成立年限提供财务报表；</w:t>
      </w:r>
    </w:p>
    <w:p w14:paraId="52EC2BD5">
      <w:pPr>
        <w:pStyle w:val="5"/>
        <w:shd w:val="clear" w:color="auto" w:fill="FFFFFF"/>
        <w:spacing w:line="540" w:lineRule="exact"/>
        <w:ind w:firstLine="560" w:firstLineChars="200"/>
        <w:textAlignment w:val="top"/>
        <w:rPr>
          <w:rFonts w:hint="eastAsia" w:ascii="仿宋" w:hAnsi="仿宋"/>
          <w:color w:val="000000"/>
          <w:sz w:val="28"/>
          <w:szCs w:val="28"/>
          <w:shd w:val="clear" w:color="auto" w:fill="FFFFFF"/>
        </w:rPr>
      </w:pPr>
      <w:r>
        <w:rPr>
          <w:rFonts w:hint="eastAsia" w:ascii="仿宋" w:hAnsi="仿宋"/>
          <w:color w:val="000000"/>
          <w:sz w:val="28"/>
          <w:szCs w:val="28"/>
          <w:shd w:val="clear" w:color="auto" w:fill="FFFFFF"/>
        </w:rPr>
        <w:t>（5）意向投资人承诺对知悉的债务人情况予以保密并签署的保密承诺函（见附件5）；</w:t>
      </w:r>
    </w:p>
    <w:p w14:paraId="495A633E">
      <w:pPr>
        <w:pStyle w:val="5"/>
        <w:shd w:val="clear" w:color="auto" w:fill="FFFFFF"/>
        <w:spacing w:line="54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rPr>
        <w:t>（6）意向投资人保证金缴纳凭证。请意向投资人注明单位全称及款项性质“</w:t>
      </w:r>
      <w:r>
        <w:rPr>
          <w:rFonts w:hint="eastAsia" w:ascii="仿宋" w:hAnsi="仿宋"/>
          <w:color w:val="000000"/>
          <w:sz w:val="28"/>
          <w:szCs w:val="28"/>
          <w:shd w:val="clear" w:color="auto" w:fill="FFFFFF"/>
          <w:lang w:eastAsia="zh-CN"/>
        </w:rPr>
        <w:t>中广兴业公司</w:t>
      </w:r>
      <w:r>
        <w:rPr>
          <w:rFonts w:hint="eastAsia" w:ascii="仿宋" w:hAnsi="仿宋"/>
          <w:color w:val="000000"/>
          <w:sz w:val="28"/>
          <w:szCs w:val="28"/>
          <w:shd w:val="clear" w:color="auto" w:fill="FFFFFF"/>
        </w:rPr>
        <w:t>重整尽调保证金”或“</w:t>
      </w:r>
      <w:r>
        <w:rPr>
          <w:rFonts w:hint="eastAsia" w:ascii="仿宋" w:hAnsi="仿宋"/>
          <w:color w:val="000000"/>
          <w:sz w:val="28"/>
          <w:szCs w:val="28"/>
          <w:shd w:val="clear" w:color="auto" w:fill="FFFFFF"/>
          <w:lang w:eastAsia="zh-CN"/>
        </w:rPr>
        <w:t>中广兴业公司</w:t>
      </w:r>
      <w:r>
        <w:rPr>
          <w:rFonts w:hint="eastAsia" w:ascii="仿宋" w:hAnsi="仿宋"/>
          <w:color w:val="000000"/>
          <w:sz w:val="28"/>
          <w:szCs w:val="28"/>
          <w:shd w:val="clear" w:color="auto" w:fill="FFFFFF"/>
        </w:rPr>
        <w:t>重整报名保证金”。</w:t>
      </w:r>
    </w:p>
    <w:p w14:paraId="2B9E2BB3">
      <w:pPr>
        <w:pStyle w:val="5"/>
        <w:shd w:val="clear" w:color="auto" w:fill="FFFFFF"/>
        <w:spacing w:line="540" w:lineRule="exact"/>
        <w:ind w:firstLine="560" w:firstLineChars="200"/>
        <w:textAlignment w:val="top"/>
        <w:rPr>
          <w:rFonts w:hint="eastAsia" w:ascii="仿宋" w:hAnsi="仿宋"/>
          <w:sz w:val="28"/>
          <w:szCs w:val="28"/>
        </w:rPr>
      </w:pPr>
      <w:r>
        <w:rPr>
          <w:rFonts w:hint="eastAsia" w:ascii="仿宋" w:hAnsi="仿宋"/>
          <w:sz w:val="28"/>
          <w:szCs w:val="28"/>
          <w:shd w:val="clear" w:color="auto" w:fill="FFFFFF"/>
          <w:lang w:eastAsia="zh-CN"/>
        </w:rPr>
        <w:t>中广兴业公司</w:t>
      </w:r>
      <w:r>
        <w:rPr>
          <w:rFonts w:hint="eastAsia" w:ascii="仿宋" w:hAnsi="仿宋"/>
          <w:sz w:val="28"/>
          <w:szCs w:val="28"/>
          <w:shd w:val="clear" w:color="auto" w:fill="FFFFFF"/>
        </w:rPr>
        <w:t>管理人账户具体信息如下：</w:t>
      </w:r>
    </w:p>
    <w:p w14:paraId="6DFF3443">
      <w:pPr>
        <w:pStyle w:val="5"/>
        <w:shd w:val="clear" w:color="auto" w:fill="FFFFFF"/>
        <w:spacing w:line="540" w:lineRule="exact"/>
        <w:ind w:firstLine="560" w:firstLineChars="200"/>
        <w:textAlignment w:val="top"/>
        <w:rPr>
          <w:rFonts w:hint="eastAsia" w:ascii="仿宋" w:hAnsi="仿宋"/>
          <w:sz w:val="28"/>
          <w:szCs w:val="28"/>
          <w:shd w:val="clear" w:color="auto" w:fill="FFFFFF"/>
        </w:rPr>
      </w:pPr>
      <w:r>
        <w:rPr>
          <w:rFonts w:hint="eastAsia" w:ascii="仿宋" w:hAnsi="仿宋"/>
          <w:sz w:val="28"/>
          <w:szCs w:val="28"/>
          <w:shd w:val="clear" w:color="auto" w:fill="FFFFFF"/>
        </w:rPr>
        <w:t>户名：北京</w:t>
      </w:r>
      <w:r>
        <w:rPr>
          <w:rFonts w:hint="eastAsia" w:ascii="仿宋" w:hAnsi="仿宋"/>
          <w:sz w:val="28"/>
          <w:szCs w:val="28"/>
          <w:shd w:val="clear" w:color="auto" w:fill="FFFFFF"/>
          <w:lang w:eastAsia="zh-CN"/>
        </w:rPr>
        <w:t>中广兴业</w:t>
      </w:r>
      <w:r>
        <w:rPr>
          <w:rFonts w:hint="eastAsia" w:ascii="仿宋" w:hAnsi="仿宋"/>
          <w:sz w:val="28"/>
          <w:szCs w:val="28"/>
          <w:shd w:val="clear" w:color="auto" w:fill="FFFFFF"/>
          <w:lang w:val="en-US" w:eastAsia="zh-CN"/>
        </w:rPr>
        <w:t>物业管理</w:t>
      </w:r>
      <w:r>
        <w:rPr>
          <w:rFonts w:hint="eastAsia" w:ascii="仿宋" w:hAnsi="仿宋"/>
          <w:sz w:val="28"/>
          <w:szCs w:val="28"/>
          <w:shd w:val="clear" w:color="auto" w:fill="FFFFFF"/>
        </w:rPr>
        <w:t>有限公司管理人</w:t>
      </w:r>
    </w:p>
    <w:p w14:paraId="7284DE0E">
      <w:pPr>
        <w:pStyle w:val="5"/>
        <w:shd w:val="clear" w:color="auto" w:fill="FFFFFF"/>
        <w:spacing w:line="540" w:lineRule="exact"/>
        <w:ind w:firstLine="560" w:firstLineChars="200"/>
        <w:textAlignment w:val="top"/>
        <w:rPr>
          <w:rFonts w:hint="eastAsia" w:ascii="仿宋" w:hAnsi="仿宋"/>
          <w:sz w:val="28"/>
          <w:szCs w:val="28"/>
          <w:shd w:val="clear" w:color="auto" w:fill="FFFFFF"/>
        </w:rPr>
      </w:pPr>
      <w:r>
        <w:rPr>
          <w:rFonts w:hint="eastAsia" w:ascii="仿宋" w:hAnsi="仿宋"/>
          <w:sz w:val="28"/>
          <w:szCs w:val="28"/>
          <w:shd w:val="clear" w:color="auto" w:fill="FFFFFF"/>
        </w:rPr>
        <w:t>账号：0200048439200442694</w:t>
      </w:r>
    </w:p>
    <w:p w14:paraId="6E47B8B1">
      <w:pPr>
        <w:pStyle w:val="5"/>
        <w:shd w:val="clear" w:color="auto" w:fill="FFFFFF"/>
        <w:spacing w:line="540" w:lineRule="exact"/>
        <w:ind w:firstLine="560" w:firstLineChars="200"/>
        <w:textAlignment w:val="top"/>
        <w:rPr>
          <w:rFonts w:hint="eastAsia" w:ascii="仿宋" w:hAnsi="仿宋"/>
          <w:sz w:val="28"/>
          <w:szCs w:val="28"/>
          <w:shd w:val="clear" w:color="auto" w:fill="FFFFFF"/>
        </w:rPr>
      </w:pPr>
      <w:r>
        <w:rPr>
          <w:rFonts w:hint="eastAsia" w:ascii="仿宋" w:hAnsi="仿宋"/>
          <w:sz w:val="28"/>
          <w:szCs w:val="28"/>
          <w:shd w:val="clear" w:color="auto" w:fill="FFFFFF"/>
        </w:rPr>
        <w:t>开户行：中国工商银行股份有限公司北京大郊亭支行</w:t>
      </w:r>
    </w:p>
    <w:p w14:paraId="50855702">
      <w:pPr>
        <w:pStyle w:val="5"/>
        <w:shd w:val="clear" w:color="auto" w:fill="FFFFFF"/>
        <w:spacing w:line="540" w:lineRule="exact"/>
        <w:ind w:firstLine="560" w:firstLineChars="200"/>
        <w:textAlignment w:val="top"/>
        <w:rPr>
          <w:rFonts w:hint="eastAsia" w:ascii="仿宋" w:hAnsi="仿宋"/>
          <w:sz w:val="28"/>
          <w:szCs w:val="28"/>
          <w:shd w:val="clear" w:color="auto" w:fill="FFFFFF"/>
        </w:rPr>
      </w:pPr>
      <w:r>
        <w:rPr>
          <w:rFonts w:hint="eastAsia" w:ascii="仿宋" w:hAnsi="仿宋"/>
          <w:sz w:val="28"/>
          <w:szCs w:val="28"/>
          <w:shd w:val="clear" w:color="auto" w:fill="FFFFFF"/>
        </w:rPr>
        <w:t xml:space="preserve">行号:102100004847‌ </w:t>
      </w:r>
    </w:p>
    <w:p w14:paraId="2667D98B">
      <w:pPr>
        <w:pStyle w:val="5"/>
        <w:shd w:val="clear" w:color="auto" w:fill="FFFFFF"/>
        <w:spacing w:line="540" w:lineRule="exact"/>
        <w:ind w:firstLine="562" w:firstLineChars="200"/>
        <w:textAlignment w:val="top"/>
        <w:rPr>
          <w:rFonts w:hint="eastAsia" w:ascii="仿宋" w:hAnsi="仿宋"/>
          <w:color w:val="000000"/>
          <w:sz w:val="28"/>
          <w:szCs w:val="28"/>
        </w:rPr>
      </w:pPr>
      <w:r>
        <w:rPr>
          <w:rFonts w:hint="eastAsia" w:ascii="仿宋" w:hAnsi="仿宋"/>
          <w:b/>
          <w:bCs/>
          <w:color w:val="000000"/>
          <w:sz w:val="28"/>
          <w:szCs w:val="28"/>
          <w:shd w:val="clear" w:color="auto" w:fill="FFFFFF"/>
        </w:rPr>
        <w:t>（二）初步筛选</w:t>
      </w:r>
    </w:p>
    <w:p w14:paraId="79117FF6">
      <w:pPr>
        <w:shd w:val="clear" w:color="auto" w:fill="FFFFFF"/>
        <w:spacing w:line="54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lang w:bidi="ar"/>
        </w:rPr>
        <w:t>管理人将对意向投资人提交的报名材料进行形式审查，审查通过的，即为通过初步筛选；提交的报名材料存在缺失、遗漏，或未缴纳尽调保证金的，管理人将通知补正，意向投资人应于</w:t>
      </w:r>
      <w:r>
        <w:rPr>
          <w:rFonts w:hint="eastAsia" w:ascii="仿宋" w:hAnsi="仿宋"/>
          <w:color w:val="000000"/>
          <w:sz w:val="28"/>
          <w:szCs w:val="28"/>
          <w:shd w:val="clear" w:color="auto" w:fill="FFFFFF"/>
          <w:lang w:val="en-US" w:eastAsia="zh-CN" w:bidi="ar"/>
        </w:rPr>
        <w:t>收到</w:t>
      </w:r>
      <w:r>
        <w:rPr>
          <w:rFonts w:hint="eastAsia" w:ascii="仿宋" w:hAnsi="仿宋"/>
          <w:color w:val="000000"/>
          <w:sz w:val="28"/>
          <w:szCs w:val="28"/>
          <w:shd w:val="clear" w:color="auto" w:fill="FFFFFF"/>
          <w:lang w:bidi="ar"/>
        </w:rPr>
        <w:t>管理人通知之日起5日内完成补正，逾期未能补正报名材料或缴纳尽调保证金的，视为无效报名。管理人将在初步筛选后，向通过形式审查的意向投资人发出报名成功确认函。</w:t>
      </w:r>
    </w:p>
    <w:p w14:paraId="2F66F1BC">
      <w:pPr>
        <w:pStyle w:val="5"/>
        <w:shd w:val="clear" w:color="auto" w:fill="FFFFFF"/>
        <w:spacing w:line="540" w:lineRule="exact"/>
        <w:ind w:firstLine="562" w:firstLineChars="200"/>
        <w:textAlignment w:val="top"/>
        <w:rPr>
          <w:rFonts w:hint="eastAsia" w:ascii="仿宋" w:hAnsi="仿宋"/>
          <w:color w:val="000000"/>
          <w:sz w:val="28"/>
          <w:szCs w:val="28"/>
        </w:rPr>
      </w:pPr>
      <w:r>
        <w:rPr>
          <w:rFonts w:hint="eastAsia" w:ascii="仿宋" w:hAnsi="仿宋"/>
          <w:b/>
          <w:bCs/>
          <w:color w:val="000000"/>
          <w:sz w:val="28"/>
          <w:szCs w:val="28"/>
          <w:shd w:val="clear" w:color="auto" w:fill="FFFFFF"/>
        </w:rPr>
        <w:t>（三）尽职调查</w:t>
      </w:r>
    </w:p>
    <w:p w14:paraId="1B548C65">
      <w:pPr>
        <w:shd w:val="clear" w:color="auto" w:fill="FFFFFF"/>
        <w:spacing w:line="54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lang w:bidi="ar"/>
        </w:rPr>
        <w:t>通过管理人初步筛选且收到管理人发出的报名成功确认函的意向投资人即可以自行或委托中介机构对债务人开展适当的尽职调查工作，管理人根据预招募工作进展情况向通过初步筛选的意向投资人开放尽调资料库，并有权按报名顺序安排意向投资人逐家进行现场访谈。</w:t>
      </w:r>
    </w:p>
    <w:p w14:paraId="159AC307">
      <w:pPr>
        <w:shd w:val="clear" w:color="auto" w:fill="FFFFFF"/>
        <w:spacing w:line="54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lang w:bidi="ar"/>
        </w:rPr>
        <w:t>意向投资人开展尽职调查所需的各类费用均自行承担。</w:t>
      </w:r>
    </w:p>
    <w:p w14:paraId="6D38B031">
      <w:pPr>
        <w:shd w:val="clear" w:color="auto" w:fill="FFFFFF"/>
        <w:spacing w:line="54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lang w:bidi="ar"/>
        </w:rPr>
        <w:t>自意向投资人报名至签署重整投资协议前，管理人有权对意向投资人反向尽调，反向尽调内容包括但不限于主体资质、财务数据、履约能力等，意向投资人应予以配合。</w:t>
      </w:r>
    </w:p>
    <w:p w14:paraId="32CC4109">
      <w:pPr>
        <w:pStyle w:val="5"/>
        <w:shd w:val="clear" w:color="auto" w:fill="FFFFFF"/>
        <w:spacing w:line="540" w:lineRule="exact"/>
        <w:ind w:firstLine="562" w:firstLineChars="200"/>
        <w:textAlignment w:val="top"/>
        <w:rPr>
          <w:rFonts w:hint="eastAsia" w:ascii="仿宋" w:hAnsi="仿宋"/>
          <w:color w:val="000000"/>
          <w:sz w:val="28"/>
          <w:szCs w:val="28"/>
        </w:rPr>
      </w:pPr>
      <w:r>
        <w:rPr>
          <w:rFonts w:hint="eastAsia" w:ascii="仿宋" w:hAnsi="仿宋"/>
          <w:b/>
          <w:bCs/>
          <w:color w:val="000000"/>
          <w:sz w:val="28"/>
          <w:szCs w:val="28"/>
          <w:shd w:val="clear" w:color="auto" w:fill="FFFFFF"/>
        </w:rPr>
        <w:t>（四）提交方案</w:t>
      </w:r>
    </w:p>
    <w:p w14:paraId="60E7CC36">
      <w:pPr>
        <w:shd w:val="clear" w:color="auto" w:fill="FFFFFF"/>
        <w:spacing w:line="54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lang w:bidi="ar"/>
        </w:rPr>
        <w:t>意向投资人应当于</w:t>
      </w:r>
      <w:r>
        <w:rPr>
          <w:rFonts w:hint="eastAsia" w:ascii="仿宋" w:hAnsi="仿宋"/>
          <w:color w:val="000000"/>
          <w:sz w:val="28"/>
          <w:szCs w:val="28"/>
          <w:u w:val="single"/>
          <w:shd w:val="clear" w:color="auto" w:fill="FFFFFF"/>
          <w:lang w:bidi="ar"/>
        </w:rPr>
        <w:t>2025年</w:t>
      </w:r>
      <w:r>
        <w:rPr>
          <w:rFonts w:hint="eastAsia" w:ascii="仿宋" w:hAnsi="仿宋"/>
          <w:color w:val="000000"/>
          <w:sz w:val="28"/>
          <w:szCs w:val="28"/>
          <w:u w:val="single"/>
          <w:shd w:val="clear" w:color="auto" w:fill="FFFFFF"/>
          <w:lang w:val="en-US" w:eastAsia="zh-CN" w:bidi="ar"/>
        </w:rPr>
        <w:t>12</w:t>
      </w:r>
      <w:r>
        <w:rPr>
          <w:rFonts w:hint="eastAsia" w:ascii="仿宋" w:hAnsi="仿宋"/>
          <w:color w:val="000000"/>
          <w:sz w:val="28"/>
          <w:szCs w:val="28"/>
          <w:u w:val="single"/>
          <w:shd w:val="clear" w:color="auto" w:fill="FFFFFF"/>
          <w:lang w:bidi="ar"/>
        </w:rPr>
        <w:t>月25日</w:t>
      </w:r>
      <w:r>
        <w:rPr>
          <w:rFonts w:hint="eastAsia" w:ascii="仿宋" w:hAnsi="仿宋"/>
          <w:color w:val="000000"/>
          <w:sz w:val="28"/>
          <w:szCs w:val="28"/>
          <w:shd w:val="clear" w:color="auto" w:fill="FFFFFF"/>
          <w:lang w:bidi="ar"/>
        </w:rPr>
        <w:t>前向管理人提交书面《重整投资方案》，同时尽调保证金转化为报名保证金，其余报名保证金由意向投资人在2025年</w:t>
      </w:r>
      <w:r>
        <w:rPr>
          <w:rFonts w:hint="eastAsia" w:ascii="仿宋" w:hAnsi="仿宋"/>
          <w:color w:val="000000"/>
          <w:sz w:val="28"/>
          <w:szCs w:val="28"/>
          <w:shd w:val="clear" w:color="auto" w:fill="FFFFFF"/>
          <w:lang w:val="en-US" w:eastAsia="zh-CN" w:bidi="ar"/>
        </w:rPr>
        <w:t>12</w:t>
      </w:r>
      <w:r>
        <w:rPr>
          <w:rFonts w:hint="eastAsia" w:ascii="仿宋" w:hAnsi="仿宋"/>
          <w:color w:val="000000"/>
          <w:sz w:val="28"/>
          <w:szCs w:val="28"/>
          <w:shd w:val="clear" w:color="auto" w:fill="FFFFFF"/>
          <w:lang w:bidi="ar"/>
        </w:rPr>
        <w:t>月</w:t>
      </w:r>
      <w:r>
        <w:rPr>
          <w:rFonts w:hint="eastAsia" w:ascii="仿宋" w:hAnsi="仿宋"/>
          <w:color w:val="000000"/>
          <w:sz w:val="28"/>
          <w:szCs w:val="28"/>
          <w:shd w:val="clear" w:color="auto" w:fill="FFFFFF"/>
          <w:lang w:val="en-US" w:eastAsia="zh-CN" w:bidi="ar"/>
        </w:rPr>
        <w:t>25</w:t>
      </w:r>
      <w:r>
        <w:rPr>
          <w:rFonts w:hint="eastAsia" w:ascii="仿宋" w:hAnsi="仿宋"/>
          <w:color w:val="000000"/>
          <w:sz w:val="28"/>
          <w:szCs w:val="28"/>
          <w:shd w:val="clear" w:color="auto" w:fill="FFFFFF"/>
          <w:lang w:bidi="ar"/>
        </w:rPr>
        <w:t>日前补足报名保证金。《重整投资方案》应符合《中华人民共和国企业破产法》的规定，且应包括但不限于意向投资人简介、投资金额及构成情况、经营方案、债权清偿方案、出资人权益调整方案等内容。管理人后续将根据预招募工作进展情况向意向投资人另行发送投资方案编制指引供意向投资人制作《重整投资方案》。</w:t>
      </w:r>
    </w:p>
    <w:p w14:paraId="37921A92">
      <w:pPr>
        <w:shd w:val="clear" w:color="auto" w:fill="FFFFFF"/>
        <w:spacing w:line="54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lang w:bidi="ar"/>
        </w:rPr>
        <w:t>意向投资人在提交《重整投资方案》过程中，管理人有权视意向投资人的报名情况和尽调情况，要求意向投资人追加缴纳保证金。</w:t>
      </w:r>
    </w:p>
    <w:p w14:paraId="7B121C8A">
      <w:pPr>
        <w:pStyle w:val="5"/>
        <w:shd w:val="clear" w:color="auto" w:fill="FFFFFF"/>
        <w:spacing w:line="540" w:lineRule="exact"/>
        <w:ind w:firstLine="562" w:firstLineChars="200"/>
        <w:textAlignment w:val="top"/>
        <w:rPr>
          <w:rFonts w:hint="eastAsia" w:ascii="仿宋" w:hAnsi="仿宋"/>
          <w:color w:val="000000"/>
          <w:sz w:val="28"/>
          <w:szCs w:val="28"/>
        </w:rPr>
      </w:pPr>
      <w:r>
        <w:rPr>
          <w:rFonts w:hint="eastAsia" w:ascii="仿宋" w:hAnsi="仿宋"/>
          <w:b/>
          <w:bCs/>
          <w:color w:val="000000"/>
          <w:sz w:val="28"/>
          <w:szCs w:val="28"/>
          <w:shd w:val="clear" w:color="auto" w:fill="FFFFFF"/>
        </w:rPr>
        <w:t>（五）预遴选</w:t>
      </w:r>
    </w:p>
    <w:p w14:paraId="00DDE19B">
      <w:pPr>
        <w:shd w:val="clear" w:color="auto" w:fill="FFFFFF"/>
        <w:spacing w:line="540" w:lineRule="exact"/>
        <w:ind w:firstLine="560" w:firstLineChars="200"/>
        <w:textAlignment w:val="top"/>
        <w:rPr>
          <w:rFonts w:hint="eastAsia" w:ascii="仿宋" w:hAnsi="仿宋"/>
          <w:color w:val="000000"/>
          <w:sz w:val="28"/>
          <w:szCs w:val="28"/>
          <w:shd w:val="clear" w:color="auto" w:fill="FFFFFF"/>
          <w:lang w:bidi="ar"/>
        </w:rPr>
      </w:pPr>
      <w:r>
        <w:rPr>
          <w:rFonts w:hint="eastAsia" w:ascii="仿宋" w:hAnsi="仿宋"/>
          <w:color w:val="000000"/>
          <w:sz w:val="28"/>
          <w:szCs w:val="28"/>
          <w:shd w:val="clear" w:color="auto" w:fill="FFFFFF"/>
          <w:lang w:bidi="ar"/>
        </w:rPr>
        <w:t>在意向投资人提交《重整投资方案》后，管理人最终将在法院的指导和监督下，组织开展意向投资人预遴选程序，综合对比各意向投资人的履约能力、资信状态、投资方案（包括资金投入期限、方式）、偿债方案、出资人权益调整方案（如涉及）、经营方案等内容，从最大限度保护债权人合法权益及方案可行性的角度出发，评选出“出价最高且最优”的方案为最优方案，具体评选事宜将根据预招募及遴选情况另行通知。</w:t>
      </w:r>
    </w:p>
    <w:p w14:paraId="5B24BA5E">
      <w:pPr>
        <w:shd w:val="clear" w:color="auto" w:fill="FFFFFF"/>
        <w:spacing w:line="540" w:lineRule="exact"/>
        <w:ind w:firstLine="560" w:firstLineChars="200"/>
        <w:textAlignment w:val="top"/>
        <w:rPr>
          <w:rFonts w:hint="eastAsia" w:ascii="仿宋" w:hAnsi="仿宋"/>
          <w:color w:val="000000"/>
          <w:sz w:val="28"/>
          <w:szCs w:val="28"/>
          <w:shd w:val="clear" w:color="auto" w:fill="FFFFFF"/>
          <w:lang w:bidi="ar"/>
        </w:rPr>
      </w:pPr>
      <w:r>
        <w:rPr>
          <w:rFonts w:hint="eastAsia" w:ascii="仿宋" w:hAnsi="仿宋"/>
          <w:color w:val="000000"/>
          <w:sz w:val="28"/>
          <w:szCs w:val="28"/>
          <w:shd w:val="clear" w:color="auto" w:fill="FFFFFF"/>
          <w:lang w:bidi="ar"/>
        </w:rPr>
        <w:t>经选定为正式投资人的，应在管理人发出中选通知书之日起三日内与管理人签订以</w:t>
      </w:r>
      <w:r>
        <w:rPr>
          <w:rFonts w:hint="eastAsia" w:ascii="仿宋" w:hAnsi="仿宋"/>
          <w:color w:val="000000"/>
          <w:sz w:val="28"/>
          <w:szCs w:val="28"/>
          <w:shd w:val="clear" w:color="auto" w:fill="FFFFFF"/>
          <w:lang w:eastAsia="zh-CN" w:bidi="ar"/>
        </w:rPr>
        <w:t>中广兴业公司</w:t>
      </w:r>
      <w:r>
        <w:rPr>
          <w:rFonts w:hint="eastAsia" w:ascii="仿宋" w:hAnsi="仿宋"/>
          <w:color w:val="000000"/>
          <w:sz w:val="28"/>
          <w:szCs w:val="28"/>
          <w:shd w:val="clear" w:color="auto" w:fill="FFFFFF"/>
          <w:lang w:bidi="ar"/>
        </w:rPr>
        <w:t>被人民法院裁定进入重整程序为生效条件的投资协议。</w:t>
      </w:r>
    </w:p>
    <w:p w14:paraId="2B0E97CB">
      <w:pPr>
        <w:shd w:val="clear" w:color="auto" w:fill="FFFFFF"/>
        <w:spacing w:line="540" w:lineRule="exact"/>
        <w:ind w:firstLine="562" w:firstLineChars="200"/>
        <w:textAlignment w:val="top"/>
        <w:rPr>
          <w:rFonts w:hint="eastAsia" w:ascii="仿宋" w:hAnsi="仿宋"/>
          <w:b/>
          <w:bCs/>
          <w:color w:val="000000"/>
          <w:sz w:val="28"/>
          <w:szCs w:val="28"/>
          <w:shd w:val="clear" w:color="auto" w:fill="FFFFFF"/>
          <w:lang w:bidi="ar"/>
        </w:rPr>
      </w:pPr>
      <w:r>
        <w:rPr>
          <w:rFonts w:hint="eastAsia" w:ascii="仿宋" w:hAnsi="仿宋"/>
          <w:b/>
          <w:bCs/>
          <w:color w:val="000000"/>
          <w:sz w:val="28"/>
          <w:szCs w:val="28"/>
          <w:shd w:val="clear" w:color="auto" w:fill="FFFFFF"/>
          <w:lang w:bidi="ar"/>
        </w:rPr>
        <w:t>（六）程序转换（如涉及）</w:t>
      </w:r>
    </w:p>
    <w:p w14:paraId="69E21E69">
      <w:pPr>
        <w:shd w:val="clear" w:color="auto" w:fill="FFFFFF"/>
        <w:spacing w:line="540" w:lineRule="exact"/>
        <w:ind w:firstLine="560" w:firstLineChars="200"/>
        <w:textAlignment w:val="top"/>
        <w:rPr>
          <w:rFonts w:hint="eastAsia" w:ascii="仿宋" w:hAnsi="仿宋"/>
          <w:color w:val="000000"/>
          <w:sz w:val="28"/>
          <w:szCs w:val="28"/>
          <w:shd w:val="clear" w:color="auto" w:fill="FFFFFF"/>
          <w:lang w:bidi="ar"/>
        </w:rPr>
      </w:pPr>
      <w:r>
        <w:rPr>
          <w:rFonts w:hint="eastAsia" w:ascii="仿宋" w:hAnsi="仿宋"/>
          <w:color w:val="000000"/>
          <w:sz w:val="28"/>
          <w:szCs w:val="28"/>
          <w:shd w:val="clear" w:color="auto" w:fill="FFFFFF"/>
          <w:lang w:bidi="ar"/>
        </w:rPr>
        <w:t>如人民法院裁定</w:t>
      </w:r>
      <w:r>
        <w:rPr>
          <w:rFonts w:hint="eastAsia" w:ascii="仿宋" w:hAnsi="仿宋"/>
          <w:color w:val="000000"/>
          <w:sz w:val="28"/>
          <w:szCs w:val="28"/>
          <w:shd w:val="clear" w:color="auto" w:fill="FFFFFF"/>
          <w:lang w:eastAsia="zh-CN" w:bidi="ar"/>
        </w:rPr>
        <w:t>中广兴业公司</w:t>
      </w:r>
      <w:r>
        <w:rPr>
          <w:rFonts w:hint="eastAsia" w:ascii="仿宋" w:hAnsi="仿宋"/>
          <w:color w:val="000000"/>
          <w:sz w:val="28"/>
          <w:szCs w:val="28"/>
          <w:shd w:val="clear" w:color="auto" w:fill="FFFFFF"/>
          <w:lang w:bidi="ar"/>
        </w:rPr>
        <w:t>由破产清算程序转为重整程序，则经过上述预遴选程序确定的投资人将直接确定为假马重整投资人，同等条件下优先确定为重整投资人。管理人将依据已签署的投资协议编制《重整计划草案》提请债权人会议表决。</w:t>
      </w:r>
    </w:p>
    <w:p w14:paraId="22B58FEB">
      <w:pPr>
        <w:shd w:val="clear" w:color="auto" w:fill="FFFFFF"/>
        <w:spacing w:line="540" w:lineRule="exact"/>
        <w:ind w:firstLine="562" w:firstLineChars="200"/>
        <w:textAlignment w:val="top"/>
        <w:rPr>
          <w:rFonts w:hint="eastAsia" w:ascii="仿宋" w:hAnsi="仿宋"/>
          <w:b/>
          <w:bCs/>
          <w:color w:val="000000"/>
          <w:sz w:val="28"/>
          <w:szCs w:val="28"/>
          <w:shd w:val="clear" w:color="auto" w:fill="FFFFFF"/>
          <w:lang w:bidi="ar"/>
        </w:rPr>
      </w:pPr>
      <w:r>
        <w:rPr>
          <w:rFonts w:hint="eastAsia" w:ascii="仿宋" w:hAnsi="仿宋"/>
          <w:b/>
          <w:bCs/>
          <w:color w:val="000000"/>
          <w:sz w:val="28"/>
          <w:szCs w:val="28"/>
          <w:shd w:val="clear" w:color="auto" w:fill="FFFFFF"/>
          <w:lang w:bidi="ar"/>
        </w:rPr>
        <w:t>（七）保证金的处理</w:t>
      </w:r>
    </w:p>
    <w:p w14:paraId="2A5EE1D2">
      <w:pPr>
        <w:shd w:val="clear" w:color="auto" w:fill="FFFFFF"/>
        <w:spacing w:line="540" w:lineRule="exact"/>
        <w:ind w:firstLine="560" w:firstLineChars="200"/>
        <w:textAlignment w:val="top"/>
        <w:rPr>
          <w:rFonts w:hint="eastAsia" w:ascii="仿宋" w:hAnsi="仿宋"/>
          <w:color w:val="000000"/>
          <w:sz w:val="28"/>
          <w:szCs w:val="28"/>
          <w:shd w:val="clear" w:color="auto" w:fill="FFFFFF"/>
          <w:lang w:bidi="ar"/>
        </w:rPr>
      </w:pPr>
      <w:r>
        <w:rPr>
          <w:rFonts w:hint="eastAsia" w:ascii="仿宋" w:hAnsi="仿宋"/>
          <w:color w:val="000000"/>
          <w:sz w:val="28"/>
          <w:szCs w:val="28"/>
          <w:shd w:val="clear" w:color="auto" w:fill="FFFFFF"/>
          <w:lang w:bidi="ar"/>
        </w:rPr>
        <w:t>根据本预招募流程，原则上，对于不参与下一轮遴选程序的意向投资人，管理人将在上一轮程序结果确定后退还其已缴纳的保证金（不计息），具体退款事宜由管理人另行通知。对于中选的重整投资人，已缴纳的保证金将全部转化为投资履约保证金（不计息），待重整计划获得法院裁定批准后自动转为投资款项。</w:t>
      </w:r>
    </w:p>
    <w:p w14:paraId="41F6526A">
      <w:pPr>
        <w:pStyle w:val="5"/>
        <w:shd w:val="clear" w:color="auto" w:fill="FFFFFF"/>
        <w:spacing w:line="560" w:lineRule="exact"/>
        <w:ind w:firstLine="562" w:firstLineChars="200"/>
        <w:textAlignment w:val="top"/>
        <w:rPr>
          <w:rFonts w:hint="eastAsia" w:ascii="仿宋" w:hAnsi="仿宋"/>
          <w:color w:val="000000"/>
          <w:sz w:val="28"/>
          <w:szCs w:val="28"/>
        </w:rPr>
      </w:pPr>
      <w:r>
        <w:rPr>
          <w:rFonts w:hint="eastAsia" w:ascii="仿宋" w:hAnsi="仿宋"/>
          <w:b/>
          <w:bCs/>
          <w:color w:val="000000"/>
          <w:sz w:val="28"/>
          <w:szCs w:val="28"/>
          <w:shd w:val="clear" w:color="auto" w:fill="FFFFFF"/>
          <w:lang w:val="en-US" w:eastAsia="zh-CN"/>
        </w:rPr>
        <w:t>五</w:t>
      </w:r>
      <w:r>
        <w:rPr>
          <w:rFonts w:hint="eastAsia" w:ascii="仿宋" w:hAnsi="仿宋"/>
          <w:b/>
          <w:bCs/>
          <w:color w:val="000000"/>
          <w:sz w:val="28"/>
          <w:szCs w:val="28"/>
          <w:shd w:val="clear" w:color="auto" w:fill="FFFFFF"/>
        </w:rPr>
        <w:t>、其他事项</w:t>
      </w:r>
    </w:p>
    <w:p w14:paraId="0C5FCAA0">
      <w:pPr>
        <w:shd w:val="clear" w:color="auto" w:fill="FFFFFF"/>
        <w:spacing w:line="54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lang w:bidi="ar"/>
        </w:rPr>
        <w:t>本公告由管理人编制，解释权归属于管理人。由于各种因素导致的不可预期变化，管理人有权根据需要变更预招募事项的有关内容及时间安排，参与预招募的意向投资人需根据管理人的安排配合相关预招募进程。如有变化，届时请以管理人的通知为准。</w:t>
      </w:r>
    </w:p>
    <w:p w14:paraId="51ED2421">
      <w:pPr>
        <w:pStyle w:val="5"/>
        <w:shd w:val="clear" w:color="auto" w:fill="FFFFFF"/>
        <w:spacing w:line="540" w:lineRule="exact"/>
        <w:ind w:firstLine="562" w:firstLineChars="200"/>
        <w:textAlignment w:val="top"/>
        <w:rPr>
          <w:rFonts w:hint="eastAsia" w:ascii="仿宋" w:hAnsi="仿宋"/>
          <w:color w:val="000000"/>
          <w:sz w:val="28"/>
          <w:szCs w:val="28"/>
        </w:rPr>
      </w:pPr>
      <w:r>
        <w:rPr>
          <w:rFonts w:hint="eastAsia" w:ascii="仿宋" w:hAnsi="仿宋"/>
          <w:b/>
          <w:bCs/>
          <w:color w:val="000000"/>
          <w:sz w:val="28"/>
          <w:szCs w:val="28"/>
          <w:shd w:val="clear" w:color="auto" w:fill="FFFFFF"/>
        </w:rPr>
        <w:t>七、报名地点及联系方式</w:t>
      </w:r>
    </w:p>
    <w:p w14:paraId="118FF52F">
      <w:pPr>
        <w:pStyle w:val="5"/>
        <w:shd w:val="clear" w:color="auto" w:fill="FFFFFF"/>
        <w:spacing w:line="540" w:lineRule="exact"/>
        <w:ind w:firstLine="560" w:firstLineChars="200"/>
        <w:textAlignment w:val="top"/>
        <w:rPr>
          <w:rFonts w:hint="eastAsia" w:ascii="仿宋" w:hAnsi="仿宋"/>
          <w:color w:val="000000"/>
          <w:sz w:val="28"/>
          <w:szCs w:val="28"/>
          <w:u w:val="single"/>
        </w:rPr>
      </w:pPr>
      <w:r>
        <w:rPr>
          <w:rFonts w:hint="eastAsia" w:ascii="仿宋" w:hAnsi="仿宋"/>
          <w:color w:val="000000"/>
          <w:sz w:val="28"/>
          <w:szCs w:val="28"/>
          <w:shd w:val="clear" w:color="auto" w:fill="FFFFFF"/>
        </w:rPr>
        <w:t>（一）报名地点：</w:t>
      </w:r>
      <w:r>
        <w:rPr>
          <w:rFonts w:hint="eastAsia" w:ascii="仿宋" w:hAnsi="仿宋"/>
          <w:color w:val="000000"/>
          <w:sz w:val="28"/>
          <w:szCs w:val="28"/>
          <w:u w:val="single"/>
          <w:shd w:val="clear" w:color="auto" w:fill="FFFFFF"/>
        </w:rPr>
        <w:t xml:space="preserve">北京市东城区南竹杆胡同1号2层209 </w:t>
      </w:r>
    </w:p>
    <w:p w14:paraId="5ABDD4D4">
      <w:pPr>
        <w:pStyle w:val="5"/>
        <w:shd w:val="clear" w:color="auto" w:fill="FFFFFF"/>
        <w:spacing w:line="540" w:lineRule="exact"/>
        <w:ind w:firstLine="560" w:firstLineChars="200"/>
        <w:textAlignment w:val="top"/>
        <w:rPr>
          <w:rFonts w:hint="eastAsia" w:ascii="仿宋" w:hAnsi="仿宋"/>
          <w:color w:val="000000"/>
          <w:sz w:val="28"/>
          <w:szCs w:val="28"/>
          <w:u w:val="single"/>
          <w:shd w:val="clear" w:color="auto" w:fill="FFFFFF"/>
        </w:rPr>
      </w:pPr>
      <w:r>
        <w:rPr>
          <w:rFonts w:hint="eastAsia" w:ascii="仿宋" w:hAnsi="仿宋"/>
          <w:color w:val="000000"/>
          <w:sz w:val="28"/>
          <w:szCs w:val="28"/>
          <w:shd w:val="clear" w:color="auto" w:fill="FFFFFF"/>
        </w:rPr>
        <w:t xml:space="preserve">（二）联系人、联系电话： </w:t>
      </w:r>
      <w:r>
        <w:rPr>
          <w:rFonts w:hint="eastAsia" w:ascii="仿宋" w:hAnsi="仿宋"/>
          <w:color w:val="000000"/>
          <w:sz w:val="28"/>
          <w:szCs w:val="28"/>
          <w:shd w:val="clear" w:color="auto" w:fill="FFFFFF"/>
          <w:lang w:val="en-US" w:eastAsia="zh-CN"/>
        </w:rPr>
        <w:t>李</w:t>
      </w:r>
      <w:r>
        <w:rPr>
          <w:rFonts w:hint="eastAsia" w:ascii="仿宋" w:hAnsi="仿宋"/>
          <w:color w:val="000000"/>
          <w:sz w:val="28"/>
          <w:szCs w:val="28"/>
          <w:u w:val="single"/>
          <w:shd w:val="clear" w:color="auto" w:fill="FFFFFF"/>
        </w:rPr>
        <w:t>律师 1</w:t>
      </w:r>
      <w:r>
        <w:rPr>
          <w:rFonts w:hint="eastAsia" w:ascii="仿宋" w:hAnsi="仿宋"/>
          <w:color w:val="000000"/>
          <w:sz w:val="28"/>
          <w:szCs w:val="28"/>
          <w:u w:val="single"/>
          <w:shd w:val="clear" w:color="auto" w:fill="FFFFFF"/>
          <w:lang w:val="en-US" w:eastAsia="zh-CN"/>
        </w:rPr>
        <w:t>5611865827</w:t>
      </w:r>
      <w:r>
        <w:rPr>
          <w:rFonts w:hint="eastAsia" w:ascii="仿宋" w:hAnsi="仿宋"/>
          <w:color w:val="000000"/>
          <w:sz w:val="28"/>
          <w:szCs w:val="28"/>
          <w:u w:val="single"/>
          <w:shd w:val="clear" w:color="auto" w:fill="FFFFFF"/>
        </w:rPr>
        <w:t xml:space="preserve"> </w:t>
      </w:r>
    </w:p>
    <w:p w14:paraId="3F9AB12B">
      <w:pPr>
        <w:pStyle w:val="5"/>
        <w:shd w:val="clear" w:color="auto" w:fill="FFFFFF"/>
        <w:spacing w:line="540" w:lineRule="exact"/>
        <w:ind w:firstLine="4200" w:firstLineChars="1500"/>
        <w:textAlignment w:val="top"/>
        <w:rPr>
          <w:rFonts w:hint="eastAsia" w:ascii="仿宋" w:hAnsi="仿宋"/>
          <w:color w:val="000000"/>
          <w:sz w:val="28"/>
          <w:szCs w:val="28"/>
          <w:u w:val="single"/>
        </w:rPr>
      </w:pPr>
      <w:r>
        <w:rPr>
          <w:rFonts w:hint="eastAsia" w:ascii="仿宋" w:hAnsi="仿宋"/>
          <w:color w:val="000000"/>
          <w:sz w:val="28"/>
          <w:szCs w:val="28"/>
          <w:u w:val="single"/>
          <w:shd w:val="clear" w:color="auto" w:fill="FFFFFF"/>
          <w:lang w:val="en-US" w:eastAsia="zh-CN"/>
        </w:rPr>
        <w:t>韩经理</w:t>
      </w:r>
      <w:r>
        <w:rPr>
          <w:rFonts w:hint="eastAsia" w:ascii="仿宋" w:hAnsi="仿宋"/>
          <w:color w:val="000000"/>
          <w:sz w:val="28"/>
          <w:szCs w:val="28"/>
          <w:u w:val="single"/>
          <w:shd w:val="clear" w:color="auto" w:fill="FFFFFF"/>
        </w:rPr>
        <w:t xml:space="preserve"> 1</w:t>
      </w:r>
      <w:r>
        <w:rPr>
          <w:rFonts w:hint="eastAsia" w:ascii="仿宋" w:hAnsi="仿宋"/>
          <w:color w:val="000000"/>
          <w:sz w:val="28"/>
          <w:szCs w:val="28"/>
          <w:u w:val="single"/>
          <w:shd w:val="clear" w:color="auto" w:fill="FFFFFF"/>
          <w:lang w:val="en-US" w:eastAsia="zh-CN"/>
        </w:rPr>
        <w:t>5665703123</w:t>
      </w:r>
      <w:r>
        <w:rPr>
          <w:rFonts w:hint="eastAsia" w:ascii="仿宋" w:hAnsi="仿宋"/>
          <w:color w:val="000000"/>
          <w:sz w:val="28"/>
          <w:szCs w:val="28"/>
          <w:u w:val="single"/>
          <w:shd w:val="clear" w:color="auto" w:fill="FFFFFF"/>
        </w:rPr>
        <w:t xml:space="preserve"> </w:t>
      </w:r>
    </w:p>
    <w:p w14:paraId="2C8B8488">
      <w:pPr>
        <w:shd w:val="clear" w:color="auto" w:fill="FFFFFF"/>
        <w:spacing w:line="54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lang w:bidi="ar"/>
        </w:rPr>
        <w:t>热烈欢迎社会各界报名参与本项目。</w:t>
      </w:r>
    </w:p>
    <w:p w14:paraId="7F681AF0">
      <w:pPr>
        <w:shd w:val="clear" w:color="auto" w:fill="FFFFFF"/>
        <w:spacing w:line="54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lang w:bidi="ar"/>
        </w:rPr>
        <w:t>特此公告。</w:t>
      </w:r>
    </w:p>
    <w:p w14:paraId="57DE589B">
      <w:pPr>
        <w:shd w:val="clear" w:color="auto" w:fill="FFFFFF"/>
        <w:spacing w:line="540" w:lineRule="exact"/>
        <w:jc w:val="right"/>
        <w:textAlignment w:val="top"/>
        <w:rPr>
          <w:rFonts w:hint="eastAsia" w:ascii="仿宋" w:hAnsi="仿宋"/>
          <w:color w:val="000000"/>
          <w:sz w:val="28"/>
          <w:szCs w:val="28"/>
          <w:shd w:val="clear" w:color="auto" w:fill="FFFFFF"/>
          <w:lang w:bidi="ar"/>
        </w:rPr>
      </w:pPr>
    </w:p>
    <w:p w14:paraId="07FA100C">
      <w:pPr>
        <w:shd w:val="clear" w:color="auto" w:fill="FFFFFF"/>
        <w:spacing w:line="540" w:lineRule="exact"/>
        <w:jc w:val="right"/>
        <w:textAlignment w:val="top"/>
        <w:rPr>
          <w:rFonts w:hint="eastAsia" w:ascii="仿宋" w:hAnsi="仿宋"/>
          <w:color w:val="000000"/>
          <w:sz w:val="28"/>
          <w:szCs w:val="28"/>
          <w:shd w:val="clear" w:color="auto" w:fill="FFFFFF"/>
          <w:lang w:bidi="ar"/>
        </w:rPr>
      </w:pPr>
    </w:p>
    <w:p w14:paraId="1F4658C1">
      <w:pPr>
        <w:shd w:val="clear" w:color="auto" w:fill="FFFFFF"/>
        <w:spacing w:line="540" w:lineRule="exact"/>
        <w:jc w:val="right"/>
        <w:textAlignment w:val="top"/>
        <w:rPr>
          <w:rFonts w:hint="eastAsia" w:ascii="仿宋" w:hAnsi="仿宋"/>
          <w:color w:val="000000"/>
          <w:sz w:val="28"/>
          <w:szCs w:val="28"/>
          <w:shd w:val="clear" w:color="auto" w:fill="FFFFFF"/>
          <w:lang w:bidi="ar"/>
        </w:rPr>
      </w:pPr>
    </w:p>
    <w:p w14:paraId="68C7A706">
      <w:pPr>
        <w:shd w:val="clear" w:color="auto" w:fill="FFFFFF"/>
        <w:spacing w:line="540" w:lineRule="exact"/>
        <w:jc w:val="right"/>
        <w:textAlignment w:val="top"/>
        <w:rPr>
          <w:rFonts w:hint="eastAsia" w:ascii="仿宋" w:hAnsi="仿宋"/>
          <w:color w:val="000000"/>
          <w:sz w:val="28"/>
          <w:szCs w:val="28"/>
        </w:rPr>
      </w:pPr>
      <w:r>
        <w:rPr>
          <w:rFonts w:hint="eastAsia" w:ascii="仿宋" w:hAnsi="仿宋"/>
          <w:color w:val="000000"/>
          <w:sz w:val="28"/>
          <w:szCs w:val="28"/>
          <w:shd w:val="clear" w:color="auto" w:fill="FFFFFF"/>
          <w:lang w:bidi="ar"/>
        </w:rPr>
        <w:t>北京</w:t>
      </w:r>
      <w:r>
        <w:rPr>
          <w:rFonts w:hint="eastAsia" w:ascii="仿宋" w:hAnsi="仿宋"/>
          <w:color w:val="000000"/>
          <w:sz w:val="28"/>
          <w:szCs w:val="28"/>
          <w:shd w:val="clear" w:color="auto" w:fill="FFFFFF"/>
          <w:lang w:eastAsia="zh-CN" w:bidi="ar"/>
        </w:rPr>
        <w:t>中广兴业</w:t>
      </w:r>
      <w:r>
        <w:rPr>
          <w:rFonts w:hint="eastAsia" w:ascii="仿宋" w:hAnsi="仿宋"/>
          <w:color w:val="000000"/>
          <w:sz w:val="28"/>
          <w:szCs w:val="28"/>
          <w:shd w:val="clear" w:color="auto" w:fill="FFFFFF"/>
          <w:lang w:val="en-US" w:eastAsia="zh-CN" w:bidi="ar"/>
        </w:rPr>
        <w:t>物业管理</w:t>
      </w:r>
      <w:r>
        <w:rPr>
          <w:rFonts w:hint="eastAsia" w:ascii="仿宋" w:hAnsi="仿宋"/>
          <w:color w:val="000000"/>
          <w:sz w:val="28"/>
          <w:szCs w:val="28"/>
          <w:shd w:val="clear" w:color="auto" w:fill="FFFFFF"/>
          <w:lang w:bidi="ar"/>
        </w:rPr>
        <w:t>有限公司管理人</w:t>
      </w:r>
    </w:p>
    <w:p w14:paraId="4E5F72E3">
      <w:pPr>
        <w:shd w:val="clear" w:color="auto" w:fill="FFFFFF"/>
        <w:wordWrap w:val="0"/>
        <w:spacing w:line="540" w:lineRule="exact"/>
        <w:jc w:val="right"/>
        <w:textAlignment w:val="top"/>
        <w:rPr>
          <w:rFonts w:hint="eastAsia" w:ascii="仿宋" w:hAnsi="仿宋"/>
          <w:b/>
          <w:bCs/>
          <w:sz w:val="28"/>
          <w:szCs w:val="28"/>
        </w:rPr>
      </w:pPr>
      <w:r>
        <w:rPr>
          <w:rFonts w:hint="eastAsia" w:ascii="仿宋" w:hAnsi="仿宋"/>
          <w:color w:val="000000"/>
          <w:sz w:val="28"/>
          <w:szCs w:val="28"/>
          <w:shd w:val="clear" w:color="auto" w:fill="FFFFFF"/>
          <w:lang w:bidi="ar"/>
        </w:rPr>
        <w:t xml:space="preserve">   二〇二五年</w:t>
      </w:r>
      <w:r>
        <w:rPr>
          <w:rFonts w:hint="eastAsia" w:ascii="仿宋" w:hAnsi="仿宋"/>
          <w:color w:val="000000"/>
          <w:sz w:val="28"/>
          <w:szCs w:val="28"/>
          <w:shd w:val="clear" w:color="auto" w:fill="FFFFFF"/>
          <w:lang w:val="en-US" w:eastAsia="zh-CN" w:bidi="ar"/>
        </w:rPr>
        <w:t>十</w:t>
      </w:r>
      <w:r>
        <w:rPr>
          <w:rFonts w:hint="eastAsia" w:ascii="仿宋" w:hAnsi="仿宋"/>
          <w:color w:val="000000"/>
          <w:sz w:val="28"/>
          <w:szCs w:val="28"/>
          <w:shd w:val="clear" w:color="auto" w:fill="FFFFFF"/>
          <w:lang w:bidi="ar"/>
        </w:rPr>
        <w:t>月</w:t>
      </w:r>
      <w:r>
        <w:rPr>
          <w:rFonts w:hint="eastAsia" w:ascii="仿宋" w:hAnsi="仿宋"/>
          <w:color w:val="000000"/>
          <w:sz w:val="28"/>
          <w:szCs w:val="28"/>
          <w:shd w:val="clear" w:color="auto" w:fill="FFFFFF"/>
          <w:lang w:val="en-US" w:eastAsia="zh-CN" w:bidi="ar"/>
        </w:rPr>
        <w:t>二十四</w:t>
      </w:r>
      <w:r>
        <w:rPr>
          <w:rFonts w:hint="eastAsia" w:ascii="仿宋" w:hAnsi="仿宋"/>
          <w:color w:val="000000"/>
          <w:sz w:val="28"/>
          <w:szCs w:val="28"/>
          <w:shd w:val="clear" w:color="auto" w:fill="FFFFFF"/>
          <w:lang w:bidi="ar"/>
        </w:rPr>
        <w:t xml:space="preserve">日  </w:t>
      </w:r>
    </w:p>
    <w:p w14:paraId="3EC742E9">
      <w:pPr>
        <w:snapToGrid w:val="0"/>
        <w:spacing w:line="560" w:lineRule="exact"/>
        <w:rPr>
          <w:rFonts w:hint="eastAsia" w:ascii="仿宋" w:hAnsi="仿宋"/>
          <w:b/>
          <w:bCs/>
          <w:sz w:val="28"/>
          <w:szCs w:val="28"/>
        </w:rPr>
      </w:pPr>
    </w:p>
    <w:p w14:paraId="7D5EB351">
      <w:pPr>
        <w:snapToGrid w:val="0"/>
        <w:spacing w:line="560" w:lineRule="exact"/>
        <w:rPr>
          <w:rFonts w:hint="eastAsia" w:ascii="仿宋" w:hAnsi="仿宋"/>
          <w:b/>
          <w:bCs/>
          <w:sz w:val="28"/>
          <w:szCs w:val="28"/>
        </w:rPr>
      </w:pPr>
    </w:p>
    <w:p w14:paraId="35121FFD">
      <w:pPr>
        <w:snapToGrid w:val="0"/>
        <w:spacing w:line="560" w:lineRule="exact"/>
        <w:rPr>
          <w:rFonts w:hint="eastAsia" w:ascii="仿宋" w:hAnsi="仿宋"/>
          <w:b/>
          <w:bCs/>
          <w:sz w:val="28"/>
          <w:szCs w:val="28"/>
        </w:rPr>
      </w:pPr>
    </w:p>
    <w:p w14:paraId="1362069A">
      <w:pPr>
        <w:snapToGrid w:val="0"/>
        <w:spacing w:line="560" w:lineRule="exact"/>
        <w:rPr>
          <w:rFonts w:hint="eastAsia" w:ascii="仿宋" w:hAnsi="仿宋"/>
          <w:b/>
          <w:bCs/>
          <w:sz w:val="28"/>
          <w:szCs w:val="28"/>
        </w:rPr>
      </w:pPr>
    </w:p>
    <w:p w14:paraId="32A405AE">
      <w:pPr>
        <w:snapToGrid w:val="0"/>
        <w:spacing w:line="560" w:lineRule="exact"/>
        <w:rPr>
          <w:rFonts w:hint="eastAsia" w:ascii="仿宋" w:hAnsi="仿宋"/>
          <w:b/>
          <w:bCs/>
          <w:sz w:val="28"/>
          <w:szCs w:val="28"/>
        </w:rPr>
      </w:pPr>
    </w:p>
    <w:p w14:paraId="597AC5D7">
      <w:pPr>
        <w:snapToGrid w:val="0"/>
        <w:spacing w:line="560" w:lineRule="exact"/>
        <w:rPr>
          <w:rFonts w:hint="eastAsia" w:ascii="仿宋" w:hAnsi="仿宋"/>
          <w:b/>
          <w:bCs/>
          <w:sz w:val="28"/>
          <w:szCs w:val="28"/>
        </w:rPr>
      </w:pPr>
    </w:p>
    <w:p w14:paraId="5604BCF2">
      <w:pPr>
        <w:snapToGrid w:val="0"/>
        <w:spacing w:line="560" w:lineRule="exact"/>
        <w:rPr>
          <w:rFonts w:hint="eastAsia" w:ascii="仿宋" w:hAnsi="仿宋"/>
          <w:b/>
          <w:bCs/>
          <w:sz w:val="28"/>
          <w:szCs w:val="28"/>
        </w:rPr>
      </w:pPr>
    </w:p>
    <w:p w14:paraId="02A74D85">
      <w:pPr>
        <w:snapToGrid w:val="0"/>
        <w:spacing w:line="560" w:lineRule="exact"/>
        <w:rPr>
          <w:rFonts w:hint="eastAsia" w:ascii="仿宋" w:hAnsi="仿宋"/>
          <w:b/>
          <w:bCs/>
          <w:sz w:val="28"/>
          <w:szCs w:val="28"/>
        </w:rPr>
      </w:pPr>
    </w:p>
    <w:p w14:paraId="36154A01">
      <w:pPr>
        <w:snapToGrid w:val="0"/>
        <w:spacing w:line="560" w:lineRule="exact"/>
        <w:rPr>
          <w:rFonts w:hint="eastAsia" w:ascii="仿宋" w:hAnsi="仿宋"/>
          <w:b/>
          <w:bCs/>
          <w:sz w:val="28"/>
          <w:szCs w:val="28"/>
        </w:rPr>
      </w:pPr>
    </w:p>
    <w:p w14:paraId="1A3D2E6E">
      <w:pPr>
        <w:snapToGrid w:val="0"/>
        <w:spacing w:line="560" w:lineRule="exact"/>
        <w:rPr>
          <w:rFonts w:hint="eastAsia" w:ascii="仿宋" w:hAnsi="仿宋"/>
          <w:b/>
          <w:bCs/>
          <w:sz w:val="28"/>
          <w:szCs w:val="28"/>
        </w:rPr>
      </w:pPr>
    </w:p>
    <w:p w14:paraId="753F34E4">
      <w:pPr>
        <w:snapToGrid w:val="0"/>
        <w:spacing w:line="560" w:lineRule="exact"/>
        <w:rPr>
          <w:rFonts w:hint="eastAsia" w:ascii="仿宋" w:hAnsi="仿宋"/>
          <w:b/>
          <w:bCs/>
          <w:sz w:val="28"/>
          <w:szCs w:val="28"/>
        </w:rPr>
      </w:pPr>
    </w:p>
    <w:p w14:paraId="11C4AEF2">
      <w:pPr>
        <w:snapToGrid w:val="0"/>
        <w:spacing w:line="560" w:lineRule="exact"/>
        <w:rPr>
          <w:rFonts w:hint="eastAsia" w:ascii="仿宋" w:hAnsi="仿宋"/>
          <w:b/>
          <w:bCs/>
          <w:sz w:val="28"/>
          <w:szCs w:val="28"/>
        </w:rPr>
      </w:pPr>
      <w:r>
        <w:rPr>
          <w:rFonts w:hint="eastAsia" w:ascii="仿宋" w:hAnsi="仿宋"/>
          <w:b/>
          <w:bCs/>
          <w:sz w:val="28"/>
          <w:szCs w:val="28"/>
        </w:rPr>
        <w:t>附件1：</w:t>
      </w:r>
      <w:bookmarkStart w:id="0" w:name="_Hlk176901151"/>
    </w:p>
    <w:bookmarkEnd w:id="0"/>
    <w:p w14:paraId="417830B0">
      <w:pPr>
        <w:snapToGrid w:val="0"/>
        <w:spacing w:line="560" w:lineRule="exact"/>
        <w:jc w:val="center"/>
        <w:rPr>
          <w:rFonts w:hint="eastAsia" w:ascii="宋体" w:hAnsi="宋体" w:eastAsia="宋体" w:cs="宋体"/>
          <w:b/>
          <w:bCs/>
          <w:sz w:val="36"/>
          <w:szCs w:val="36"/>
        </w:rPr>
      </w:pPr>
      <w:r>
        <w:rPr>
          <w:rFonts w:hint="eastAsia" w:ascii="宋体" w:hAnsi="宋体" w:eastAsia="宋体" w:cs="宋体"/>
          <w:b/>
          <w:bCs/>
          <w:sz w:val="36"/>
          <w:szCs w:val="36"/>
        </w:rPr>
        <w:t>北京</w:t>
      </w:r>
      <w:r>
        <w:rPr>
          <w:rFonts w:hint="eastAsia" w:ascii="宋体" w:hAnsi="宋体" w:eastAsia="宋体" w:cs="宋体"/>
          <w:b/>
          <w:bCs/>
          <w:sz w:val="36"/>
          <w:szCs w:val="36"/>
          <w:lang w:eastAsia="zh-CN"/>
        </w:rPr>
        <w:t>中广兴业</w:t>
      </w:r>
      <w:r>
        <w:rPr>
          <w:rFonts w:hint="eastAsia" w:ascii="宋体" w:hAnsi="宋体" w:eastAsia="宋体" w:cs="宋体"/>
          <w:b/>
          <w:bCs/>
          <w:sz w:val="36"/>
          <w:szCs w:val="36"/>
          <w:lang w:val="en-US" w:eastAsia="zh-CN"/>
        </w:rPr>
        <w:t>物业管理</w:t>
      </w:r>
      <w:r>
        <w:rPr>
          <w:rFonts w:hint="eastAsia" w:ascii="宋体" w:hAnsi="宋体" w:eastAsia="宋体" w:cs="宋体"/>
          <w:b/>
          <w:bCs/>
          <w:sz w:val="36"/>
          <w:szCs w:val="36"/>
        </w:rPr>
        <w:t>有限公司预招募重整投资人</w:t>
      </w:r>
    </w:p>
    <w:p w14:paraId="3AF0A14F">
      <w:pPr>
        <w:snapToGrid w:val="0"/>
        <w:spacing w:line="560" w:lineRule="exact"/>
        <w:jc w:val="center"/>
        <w:rPr>
          <w:rFonts w:hint="eastAsia" w:ascii="宋体" w:hAnsi="宋体" w:eastAsia="宋体" w:cs="宋体"/>
          <w:b/>
          <w:bCs/>
          <w:sz w:val="36"/>
          <w:szCs w:val="36"/>
        </w:rPr>
      </w:pPr>
      <w:r>
        <w:rPr>
          <w:rFonts w:hint="eastAsia" w:ascii="宋体" w:hAnsi="宋体" w:eastAsia="宋体" w:cs="宋体"/>
          <w:b/>
          <w:bCs/>
          <w:sz w:val="36"/>
          <w:szCs w:val="36"/>
        </w:rPr>
        <w:t>报名意向书</w:t>
      </w:r>
    </w:p>
    <w:p w14:paraId="3C693794">
      <w:pPr>
        <w:snapToGrid w:val="0"/>
        <w:spacing w:line="560" w:lineRule="exact"/>
        <w:rPr>
          <w:rFonts w:hint="eastAsia" w:ascii="仿宋" w:hAnsi="仿宋"/>
          <w:sz w:val="28"/>
          <w:szCs w:val="28"/>
        </w:rPr>
      </w:pPr>
      <w:r>
        <w:rPr>
          <w:rFonts w:hint="eastAsia" w:ascii="仿宋" w:hAnsi="仿宋"/>
          <w:sz w:val="28"/>
          <w:szCs w:val="28"/>
        </w:rPr>
        <w:t>北京</w:t>
      </w:r>
      <w:r>
        <w:rPr>
          <w:rFonts w:hint="eastAsia" w:ascii="仿宋" w:hAnsi="仿宋"/>
          <w:sz w:val="28"/>
          <w:szCs w:val="28"/>
          <w:lang w:eastAsia="zh-CN"/>
        </w:rPr>
        <w:t>中广兴业</w:t>
      </w:r>
      <w:r>
        <w:rPr>
          <w:rFonts w:hint="eastAsia" w:ascii="仿宋" w:hAnsi="仿宋"/>
          <w:sz w:val="28"/>
          <w:szCs w:val="28"/>
          <w:lang w:val="en-US" w:eastAsia="zh-CN"/>
        </w:rPr>
        <w:t>物业管理</w:t>
      </w:r>
      <w:r>
        <w:rPr>
          <w:rFonts w:hint="eastAsia" w:ascii="仿宋" w:hAnsi="仿宋"/>
          <w:sz w:val="28"/>
          <w:szCs w:val="28"/>
        </w:rPr>
        <w:t>有限公司管理人：</w:t>
      </w:r>
    </w:p>
    <w:p w14:paraId="2B86077A">
      <w:pPr>
        <w:snapToGrid w:val="0"/>
        <w:spacing w:line="560" w:lineRule="exact"/>
        <w:ind w:firstLine="560" w:firstLineChars="200"/>
        <w:rPr>
          <w:rFonts w:hint="eastAsia" w:ascii="仿宋" w:hAnsi="仿宋"/>
          <w:sz w:val="28"/>
          <w:szCs w:val="28"/>
        </w:rPr>
      </w:pPr>
      <w:r>
        <w:rPr>
          <w:rFonts w:hint="eastAsia" w:ascii="仿宋" w:hAnsi="仿宋"/>
          <w:sz w:val="28"/>
          <w:szCs w:val="28"/>
        </w:rPr>
        <w:t>本参选机构已充分知悉并了解《北京</w:t>
      </w:r>
      <w:r>
        <w:rPr>
          <w:rFonts w:hint="eastAsia" w:ascii="仿宋" w:hAnsi="仿宋"/>
          <w:sz w:val="28"/>
          <w:szCs w:val="28"/>
          <w:lang w:eastAsia="zh-CN"/>
        </w:rPr>
        <w:t>中广兴业</w:t>
      </w:r>
      <w:r>
        <w:rPr>
          <w:rFonts w:hint="eastAsia" w:ascii="仿宋" w:hAnsi="仿宋"/>
          <w:sz w:val="28"/>
          <w:szCs w:val="28"/>
          <w:lang w:val="en-US" w:eastAsia="zh-CN"/>
        </w:rPr>
        <w:t>物业管理</w:t>
      </w:r>
      <w:r>
        <w:rPr>
          <w:rFonts w:hint="eastAsia" w:ascii="仿宋" w:hAnsi="仿宋"/>
          <w:sz w:val="28"/>
          <w:szCs w:val="28"/>
        </w:rPr>
        <w:t>有限公司破产清算案意向投资人预招募公告》的内容，承诺符合该公告所要求的意向投资人报名条件。本参选机构所提交的报名材料均真实、合法、有效，且不存在重大隐瞒或遗漏，本参选机构自愿参与北京</w:t>
      </w:r>
      <w:r>
        <w:rPr>
          <w:rFonts w:hint="eastAsia" w:ascii="仿宋" w:hAnsi="仿宋"/>
          <w:sz w:val="28"/>
          <w:szCs w:val="28"/>
          <w:lang w:eastAsia="zh-CN"/>
        </w:rPr>
        <w:t>中广兴业</w:t>
      </w:r>
      <w:r>
        <w:rPr>
          <w:rFonts w:hint="eastAsia" w:ascii="仿宋" w:hAnsi="仿宋"/>
          <w:sz w:val="28"/>
          <w:szCs w:val="28"/>
          <w:lang w:val="en-US" w:eastAsia="zh-CN"/>
        </w:rPr>
        <w:t>物业管理</w:t>
      </w:r>
      <w:r>
        <w:rPr>
          <w:rFonts w:hint="eastAsia" w:ascii="仿宋" w:hAnsi="仿宋"/>
          <w:sz w:val="28"/>
          <w:szCs w:val="28"/>
        </w:rPr>
        <w:t>有限公司投资人的预招募程序，遵照管理人要求开展投资人预招募程序，并自行承担一切责任与风险。本参选机构的名称及联系方式如下：</w:t>
      </w:r>
    </w:p>
    <w:tbl>
      <w:tblPr>
        <w:tblStyle w:val="8"/>
        <w:tblpPr w:leftFromText="180" w:rightFromText="180" w:vertAnchor="text" w:horzAnchor="page" w:tblpXSpec="center" w:tblpY="423"/>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30"/>
        <w:gridCol w:w="5466"/>
      </w:tblGrid>
      <w:tr w14:paraId="21F5B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830" w:type="dxa"/>
          </w:tcPr>
          <w:p w14:paraId="4FD99D93">
            <w:pPr>
              <w:snapToGrid w:val="0"/>
              <w:spacing w:line="560" w:lineRule="exact"/>
              <w:jc w:val="center"/>
              <w:rPr>
                <w:rFonts w:hint="eastAsia" w:ascii="仿宋" w:hAnsi="仿宋"/>
                <w:sz w:val="28"/>
                <w:szCs w:val="28"/>
              </w:rPr>
            </w:pPr>
            <w:r>
              <w:rPr>
                <w:rFonts w:hint="eastAsia" w:ascii="仿宋" w:hAnsi="仿宋"/>
                <w:sz w:val="28"/>
                <w:szCs w:val="28"/>
              </w:rPr>
              <w:t>名    称</w:t>
            </w:r>
          </w:p>
        </w:tc>
        <w:tc>
          <w:tcPr>
            <w:tcW w:w="5466" w:type="dxa"/>
          </w:tcPr>
          <w:p w14:paraId="6A7EEA77">
            <w:pPr>
              <w:snapToGrid w:val="0"/>
              <w:spacing w:line="560" w:lineRule="exact"/>
              <w:rPr>
                <w:rFonts w:hint="eastAsia" w:ascii="仿宋" w:hAnsi="仿宋"/>
                <w:sz w:val="28"/>
                <w:szCs w:val="28"/>
              </w:rPr>
            </w:pPr>
          </w:p>
        </w:tc>
      </w:tr>
      <w:tr w14:paraId="6CD30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0" w:type="dxa"/>
          </w:tcPr>
          <w:p w14:paraId="6B7F7B39">
            <w:pPr>
              <w:snapToGrid w:val="0"/>
              <w:spacing w:line="560" w:lineRule="exact"/>
              <w:jc w:val="center"/>
              <w:rPr>
                <w:rFonts w:hint="eastAsia" w:ascii="仿宋" w:hAnsi="仿宋"/>
                <w:sz w:val="28"/>
                <w:szCs w:val="28"/>
              </w:rPr>
            </w:pPr>
            <w:r>
              <w:rPr>
                <w:rFonts w:hint="eastAsia" w:ascii="仿宋" w:hAnsi="仿宋"/>
                <w:sz w:val="28"/>
                <w:szCs w:val="28"/>
              </w:rPr>
              <w:t>联 系 人</w:t>
            </w:r>
          </w:p>
        </w:tc>
        <w:tc>
          <w:tcPr>
            <w:tcW w:w="5466" w:type="dxa"/>
          </w:tcPr>
          <w:p w14:paraId="14A72F6C">
            <w:pPr>
              <w:snapToGrid w:val="0"/>
              <w:spacing w:line="560" w:lineRule="exact"/>
              <w:rPr>
                <w:rFonts w:hint="eastAsia" w:ascii="仿宋" w:hAnsi="仿宋"/>
                <w:sz w:val="28"/>
                <w:szCs w:val="28"/>
              </w:rPr>
            </w:pPr>
          </w:p>
        </w:tc>
      </w:tr>
      <w:tr w14:paraId="32239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0" w:type="dxa"/>
          </w:tcPr>
          <w:p w14:paraId="763A00FD">
            <w:pPr>
              <w:snapToGrid w:val="0"/>
              <w:spacing w:line="560" w:lineRule="exact"/>
              <w:jc w:val="center"/>
              <w:rPr>
                <w:rFonts w:hint="eastAsia" w:ascii="仿宋" w:hAnsi="仿宋"/>
                <w:sz w:val="28"/>
                <w:szCs w:val="28"/>
              </w:rPr>
            </w:pPr>
            <w:r>
              <w:rPr>
                <w:rFonts w:hint="eastAsia" w:ascii="仿宋" w:hAnsi="仿宋"/>
                <w:sz w:val="28"/>
                <w:szCs w:val="28"/>
              </w:rPr>
              <w:t>联系电话</w:t>
            </w:r>
          </w:p>
        </w:tc>
        <w:tc>
          <w:tcPr>
            <w:tcW w:w="5466" w:type="dxa"/>
          </w:tcPr>
          <w:p w14:paraId="2A44F2CE">
            <w:pPr>
              <w:snapToGrid w:val="0"/>
              <w:spacing w:line="560" w:lineRule="exact"/>
              <w:rPr>
                <w:rFonts w:hint="eastAsia" w:ascii="仿宋" w:hAnsi="仿宋"/>
                <w:sz w:val="28"/>
                <w:szCs w:val="28"/>
              </w:rPr>
            </w:pPr>
          </w:p>
        </w:tc>
      </w:tr>
      <w:tr w14:paraId="6B170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0" w:type="dxa"/>
          </w:tcPr>
          <w:p w14:paraId="1B55A1D5">
            <w:pPr>
              <w:snapToGrid w:val="0"/>
              <w:spacing w:line="560" w:lineRule="exact"/>
              <w:jc w:val="center"/>
              <w:rPr>
                <w:rFonts w:hint="eastAsia" w:ascii="仿宋" w:hAnsi="仿宋"/>
                <w:sz w:val="28"/>
                <w:szCs w:val="28"/>
              </w:rPr>
            </w:pPr>
            <w:r>
              <w:rPr>
                <w:rFonts w:hint="eastAsia" w:ascii="仿宋" w:hAnsi="仿宋"/>
                <w:sz w:val="28"/>
                <w:szCs w:val="28"/>
              </w:rPr>
              <w:t>电子邮箱</w:t>
            </w:r>
          </w:p>
        </w:tc>
        <w:tc>
          <w:tcPr>
            <w:tcW w:w="5466" w:type="dxa"/>
          </w:tcPr>
          <w:p w14:paraId="3F2E3794">
            <w:pPr>
              <w:snapToGrid w:val="0"/>
              <w:spacing w:line="560" w:lineRule="exact"/>
              <w:rPr>
                <w:rFonts w:hint="eastAsia" w:ascii="仿宋" w:hAnsi="仿宋"/>
                <w:sz w:val="28"/>
                <w:szCs w:val="28"/>
              </w:rPr>
            </w:pPr>
          </w:p>
        </w:tc>
      </w:tr>
      <w:tr w14:paraId="47884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0" w:type="dxa"/>
          </w:tcPr>
          <w:p w14:paraId="6CC3265E">
            <w:pPr>
              <w:snapToGrid w:val="0"/>
              <w:spacing w:line="560" w:lineRule="exact"/>
              <w:jc w:val="center"/>
              <w:rPr>
                <w:rFonts w:hint="eastAsia" w:ascii="仿宋" w:hAnsi="仿宋"/>
                <w:sz w:val="28"/>
                <w:szCs w:val="28"/>
              </w:rPr>
            </w:pPr>
            <w:r>
              <w:rPr>
                <w:rFonts w:hint="eastAsia" w:ascii="仿宋" w:hAnsi="仿宋"/>
                <w:sz w:val="28"/>
                <w:szCs w:val="28"/>
              </w:rPr>
              <w:t>联系地址</w:t>
            </w:r>
          </w:p>
        </w:tc>
        <w:tc>
          <w:tcPr>
            <w:tcW w:w="5466" w:type="dxa"/>
          </w:tcPr>
          <w:p w14:paraId="15A3C9FB">
            <w:pPr>
              <w:snapToGrid w:val="0"/>
              <w:spacing w:line="560" w:lineRule="exact"/>
              <w:rPr>
                <w:rFonts w:hint="eastAsia" w:ascii="仿宋" w:hAnsi="仿宋"/>
                <w:sz w:val="28"/>
                <w:szCs w:val="28"/>
              </w:rPr>
            </w:pPr>
          </w:p>
        </w:tc>
      </w:tr>
      <w:tr w14:paraId="4AF94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0" w:type="dxa"/>
            <w:vMerge w:val="restart"/>
            <w:vAlign w:val="center"/>
          </w:tcPr>
          <w:p w14:paraId="53708FE5">
            <w:pPr>
              <w:snapToGrid w:val="0"/>
              <w:spacing w:line="560" w:lineRule="exact"/>
              <w:jc w:val="center"/>
              <w:rPr>
                <w:rFonts w:hint="eastAsia" w:ascii="仿宋" w:hAnsi="仿宋"/>
                <w:sz w:val="28"/>
                <w:szCs w:val="28"/>
              </w:rPr>
            </w:pPr>
            <w:r>
              <w:rPr>
                <w:rFonts w:hint="eastAsia" w:ascii="仿宋" w:hAnsi="仿宋"/>
                <w:sz w:val="28"/>
                <w:szCs w:val="28"/>
              </w:rPr>
              <w:t>银行账户信息</w:t>
            </w:r>
          </w:p>
          <w:p w14:paraId="204D23E1">
            <w:pPr>
              <w:snapToGrid w:val="0"/>
              <w:spacing w:line="560" w:lineRule="exact"/>
              <w:jc w:val="center"/>
              <w:rPr>
                <w:rFonts w:hint="eastAsia" w:ascii="仿宋" w:hAnsi="仿宋"/>
                <w:sz w:val="28"/>
                <w:szCs w:val="28"/>
              </w:rPr>
            </w:pPr>
            <w:r>
              <w:rPr>
                <w:rFonts w:hint="eastAsia" w:ascii="仿宋" w:hAnsi="仿宋"/>
                <w:sz w:val="28"/>
                <w:szCs w:val="28"/>
              </w:rPr>
              <w:t>（用于退还保证金使用）</w:t>
            </w:r>
          </w:p>
        </w:tc>
        <w:tc>
          <w:tcPr>
            <w:tcW w:w="5466" w:type="dxa"/>
          </w:tcPr>
          <w:p w14:paraId="4A66207E">
            <w:pPr>
              <w:snapToGrid w:val="0"/>
              <w:spacing w:line="560" w:lineRule="exact"/>
              <w:rPr>
                <w:rFonts w:hint="eastAsia" w:ascii="仿宋" w:hAnsi="仿宋"/>
                <w:sz w:val="28"/>
                <w:szCs w:val="28"/>
              </w:rPr>
            </w:pPr>
            <w:r>
              <w:rPr>
                <w:rFonts w:hint="eastAsia" w:ascii="仿宋" w:hAnsi="仿宋"/>
                <w:sz w:val="28"/>
                <w:szCs w:val="28"/>
              </w:rPr>
              <w:t>开户名称：</w:t>
            </w:r>
          </w:p>
        </w:tc>
      </w:tr>
      <w:tr w14:paraId="67670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0" w:type="dxa"/>
            <w:vMerge w:val="continue"/>
          </w:tcPr>
          <w:p w14:paraId="58FD8192">
            <w:pPr>
              <w:snapToGrid w:val="0"/>
              <w:spacing w:line="560" w:lineRule="exact"/>
              <w:jc w:val="center"/>
              <w:rPr>
                <w:rFonts w:hint="eastAsia" w:ascii="仿宋" w:hAnsi="仿宋"/>
                <w:sz w:val="28"/>
                <w:szCs w:val="28"/>
              </w:rPr>
            </w:pPr>
          </w:p>
        </w:tc>
        <w:tc>
          <w:tcPr>
            <w:tcW w:w="5466" w:type="dxa"/>
          </w:tcPr>
          <w:p w14:paraId="1060AA04">
            <w:pPr>
              <w:snapToGrid w:val="0"/>
              <w:spacing w:line="560" w:lineRule="exact"/>
              <w:rPr>
                <w:rFonts w:hint="eastAsia" w:ascii="仿宋" w:hAnsi="仿宋"/>
                <w:sz w:val="28"/>
                <w:szCs w:val="28"/>
              </w:rPr>
            </w:pPr>
            <w:r>
              <w:rPr>
                <w:rFonts w:hint="eastAsia" w:ascii="仿宋" w:hAnsi="仿宋"/>
                <w:sz w:val="28"/>
                <w:szCs w:val="28"/>
              </w:rPr>
              <w:t>账    号：</w:t>
            </w:r>
          </w:p>
        </w:tc>
      </w:tr>
      <w:tr w14:paraId="24F76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0" w:type="dxa"/>
            <w:vMerge w:val="continue"/>
          </w:tcPr>
          <w:p w14:paraId="763C0312">
            <w:pPr>
              <w:snapToGrid w:val="0"/>
              <w:spacing w:line="560" w:lineRule="exact"/>
              <w:jc w:val="center"/>
              <w:rPr>
                <w:rFonts w:hint="eastAsia" w:ascii="仿宋" w:hAnsi="仿宋"/>
                <w:sz w:val="28"/>
                <w:szCs w:val="28"/>
              </w:rPr>
            </w:pPr>
          </w:p>
        </w:tc>
        <w:tc>
          <w:tcPr>
            <w:tcW w:w="5466" w:type="dxa"/>
          </w:tcPr>
          <w:p w14:paraId="774ECC10">
            <w:pPr>
              <w:snapToGrid w:val="0"/>
              <w:spacing w:line="560" w:lineRule="exact"/>
              <w:rPr>
                <w:rFonts w:hint="eastAsia" w:ascii="仿宋" w:hAnsi="仿宋"/>
                <w:sz w:val="28"/>
                <w:szCs w:val="28"/>
              </w:rPr>
            </w:pPr>
            <w:r>
              <w:rPr>
                <w:rFonts w:hint="eastAsia" w:ascii="仿宋" w:hAnsi="仿宋"/>
                <w:sz w:val="28"/>
                <w:szCs w:val="28"/>
              </w:rPr>
              <w:t>开 户 行：</w:t>
            </w:r>
          </w:p>
        </w:tc>
      </w:tr>
    </w:tbl>
    <w:p w14:paraId="42F0CB7B">
      <w:pPr>
        <w:spacing w:line="560" w:lineRule="exact"/>
        <w:jc w:val="center"/>
        <w:rPr>
          <w:rFonts w:hint="eastAsia" w:ascii="仿宋" w:hAnsi="仿宋"/>
          <w:sz w:val="28"/>
          <w:szCs w:val="28"/>
        </w:rPr>
      </w:pPr>
      <w:r>
        <w:rPr>
          <w:rFonts w:hint="eastAsia" w:ascii="仿宋" w:hAnsi="仿宋"/>
          <w:sz w:val="28"/>
          <w:szCs w:val="28"/>
        </w:rPr>
        <w:t xml:space="preserve">           </w:t>
      </w:r>
    </w:p>
    <w:p w14:paraId="2ABB0640">
      <w:pPr>
        <w:spacing w:line="560" w:lineRule="exact"/>
        <w:jc w:val="center"/>
        <w:rPr>
          <w:rFonts w:hint="eastAsia" w:ascii="仿宋" w:hAnsi="仿宋"/>
          <w:sz w:val="28"/>
          <w:szCs w:val="28"/>
        </w:rPr>
      </w:pPr>
      <w:r>
        <w:rPr>
          <w:rFonts w:hint="eastAsia" w:ascii="仿宋" w:hAnsi="仿宋"/>
          <w:sz w:val="28"/>
          <w:szCs w:val="28"/>
        </w:rPr>
        <w:t xml:space="preserve">   意向投资人（盖章）：</w:t>
      </w:r>
    </w:p>
    <w:p w14:paraId="63EB938C">
      <w:pPr>
        <w:wordWrap w:val="0"/>
        <w:spacing w:line="560" w:lineRule="exact"/>
        <w:jc w:val="right"/>
        <w:rPr>
          <w:rFonts w:hint="eastAsia" w:ascii="仿宋" w:hAnsi="仿宋"/>
          <w:sz w:val="28"/>
          <w:szCs w:val="28"/>
          <w:u w:val="single"/>
        </w:rPr>
      </w:pPr>
      <w:r>
        <w:rPr>
          <w:rFonts w:hint="eastAsia" w:ascii="仿宋" w:hAnsi="仿宋"/>
          <w:sz w:val="28"/>
          <w:szCs w:val="28"/>
        </w:rPr>
        <w:t xml:space="preserve"> 法定代表人（负责人）/授权代表签字：</w:t>
      </w:r>
      <w:r>
        <w:rPr>
          <w:rFonts w:hint="eastAsia" w:ascii="仿宋" w:hAnsi="仿宋"/>
          <w:sz w:val="28"/>
          <w:szCs w:val="28"/>
          <w:u w:val="single"/>
        </w:rPr>
        <w:t xml:space="preserve">          </w:t>
      </w:r>
    </w:p>
    <w:p w14:paraId="5F885AF1">
      <w:pPr>
        <w:wordWrap w:val="0"/>
        <w:spacing w:line="560" w:lineRule="exact"/>
        <w:jc w:val="right"/>
        <w:rPr>
          <w:rFonts w:hint="eastAsia" w:ascii="仿宋" w:hAnsi="仿宋"/>
          <w:sz w:val="28"/>
          <w:szCs w:val="28"/>
          <w:u w:val="single"/>
        </w:rPr>
      </w:pPr>
      <w:r>
        <w:rPr>
          <w:rFonts w:hint="eastAsia" w:ascii="仿宋" w:hAnsi="仿宋"/>
          <w:sz w:val="28"/>
          <w:szCs w:val="28"/>
        </w:rPr>
        <w:t xml:space="preserve"> 日期：</w:t>
      </w:r>
      <w:r>
        <w:rPr>
          <w:rFonts w:hint="eastAsia" w:ascii="仿宋" w:hAnsi="仿宋"/>
          <w:sz w:val="28"/>
          <w:szCs w:val="28"/>
          <w:u w:val="single"/>
        </w:rPr>
        <w:t xml:space="preserve">          </w:t>
      </w:r>
    </w:p>
    <w:p w14:paraId="0D15BDC6">
      <w:pPr>
        <w:snapToGrid w:val="0"/>
        <w:spacing w:line="560" w:lineRule="exact"/>
        <w:rPr>
          <w:rFonts w:hint="eastAsia" w:ascii="仿宋" w:hAnsi="仿宋"/>
          <w:b/>
          <w:bCs/>
          <w:sz w:val="28"/>
          <w:szCs w:val="28"/>
        </w:rPr>
      </w:pPr>
    </w:p>
    <w:p w14:paraId="161E0FD4">
      <w:pPr>
        <w:snapToGrid w:val="0"/>
        <w:spacing w:line="560" w:lineRule="exact"/>
        <w:rPr>
          <w:rFonts w:hint="eastAsia" w:ascii="仿宋" w:hAnsi="仿宋"/>
          <w:b/>
          <w:bCs/>
          <w:sz w:val="28"/>
          <w:szCs w:val="28"/>
        </w:rPr>
      </w:pPr>
      <w:r>
        <w:rPr>
          <w:rFonts w:hint="eastAsia" w:ascii="仿宋" w:hAnsi="仿宋"/>
          <w:b/>
          <w:bCs/>
          <w:sz w:val="28"/>
          <w:szCs w:val="28"/>
        </w:rPr>
        <w:t>附件2：</w:t>
      </w:r>
    </w:p>
    <w:p w14:paraId="1A51E2A7">
      <w:pPr>
        <w:snapToGrid w:val="0"/>
        <w:spacing w:line="560" w:lineRule="exact"/>
        <w:jc w:val="center"/>
        <w:rPr>
          <w:rFonts w:hint="eastAsia" w:ascii="宋体" w:hAnsi="宋体" w:eastAsia="宋体" w:cs="宋体"/>
          <w:b/>
          <w:bCs/>
          <w:sz w:val="36"/>
          <w:szCs w:val="36"/>
        </w:rPr>
      </w:pPr>
      <w:r>
        <w:rPr>
          <w:rFonts w:hint="eastAsia" w:ascii="宋体" w:hAnsi="宋体" w:eastAsia="宋体" w:cs="宋体"/>
          <w:b/>
          <w:bCs/>
          <w:sz w:val="36"/>
          <w:szCs w:val="36"/>
        </w:rPr>
        <w:t>北京</w:t>
      </w:r>
      <w:r>
        <w:rPr>
          <w:rFonts w:hint="eastAsia" w:ascii="宋体" w:hAnsi="宋体" w:eastAsia="宋体" w:cs="宋体"/>
          <w:b/>
          <w:bCs/>
          <w:sz w:val="36"/>
          <w:szCs w:val="36"/>
          <w:lang w:eastAsia="zh-CN"/>
        </w:rPr>
        <w:t>中广兴业</w:t>
      </w:r>
      <w:r>
        <w:rPr>
          <w:rFonts w:hint="eastAsia" w:ascii="宋体" w:hAnsi="宋体" w:eastAsia="宋体" w:cs="宋体"/>
          <w:b/>
          <w:bCs/>
          <w:sz w:val="36"/>
          <w:szCs w:val="36"/>
          <w:lang w:val="en-US" w:eastAsia="zh-CN"/>
        </w:rPr>
        <w:t>物业管理</w:t>
      </w:r>
      <w:r>
        <w:rPr>
          <w:rFonts w:hint="eastAsia" w:ascii="宋体" w:hAnsi="宋体" w:eastAsia="宋体" w:cs="宋体"/>
          <w:b/>
          <w:bCs/>
          <w:sz w:val="36"/>
          <w:szCs w:val="36"/>
        </w:rPr>
        <w:t>有限公司预招募意向投资人</w:t>
      </w:r>
    </w:p>
    <w:p w14:paraId="5270E1B4">
      <w:pPr>
        <w:snapToGrid w:val="0"/>
        <w:spacing w:line="560" w:lineRule="exact"/>
        <w:jc w:val="center"/>
        <w:rPr>
          <w:rFonts w:hint="eastAsia" w:ascii="宋体" w:hAnsi="宋体" w:eastAsia="宋体" w:cs="宋体"/>
          <w:b/>
          <w:bCs/>
          <w:sz w:val="36"/>
          <w:szCs w:val="36"/>
        </w:rPr>
      </w:pPr>
      <w:r>
        <w:rPr>
          <w:rFonts w:hint="eastAsia" w:ascii="宋体" w:hAnsi="宋体" w:eastAsia="宋体" w:cs="宋体"/>
          <w:b/>
          <w:bCs/>
          <w:sz w:val="36"/>
          <w:szCs w:val="36"/>
        </w:rPr>
        <w:t>承 诺 函</w:t>
      </w:r>
    </w:p>
    <w:p w14:paraId="4F8FA9B4">
      <w:pPr>
        <w:snapToGrid w:val="0"/>
        <w:spacing w:line="560" w:lineRule="exact"/>
        <w:jc w:val="center"/>
        <w:rPr>
          <w:rFonts w:hint="eastAsia" w:ascii="仿宋" w:hAnsi="仿宋"/>
          <w:b/>
          <w:bCs/>
          <w:sz w:val="28"/>
          <w:szCs w:val="28"/>
        </w:rPr>
      </w:pPr>
    </w:p>
    <w:p w14:paraId="556E4D22">
      <w:pPr>
        <w:snapToGrid w:val="0"/>
        <w:spacing w:line="560" w:lineRule="exact"/>
        <w:rPr>
          <w:rFonts w:hint="eastAsia" w:ascii="仿宋" w:hAnsi="仿宋"/>
          <w:sz w:val="28"/>
          <w:szCs w:val="28"/>
        </w:rPr>
      </w:pPr>
      <w:r>
        <w:rPr>
          <w:rFonts w:hint="eastAsia" w:ascii="仿宋" w:hAnsi="仿宋"/>
          <w:sz w:val="28"/>
          <w:szCs w:val="28"/>
        </w:rPr>
        <w:t>北京</w:t>
      </w:r>
      <w:r>
        <w:rPr>
          <w:rFonts w:hint="eastAsia" w:ascii="仿宋" w:hAnsi="仿宋"/>
          <w:sz w:val="28"/>
          <w:szCs w:val="28"/>
          <w:lang w:eastAsia="zh-CN"/>
        </w:rPr>
        <w:t>中广兴业</w:t>
      </w:r>
      <w:r>
        <w:rPr>
          <w:rFonts w:hint="eastAsia" w:ascii="仿宋" w:hAnsi="仿宋"/>
          <w:sz w:val="28"/>
          <w:szCs w:val="28"/>
          <w:lang w:val="en-US" w:eastAsia="zh-CN"/>
        </w:rPr>
        <w:t>物业管理</w:t>
      </w:r>
      <w:r>
        <w:rPr>
          <w:rFonts w:hint="eastAsia" w:ascii="仿宋" w:hAnsi="仿宋"/>
          <w:sz w:val="28"/>
          <w:szCs w:val="28"/>
        </w:rPr>
        <w:t>有限公司管理人：</w:t>
      </w:r>
    </w:p>
    <w:p w14:paraId="0391FD07">
      <w:pPr>
        <w:snapToGrid w:val="0"/>
        <w:spacing w:line="560" w:lineRule="exact"/>
        <w:ind w:firstLine="560" w:firstLineChars="200"/>
        <w:rPr>
          <w:rFonts w:hint="eastAsia" w:ascii="仿宋" w:hAnsi="仿宋"/>
          <w:sz w:val="28"/>
          <w:szCs w:val="28"/>
        </w:rPr>
      </w:pPr>
      <w:r>
        <w:rPr>
          <w:rFonts w:hint="eastAsia" w:ascii="仿宋" w:hAnsi="仿宋"/>
          <w:sz w:val="28"/>
          <w:szCs w:val="28"/>
        </w:rPr>
        <w:t>截至本函件出具之日，我方未被人民法院列入失信被执行人名单，不属于失信惩戒对象，最近三年无重大违法行为且不涉嫌重大违法行为。北京</w:t>
      </w:r>
      <w:r>
        <w:rPr>
          <w:rFonts w:hint="eastAsia" w:ascii="仿宋" w:hAnsi="仿宋"/>
          <w:sz w:val="28"/>
          <w:szCs w:val="28"/>
          <w:lang w:eastAsia="zh-CN"/>
        </w:rPr>
        <w:t>中广兴业</w:t>
      </w:r>
      <w:r>
        <w:rPr>
          <w:rFonts w:hint="eastAsia" w:ascii="仿宋" w:hAnsi="仿宋"/>
          <w:sz w:val="28"/>
          <w:szCs w:val="28"/>
          <w:lang w:val="en-US" w:eastAsia="zh-CN"/>
        </w:rPr>
        <w:t>物业管理</w:t>
      </w:r>
      <w:r>
        <w:rPr>
          <w:rFonts w:hint="eastAsia" w:ascii="仿宋" w:hAnsi="仿宋"/>
          <w:sz w:val="28"/>
          <w:szCs w:val="28"/>
        </w:rPr>
        <w:t xml:space="preserve">有限公司预招募及遴选投资人期间，我方承诺遵守企业经营规章制度，遵守管理人安排。 </w:t>
      </w:r>
    </w:p>
    <w:p w14:paraId="12A4A9B2">
      <w:pPr>
        <w:snapToGrid w:val="0"/>
        <w:spacing w:line="560" w:lineRule="exact"/>
        <w:ind w:firstLine="560" w:firstLineChars="200"/>
        <w:rPr>
          <w:rFonts w:hint="eastAsia" w:ascii="仿宋" w:hAnsi="仿宋"/>
          <w:sz w:val="28"/>
          <w:szCs w:val="28"/>
        </w:rPr>
      </w:pPr>
      <w:r>
        <w:rPr>
          <w:rFonts w:hint="eastAsia" w:ascii="仿宋" w:hAnsi="仿宋"/>
          <w:sz w:val="28"/>
          <w:szCs w:val="28"/>
        </w:rPr>
        <w:t>同时，如管理人为遴选重整投资人而需开展反向尽调的，我方同意配合管理人针对我方开展的反向尽调。</w:t>
      </w:r>
    </w:p>
    <w:p w14:paraId="520ED553">
      <w:pPr>
        <w:spacing w:line="560" w:lineRule="exact"/>
        <w:jc w:val="center"/>
        <w:rPr>
          <w:rFonts w:hint="eastAsia" w:ascii="仿宋" w:hAnsi="仿宋"/>
          <w:sz w:val="28"/>
          <w:szCs w:val="28"/>
        </w:rPr>
      </w:pPr>
      <w:r>
        <w:rPr>
          <w:rFonts w:hint="eastAsia" w:ascii="仿宋" w:hAnsi="仿宋"/>
          <w:sz w:val="28"/>
          <w:szCs w:val="28"/>
        </w:rPr>
        <w:t xml:space="preserve">     </w:t>
      </w:r>
    </w:p>
    <w:p w14:paraId="1E1AABD1">
      <w:pPr>
        <w:spacing w:line="560" w:lineRule="exact"/>
        <w:jc w:val="center"/>
        <w:rPr>
          <w:rFonts w:hint="eastAsia" w:ascii="仿宋" w:hAnsi="仿宋"/>
          <w:sz w:val="28"/>
          <w:szCs w:val="28"/>
        </w:rPr>
      </w:pPr>
      <w:r>
        <w:rPr>
          <w:rFonts w:hint="eastAsia" w:ascii="仿宋" w:hAnsi="仿宋"/>
          <w:sz w:val="28"/>
          <w:szCs w:val="28"/>
        </w:rPr>
        <w:t xml:space="preserve">           意向投资人（盖章）：</w:t>
      </w:r>
    </w:p>
    <w:p w14:paraId="003E4287">
      <w:pPr>
        <w:spacing w:line="560" w:lineRule="exact"/>
        <w:jc w:val="center"/>
        <w:rPr>
          <w:rFonts w:hint="eastAsia" w:ascii="仿宋" w:hAnsi="仿宋"/>
          <w:sz w:val="28"/>
          <w:szCs w:val="28"/>
        </w:rPr>
      </w:pPr>
    </w:p>
    <w:p w14:paraId="6F8AE119">
      <w:pPr>
        <w:wordWrap w:val="0"/>
        <w:spacing w:line="560" w:lineRule="exact"/>
        <w:jc w:val="right"/>
        <w:rPr>
          <w:rFonts w:hint="eastAsia" w:ascii="仿宋" w:hAnsi="仿宋"/>
          <w:sz w:val="28"/>
          <w:szCs w:val="28"/>
          <w:u w:val="single"/>
        </w:rPr>
      </w:pPr>
      <w:r>
        <w:rPr>
          <w:rFonts w:hint="eastAsia" w:ascii="仿宋" w:hAnsi="仿宋"/>
          <w:sz w:val="28"/>
          <w:szCs w:val="28"/>
        </w:rPr>
        <w:t xml:space="preserve"> 法定代表人（负责人）/授权代表签字：</w:t>
      </w:r>
      <w:r>
        <w:rPr>
          <w:rFonts w:hint="eastAsia" w:ascii="仿宋" w:hAnsi="仿宋"/>
          <w:sz w:val="28"/>
          <w:szCs w:val="28"/>
          <w:u w:val="single"/>
        </w:rPr>
        <w:t xml:space="preserve">          </w:t>
      </w:r>
    </w:p>
    <w:p w14:paraId="3DEA74CB">
      <w:pPr>
        <w:wordWrap w:val="0"/>
        <w:spacing w:line="560" w:lineRule="exact"/>
        <w:jc w:val="right"/>
        <w:rPr>
          <w:rFonts w:hint="eastAsia" w:ascii="仿宋" w:hAnsi="仿宋"/>
          <w:sz w:val="28"/>
          <w:szCs w:val="28"/>
          <w:u w:val="single"/>
        </w:rPr>
      </w:pPr>
      <w:r>
        <w:rPr>
          <w:rFonts w:hint="eastAsia" w:ascii="仿宋" w:hAnsi="仿宋"/>
          <w:sz w:val="28"/>
          <w:szCs w:val="28"/>
        </w:rPr>
        <w:t xml:space="preserve"> 日期：</w:t>
      </w:r>
      <w:r>
        <w:rPr>
          <w:rFonts w:hint="eastAsia" w:ascii="仿宋" w:hAnsi="仿宋"/>
          <w:sz w:val="28"/>
          <w:szCs w:val="28"/>
          <w:u w:val="single"/>
        </w:rPr>
        <w:t xml:space="preserve">          </w:t>
      </w:r>
    </w:p>
    <w:p w14:paraId="668F6995">
      <w:pPr>
        <w:spacing w:line="560" w:lineRule="exact"/>
        <w:jc w:val="right"/>
        <w:rPr>
          <w:rFonts w:hint="eastAsia" w:ascii="仿宋" w:hAnsi="仿宋"/>
          <w:sz w:val="28"/>
          <w:szCs w:val="28"/>
          <w:u w:val="single"/>
        </w:rPr>
      </w:pPr>
    </w:p>
    <w:p w14:paraId="26D2712A">
      <w:pPr>
        <w:spacing w:line="560" w:lineRule="exact"/>
        <w:jc w:val="right"/>
        <w:rPr>
          <w:rFonts w:hint="eastAsia" w:ascii="仿宋" w:hAnsi="仿宋"/>
          <w:sz w:val="28"/>
          <w:szCs w:val="28"/>
          <w:u w:val="single"/>
        </w:rPr>
      </w:pPr>
    </w:p>
    <w:p w14:paraId="724C31A5">
      <w:pPr>
        <w:spacing w:line="560" w:lineRule="exact"/>
        <w:jc w:val="right"/>
        <w:rPr>
          <w:rFonts w:hint="eastAsia" w:ascii="仿宋" w:hAnsi="仿宋"/>
          <w:sz w:val="28"/>
          <w:szCs w:val="28"/>
          <w:u w:val="single"/>
        </w:rPr>
      </w:pPr>
    </w:p>
    <w:p w14:paraId="70197B87">
      <w:pPr>
        <w:spacing w:line="560" w:lineRule="exact"/>
        <w:jc w:val="right"/>
        <w:rPr>
          <w:rFonts w:hint="eastAsia" w:ascii="仿宋" w:hAnsi="仿宋"/>
          <w:sz w:val="28"/>
          <w:szCs w:val="28"/>
          <w:u w:val="single"/>
        </w:rPr>
      </w:pPr>
    </w:p>
    <w:p w14:paraId="1CA4DC29">
      <w:pPr>
        <w:spacing w:line="560" w:lineRule="exact"/>
        <w:jc w:val="right"/>
        <w:rPr>
          <w:rFonts w:hint="eastAsia" w:ascii="仿宋" w:hAnsi="仿宋"/>
          <w:sz w:val="28"/>
          <w:szCs w:val="28"/>
          <w:u w:val="single"/>
        </w:rPr>
      </w:pPr>
    </w:p>
    <w:p w14:paraId="7B9EDCF2">
      <w:pPr>
        <w:spacing w:line="560" w:lineRule="exact"/>
        <w:jc w:val="right"/>
        <w:rPr>
          <w:rFonts w:hint="eastAsia" w:ascii="仿宋" w:hAnsi="仿宋"/>
          <w:sz w:val="28"/>
          <w:szCs w:val="28"/>
          <w:u w:val="single"/>
        </w:rPr>
      </w:pPr>
    </w:p>
    <w:p w14:paraId="188F17C4">
      <w:pPr>
        <w:snapToGrid w:val="0"/>
        <w:spacing w:line="560" w:lineRule="exact"/>
        <w:rPr>
          <w:rFonts w:hint="eastAsia" w:ascii="仿宋" w:hAnsi="仿宋"/>
          <w:b/>
          <w:bCs/>
          <w:sz w:val="28"/>
          <w:szCs w:val="28"/>
        </w:rPr>
      </w:pPr>
    </w:p>
    <w:p w14:paraId="448F8AC0">
      <w:pPr>
        <w:snapToGrid w:val="0"/>
        <w:spacing w:line="560" w:lineRule="exact"/>
        <w:rPr>
          <w:rFonts w:hint="eastAsia" w:ascii="仿宋" w:hAnsi="仿宋"/>
          <w:b/>
          <w:bCs/>
          <w:sz w:val="28"/>
          <w:szCs w:val="28"/>
        </w:rPr>
      </w:pPr>
    </w:p>
    <w:p w14:paraId="51CACBB4">
      <w:pPr>
        <w:snapToGrid w:val="0"/>
        <w:spacing w:line="560" w:lineRule="exact"/>
        <w:rPr>
          <w:rFonts w:hint="eastAsia" w:ascii="仿宋" w:hAnsi="仿宋"/>
          <w:b/>
          <w:bCs/>
          <w:sz w:val="28"/>
          <w:szCs w:val="28"/>
        </w:rPr>
      </w:pPr>
      <w:r>
        <w:rPr>
          <w:rFonts w:hint="eastAsia" w:ascii="仿宋" w:hAnsi="仿宋"/>
          <w:b/>
          <w:bCs/>
          <w:sz w:val="28"/>
          <w:szCs w:val="28"/>
        </w:rPr>
        <w:t>附件3：</w:t>
      </w:r>
    </w:p>
    <w:p w14:paraId="6BF59E11">
      <w:pPr>
        <w:snapToGrid w:val="0"/>
        <w:spacing w:line="560" w:lineRule="exact"/>
        <w:rPr>
          <w:rFonts w:hint="eastAsia" w:ascii="仿宋" w:hAnsi="仿宋"/>
          <w:b/>
          <w:bCs/>
          <w:sz w:val="28"/>
          <w:szCs w:val="28"/>
        </w:rPr>
      </w:pPr>
    </w:p>
    <w:p w14:paraId="48BDDEAC">
      <w:pPr>
        <w:snapToGrid w:val="0"/>
        <w:spacing w:line="560" w:lineRule="exact"/>
        <w:jc w:val="center"/>
        <w:rPr>
          <w:rFonts w:hint="eastAsia" w:ascii="宋体" w:hAnsi="宋体" w:eastAsia="宋体" w:cs="宋体"/>
          <w:b/>
          <w:bCs/>
          <w:sz w:val="36"/>
          <w:szCs w:val="36"/>
        </w:rPr>
      </w:pPr>
      <w:r>
        <w:rPr>
          <w:rFonts w:hint="eastAsia" w:ascii="宋体" w:hAnsi="宋体" w:eastAsia="宋体" w:cs="宋体"/>
          <w:b/>
          <w:bCs/>
          <w:sz w:val="36"/>
          <w:szCs w:val="36"/>
        </w:rPr>
        <w:t>北京</w:t>
      </w:r>
      <w:r>
        <w:rPr>
          <w:rFonts w:hint="eastAsia" w:ascii="宋体" w:hAnsi="宋体" w:eastAsia="宋体" w:cs="宋体"/>
          <w:b/>
          <w:bCs/>
          <w:sz w:val="36"/>
          <w:szCs w:val="36"/>
          <w:lang w:eastAsia="zh-CN"/>
        </w:rPr>
        <w:t>中广兴业</w:t>
      </w:r>
      <w:r>
        <w:rPr>
          <w:rFonts w:hint="eastAsia" w:ascii="宋体" w:hAnsi="宋体" w:eastAsia="宋体" w:cs="宋体"/>
          <w:b/>
          <w:bCs/>
          <w:sz w:val="36"/>
          <w:szCs w:val="36"/>
          <w:lang w:val="en-US" w:eastAsia="zh-CN"/>
        </w:rPr>
        <w:t>物业管理</w:t>
      </w:r>
      <w:r>
        <w:rPr>
          <w:rFonts w:hint="eastAsia" w:ascii="宋体" w:hAnsi="宋体" w:eastAsia="宋体" w:cs="宋体"/>
          <w:b/>
          <w:bCs/>
          <w:sz w:val="36"/>
          <w:szCs w:val="36"/>
        </w:rPr>
        <w:t>有限公司预招募意向投资人</w:t>
      </w:r>
    </w:p>
    <w:p w14:paraId="371446EC">
      <w:pPr>
        <w:snapToGrid w:val="0"/>
        <w:spacing w:line="560" w:lineRule="exact"/>
        <w:jc w:val="center"/>
        <w:rPr>
          <w:rFonts w:hint="eastAsia" w:ascii="宋体" w:hAnsi="宋体" w:eastAsia="宋体" w:cs="宋体"/>
          <w:b/>
          <w:bCs/>
          <w:sz w:val="36"/>
          <w:szCs w:val="36"/>
        </w:rPr>
      </w:pPr>
      <w:r>
        <w:rPr>
          <w:rFonts w:hint="eastAsia" w:ascii="宋体" w:hAnsi="宋体" w:eastAsia="宋体" w:cs="宋体"/>
          <w:b/>
          <w:bCs/>
          <w:sz w:val="36"/>
          <w:szCs w:val="36"/>
        </w:rPr>
        <w:t>法定代表人/负责人身份证明书</w:t>
      </w:r>
    </w:p>
    <w:p w14:paraId="1FF1AECB">
      <w:pPr>
        <w:snapToGrid w:val="0"/>
        <w:spacing w:line="560" w:lineRule="exact"/>
        <w:jc w:val="center"/>
        <w:rPr>
          <w:rFonts w:hint="eastAsia" w:ascii="仿宋" w:hAnsi="仿宋"/>
          <w:b/>
          <w:bCs/>
          <w:sz w:val="28"/>
          <w:szCs w:val="28"/>
        </w:rPr>
      </w:pPr>
    </w:p>
    <w:p w14:paraId="15CB5A2C">
      <w:pPr>
        <w:snapToGrid w:val="0"/>
        <w:spacing w:line="560" w:lineRule="exact"/>
        <w:rPr>
          <w:rFonts w:hint="eastAsia" w:ascii="仿宋" w:hAnsi="仿宋"/>
          <w:sz w:val="28"/>
          <w:szCs w:val="28"/>
        </w:rPr>
      </w:pPr>
      <w:r>
        <w:rPr>
          <w:rFonts w:hint="eastAsia" w:ascii="仿宋" w:hAnsi="仿宋"/>
          <w:sz w:val="28"/>
          <w:szCs w:val="28"/>
        </w:rPr>
        <w:t>北京</w:t>
      </w:r>
      <w:r>
        <w:rPr>
          <w:rFonts w:hint="eastAsia" w:ascii="仿宋" w:hAnsi="仿宋"/>
          <w:sz w:val="28"/>
          <w:szCs w:val="28"/>
          <w:lang w:eastAsia="zh-CN"/>
        </w:rPr>
        <w:t>中广兴业</w:t>
      </w:r>
      <w:r>
        <w:rPr>
          <w:rFonts w:hint="eastAsia" w:ascii="仿宋" w:hAnsi="仿宋"/>
          <w:sz w:val="28"/>
          <w:szCs w:val="28"/>
          <w:lang w:val="en-US" w:eastAsia="zh-CN"/>
        </w:rPr>
        <w:t>物业管理</w:t>
      </w:r>
      <w:r>
        <w:rPr>
          <w:rFonts w:hint="eastAsia" w:ascii="仿宋" w:hAnsi="仿宋"/>
          <w:sz w:val="28"/>
          <w:szCs w:val="28"/>
        </w:rPr>
        <w:t>有限公司管理人：</w:t>
      </w:r>
    </w:p>
    <w:p w14:paraId="354EF4D8">
      <w:pPr>
        <w:snapToGrid w:val="0"/>
        <w:spacing w:line="560" w:lineRule="exact"/>
        <w:rPr>
          <w:rFonts w:hint="eastAsia" w:ascii="仿宋" w:hAnsi="仿宋"/>
          <w:sz w:val="28"/>
          <w:szCs w:val="28"/>
        </w:rPr>
      </w:pPr>
    </w:p>
    <w:p w14:paraId="3113D86A">
      <w:pPr>
        <w:snapToGrid w:val="0"/>
        <w:spacing w:line="560" w:lineRule="exact"/>
        <w:ind w:firstLine="560" w:firstLineChars="200"/>
        <w:rPr>
          <w:rFonts w:hint="eastAsia" w:ascii="仿宋" w:hAnsi="仿宋"/>
          <w:sz w:val="28"/>
          <w:szCs w:val="28"/>
        </w:rPr>
      </w:pPr>
      <w:r>
        <w:rPr>
          <w:rFonts w:hint="eastAsia" w:ascii="仿宋" w:hAnsi="仿宋"/>
          <w:sz w:val="28"/>
          <w:szCs w:val="28"/>
        </w:rPr>
        <w:t>兹证明</w:t>
      </w:r>
      <w:r>
        <w:rPr>
          <w:rFonts w:hint="eastAsia" w:ascii="仿宋" w:hAnsi="仿宋"/>
          <w:sz w:val="28"/>
          <w:szCs w:val="28"/>
          <w:u w:val="single"/>
        </w:rPr>
        <w:t xml:space="preserve">        </w:t>
      </w:r>
      <w:r>
        <w:rPr>
          <w:rFonts w:hint="eastAsia" w:ascii="仿宋" w:hAnsi="仿宋"/>
          <w:sz w:val="28"/>
          <w:szCs w:val="28"/>
        </w:rPr>
        <w:t>（身份证号：</w:t>
      </w:r>
      <w:r>
        <w:rPr>
          <w:rFonts w:hint="eastAsia" w:ascii="仿宋" w:hAnsi="仿宋"/>
          <w:sz w:val="28"/>
          <w:szCs w:val="28"/>
          <w:u w:val="single"/>
        </w:rPr>
        <w:t xml:space="preserve">                      </w:t>
      </w:r>
      <w:r>
        <w:rPr>
          <w:rFonts w:hint="eastAsia" w:ascii="仿宋" w:hAnsi="仿宋"/>
          <w:sz w:val="28"/>
          <w:szCs w:val="28"/>
        </w:rPr>
        <w:t>）在本单位担任</w:t>
      </w:r>
      <w:r>
        <w:rPr>
          <w:rFonts w:hint="eastAsia" w:ascii="仿宋" w:hAnsi="仿宋"/>
          <w:sz w:val="28"/>
          <w:szCs w:val="28"/>
          <w:u w:val="single"/>
        </w:rPr>
        <w:t xml:space="preserve">        </w:t>
      </w:r>
      <w:r>
        <w:rPr>
          <w:rFonts w:hint="eastAsia" w:ascii="仿宋" w:hAnsi="仿宋"/>
          <w:sz w:val="28"/>
          <w:szCs w:val="28"/>
        </w:rPr>
        <w:t xml:space="preserve">职务，为本单位的法定代表人（负责人）。 </w:t>
      </w:r>
    </w:p>
    <w:p w14:paraId="61621B18">
      <w:pPr>
        <w:snapToGrid w:val="0"/>
        <w:spacing w:line="560" w:lineRule="exact"/>
        <w:ind w:firstLine="560" w:firstLineChars="200"/>
        <w:rPr>
          <w:rFonts w:hint="eastAsia" w:ascii="仿宋" w:hAnsi="仿宋"/>
          <w:sz w:val="28"/>
          <w:szCs w:val="28"/>
        </w:rPr>
      </w:pPr>
    </w:p>
    <w:p w14:paraId="0BB65797">
      <w:pPr>
        <w:snapToGrid w:val="0"/>
        <w:spacing w:line="560" w:lineRule="exact"/>
        <w:ind w:firstLine="560" w:firstLineChars="200"/>
        <w:rPr>
          <w:rFonts w:hint="eastAsia" w:ascii="仿宋" w:hAnsi="仿宋"/>
          <w:sz w:val="28"/>
          <w:szCs w:val="28"/>
        </w:rPr>
      </w:pPr>
      <w:r>
        <w:rPr>
          <w:rFonts w:hint="eastAsia" w:ascii="仿宋" w:hAnsi="仿宋"/>
          <w:sz w:val="28"/>
          <w:szCs w:val="28"/>
        </w:rPr>
        <w:t>特此证明。</w:t>
      </w:r>
    </w:p>
    <w:p w14:paraId="6D4AF699">
      <w:pPr>
        <w:snapToGrid w:val="0"/>
        <w:spacing w:line="560" w:lineRule="exact"/>
        <w:ind w:firstLine="560" w:firstLineChars="200"/>
        <w:rPr>
          <w:rFonts w:hint="eastAsia" w:ascii="仿宋" w:hAnsi="仿宋"/>
          <w:sz w:val="28"/>
          <w:szCs w:val="28"/>
        </w:rPr>
      </w:pPr>
    </w:p>
    <w:p w14:paraId="6FE33501">
      <w:pPr>
        <w:spacing w:line="560" w:lineRule="exact"/>
        <w:jc w:val="center"/>
        <w:rPr>
          <w:rFonts w:hint="eastAsia" w:ascii="仿宋" w:hAnsi="仿宋"/>
          <w:sz w:val="28"/>
          <w:szCs w:val="28"/>
        </w:rPr>
      </w:pPr>
      <w:r>
        <w:rPr>
          <w:rFonts w:hint="eastAsia" w:ascii="仿宋" w:hAnsi="仿宋"/>
          <w:sz w:val="28"/>
          <w:szCs w:val="28"/>
        </w:rPr>
        <w:t xml:space="preserve">     </w:t>
      </w:r>
    </w:p>
    <w:p w14:paraId="7A755714">
      <w:pPr>
        <w:spacing w:line="560" w:lineRule="exact"/>
        <w:jc w:val="center"/>
        <w:rPr>
          <w:rFonts w:hint="eastAsia" w:ascii="仿宋" w:hAnsi="仿宋"/>
          <w:sz w:val="28"/>
          <w:szCs w:val="28"/>
        </w:rPr>
      </w:pPr>
      <w:r>
        <w:rPr>
          <w:rFonts w:hint="eastAsia" w:ascii="仿宋" w:hAnsi="仿宋"/>
          <w:sz w:val="28"/>
          <w:szCs w:val="28"/>
        </w:rPr>
        <w:t xml:space="preserve">               意向投资人（盖章）：</w:t>
      </w:r>
    </w:p>
    <w:p w14:paraId="029A93E1">
      <w:pPr>
        <w:wordWrap w:val="0"/>
        <w:spacing w:line="560" w:lineRule="exact"/>
        <w:jc w:val="right"/>
        <w:rPr>
          <w:rFonts w:hint="eastAsia" w:ascii="仿宋" w:hAnsi="仿宋"/>
          <w:sz w:val="28"/>
          <w:szCs w:val="28"/>
          <w:u w:val="single"/>
        </w:rPr>
      </w:pPr>
      <w:r>
        <w:rPr>
          <w:rFonts w:hint="eastAsia" w:ascii="仿宋" w:hAnsi="仿宋"/>
          <w:sz w:val="28"/>
          <w:szCs w:val="28"/>
        </w:rPr>
        <w:t>日期：</w:t>
      </w:r>
      <w:r>
        <w:rPr>
          <w:rFonts w:hint="eastAsia" w:ascii="仿宋" w:hAnsi="仿宋"/>
          <w:sz w:val="28"/>
          <w:szCs w:val="28"/>
          <w:u w:val="single"/>
        </w:rPr>
        <w:t xml:space="preserve">          </w:t>
      </w:r>
    </w:p>
    <w:p w14:paraId="7F27CAB8">
      <w:pPr>
        <w:spacing w:line="560" w:lineRule="exact"/>
        <w:jc w:val="right"/>
        <w:rPr>
          <w:rFonts w:hint="eastAsia" w:ascii="仿宋" w:hAnsi="仿宋"/>
          <w:sz w:val="28"/>
          <w:szCs w:val="28"/>
          <w:u w:val="single"/>
        </w:rPr>
      </w:pPr>
    </w:p>
    <w:p w14:paraId="3498E697">
      <w:pPr>
        <w:spacing w:line="560" w:lineRule="exact"/>
        <w:jc w:val="right"/>
        <w:rPr>
          <w:rFonts w:hint="eastAsia" w:ascii="仿宋" w:hAnsi="仿宋"/>
          <w:sz w:val="28"/>
          <w:szCs w:val="28"/>
          <w:u w:val="single"/>
        </w:rPr>
      </w:pPr>
    </w:p>
    <w:p w14:paraId="68D2EF11">
      <w:pPr>
        <w:spacing w:line="560" w:lineRule="exact"/>
        <w:jc w:val="right"/>
        <w:rPr>
          <w:rFonts w:hint="eastAsia" w:ascii="仿宋" w:hAnsi="仿宋"/>
          <w:sz w:val="28"/>
          <w:szCs w:val="28"/>
          <w:u w:val="single"/>
        </w:rPr>
      </w:pPr>
    </w:p>
    <w:p w14:paraId="7F2A5290">
      <w:pPr>
        <w:spacing w:line="560" w:lineRule="exact"/>
        <w:jc w:val="right"/>
        <w:rPr>
          <w:rFonts w:hint="eastAsia" w:ascii="仿宋" w:hAnsi="仿宋"/>
          <w:sz w:val="28"/>
          <w:szCs w:val="28"/>
          <w:u w:val="single"/>
        </w:rPr>
      </w:pPr>
    </w:p>
    <w:p w14:paraId="15AE5407">
      <w:pPr>
        <w:spacing w:line="560" w:lineRule="exact"/>
        <w:jc w:val="right"/>
        <w:rPr>
          <w:rFonts w:hint="eastAsia" w:ascii="仿宋" w:hAnsi="仿宋"/>
          <w:sz w:val="28"/>
          <w:szCs w:val="28"/>
          <w:u w:val="single"/>
        </w:rPr>
      </w:pPr>
    </w:p>
    <w:p w14:paraId="5BDA51CE">
      <w:pPr>
        <w:spacing w:line="560" w:lineRule="exact"/>
        <w:jc w:val="right"/>
        <w:rPr>
          <w:rFonts w:hint="eastAsia" w:ascii="仿宋" w:hAnsi="仿宋"/>
          <w:sz w:val="28"/>
          <w:szCs w:val="28"/>
          <w:u w:val="single"/>
        </w:rPr>
      </w:pPr>
    </w:p>
    <w:p w14:paraId="61812DB1">
      <w:pPr>
        <w:spacing w:line="560" w:lineRule="exact"/>
        <w:jc w:val="right"/>
        <w:rPr>
          <w:rFonts w:hint="eastAsia" w:ascii="仿宋" w:hAnsi="仿宋"/>
          <w:sz w:val="28"/>
          <w:szCs w:val="28"/>
          <w:u w:val="single"/>
        </w:rPr>
      </w:pPr>
    </w:p>
    <w:p w14:paraId="33C2C1AF">
      <w:pPr>
        <w:spacing w:line="560" w:lineRule="exact"/>
        <w:jc w:val="right"/>
        <w:rPr>
          <w:rFonts w:hint="eastAsia" w:ascii="仿宋" w:hAnsi="仿宋"/>
          <w:sz w:val="28"/>
          <w:szCs w:val="28"/>
          <w:u w:val="single"/>
        </w:rPr>
      </w:pPr>
    </w:p>
    <w:p w14:paraId="518D1D02">
      <w:pPr>
        <w:snapToGrid w:val="0"/>
        <w:spacing w:line="560" w:lineRule="exact"/>
        <w:rPr>
          <w:rFonts w:hint="eastAsia" w:ascii="仿宋" w:hAnsi="仿宋"/>
          <w:b/>
          <w:bCs/>
          <w:sz w:val="28"/>
          <w:szCs w:val="28"/>
        </w:rPr>
      </w:pPr>
    </w:p>
    <w:p w14:paraId="2D9EA5AD">
      <w:pPr>
        <w:snapToGrid w:val="0"/>
        <w:spacing w:line="560" w:lineRule="exact"/>
        <w:rPr>
          <w:rFonts w:hint="eastAsia" w:ascii="仿宋" w:hAnsi="仿宋"/>
          <w:b/>
          <w:bCs/>
          <w:sz w:val="28"/>
          <w:szCs w:val="28"/>
        </w:rPr>
      </w:pPr>
      <w:r>
        <w:rPr>
          <w:rFonts w:hint="eastAsia" w:ascii="仿宋" w:hAnsi="仿宋"/>
          <w:b/>
          <w:bCs/>
          <w:sz w:val="28"/>
          <w:szCs w:val="28"/>
        </w:rPr>
        <w:t>附件4：</w:t>
      </w:r>
    </w:p>
    <w:p w14:paraId="3A46B06B">
      <w:pPr>
        <w:snapToGrid w:val="0"/>
        <w:spacing w:line="560" w:lineRule="exact"/>
        <w:jc w:val="center"/>
        <w:rPr>
          <w:rFonts w:hint="eastAsia" w:ascii="宋体" w:hAnsi="宋体" w:eastAsia="宋体" w:cs="宋体"/>
          <w:b/>
          <w:bCs/>
          <w:sz w:val="36"/>
          <w:szCs w:val="36"/>
        </w:rPr>
      </w:pPr>
      <w:r>
        <w:rPr>
          <w:rFonts w:hint="eastAsia" w:ascii="宋体" w:hAnsi="宋体" w:eastAsia="宋体" w:cs="宋体"/>
          <w:b/>
          <w:bCs/>
          <w:sz w:val="36"/>
          <w:szCs w:val="36"/>
        </w:rPr>
        <w:t>授权委托书</w:t>
      </w:r>
    </w:p>
    <w:p w14:paraId="44EAD927">
      <w:pPr>
        <w:snapToGrid w:val="0"/>
        <w:spacing w:line="500" w:lineRule="exact"/>
        <w:rPr>
          <w:rFonts w:hint="eastAsia" w:ascii="仿宋" w:hAnsi="仿宋"/>
          <w:sz w:val="28"/>
          <w:szCs w:val="28"/>
        </w:rPr>
      </w:pPr>
      <w:r>
        <w:rPr>
          <w:rFonts w:hint="eastAsia" w:ascii="仿宋" w:hAnsi="仿宋"/>
          <w:sz w:val="28"/>
          <w:szCs w:val="28"/>
        </w:rPr>
        <w:t>委托人：</w:t>
      </w:r>
    </w:p>
    <w:p w14:paraId="009996AC">
      <w:pPr>
        <w:snapToGrid w:val="0"/>
        <w:spacing w:line="500" w:lineRule="exact"/>
        <w:rPr>
          <w:rFonts w:hint="eastAsia" w:ascii="仿宋" w:hAnsi="仿宋"/>
          <w:sz w:val="28"/>
          <w:szCs w:val="28"/>
        </w:rPr>
      </w:pPr>
      <w:r>
        <w:rPr>
          <w:rFonts w:hint="eastAsia" w:ascii="仿宋" w:hAnsi="仿宋"/>
          <w:sz w:val="28"/>
          <w:szCs w:val="28"/>
        </w:rPr>
        <w:t>法定代表人（负责人）：</w:t>
      </w:r>
    </w:p>
    <w:p w14:paraId="1F35EE5F">
      <w:pPr>
        <w:snapToGrid w:val="0"/>
        <w:spacing w:line="500" w:lineRule="exact"/>
        <w:rPr>
          <w:rFonts w:hint="eastAsia" w:ascii="仿宋" w:hAnsi="仿宋"/>
          <w:sz w:val="28"/>
          <w:szCs w:val="28"/>
        </w:rPr>
      </w:pPr>
      <w:r>
        <w:rPr>
          <w:rFonts w:hint="eastAsia" w:ascii="仿宋" w:hAnsi="仿宋"/>
          <w:sz w:val="28"/>
          <w:szCs w:val="28"/>
        </w:rPr>
        <w:t>住所地：                           联系方式：</w:t>
      </w:r>
    </w:p>
    <w:p w14:paraId="73067A97">
      <w:pPr>
        <w:snapToGrid w:val="0"/>
        <w:spacing w:line="240" w:lineRule="exact"/>
        <w:rPr>
          <w:rFonts w:hint="eastAsia" w:ascii="仿宋" w:hAnsi="仿宋"/>
          <w:sz w:val="28"/>
          <w:szCs w:val="28"/>
        </w:rPr>
      </w:pPr>
    </w:p>
    <w:p w14:paraId="5A99F485">
      <w:pPr>
        <w:snapToGrid w:val="0"/>
        <w:spacing w:line="500" w:lineRule="exact"/>
        <w:rPr>
          <w:rFonts w:hint="eastAsia" w:ascii="仿宋" w:hAnsi="仿宋"/>
          <w:sz w:val="28"/>
          <w:szCs w:val="28"/>
        </w:rPr>
      </w:pPr>
      <w:r>
        <w:rPr>
          <w:rFonts w:hint="eastAsia" w:ascii="仿宋" w:hAnsi="仿宋"/>
          <w:sz w:val="28"/>
          <w:szCs w:val="28"/>
        </w:rPr>
        <w:t>受托人：</w:t>
      </w:r>
    </w:p>
    <w:p w14:paraId="5F4665B6">
      <w:pPr>
        <w:snapToGrid w:val="0"/>
        <w:spacing w:line="500" w:lineRule="exact"/>
        <w:rPr>
          <w:rFonts w:hint="eastAsia" w:ascii="仿宋" w:hAnsi="仿宋"/>
          <w:sz w:val="28"/>
          <w:szCs w:val="28"/>
        </w:rPr>
      </w:pPr>
      <w:r>
        <w:rPr>
          <w:rFonts w:hint="eastAsia" w:ascii="仿宋" w:hAnsi="仿宋"/>
          <w:sz w:val="28"/>
          <w:szCs w:val="28"/>
        </w:rPr>
        <w:t>身份证号码：</w:t>
      </w:r>
    </w:p>
    <w:p w14:paraId="2AB8D754">
      <w:pPr>
        <w:snapToGrid w:val="0"/>
        <w:spacing w:line="500" w:lineRule="exact"/>
        <w:rPr>
          <w:rFonts w:hint="eastAsia" w:ascii="仿宋" w:hAnsi="仿宋"/>
          <w:sz w:val="28"/>
          <w:szCs w:val="28"/>
        </w:rPr>
      </w:pPr>
      <w:r>
        <w:rPr>
          <w:rFonts w:hint="eastAsia" w:ascii="仿宋" w:hAnsi="仿宋"/>
          <w:sz w:val="28"/>
          <w:szCs w:val="28"/>
        </w:rPr>
        <w:t>工作单位：                         联系方式：</w:t>
      </w:r>
    </w:p>
    <w:p w14:paraId="10296DB0">
      <w:pPr>
        <w:snapToGrid w:val="0"/>
        <w:spacing w:line="240" w:lineRule="exact"/>
        <w:rPr>
          <w:rFonts w:hint="eastAsia" w:ascii="仿宋" w:hAnsi="仿宋"/>
          <w:sz w:val="28"/>
          <w:szCs w:val="28"/>
        </w:rPr>
      </w:pPr>
    </w:p>
    <w:p w14:paraId="2061A6F2">
      <w:pPr>
        <w:snapToGrid w:val="0"/>
        <w:spacing w:line="480" w:lineRule="exact"/>
        <w:ind w:firstLine="560" w:firstLineChars="200"/>
        <w:rPr>
          <w:rFonts w:hint="eastAsia" w:ascii="仿宋" w:hAnsi="仿宋"/>
          <w:sz w:val="28"/>
          <w:szCs w:val="28"/>
        </w:rPr>
      </w:pPr>
      <w:r>
        <w:rPr>
          <w:rFonts w:hint="eastAsia" w:ascii="仿宋" w:hAnsi="仿宋"/>
          <w:sz w:val="28"/>
          <w:szCs w:val="28"/>
        </w:rPr>
        <w:t>委托人就本参选机构参与北京</w:t>
      </w:r>
      <w:r>
        <w:rPr>
          <w:rFonts w:hint="eastAsia" w:ascii="仿宋" w:hAnsi="仿宋"/>
          <w:sz w:val="28"/>
          <w:szCs w:val="28"/>
          <w:lang w:eastAsia="zh-CN"/>
        </w:rPr>
        <w:t>中广兴业</w:t>
      </w:r>
      <w:r>
        <w:rPr>
          <w:rFonts w:hint="eastAsia" w:ascii="仿宋" w:hAnsi="仿宋"/>
          <w:sz w:val="28"/>
          <w:szCs w:val="28"/>
          <w:lang w:val="en-US" w:eastAsia="zh-CN"/>
        </w:rPr>
        <w:t>物业管理</w:t>
      </w:r>
      <w:r>
        <w:rPr>
          <w:rFonts w:hint="eastAsia" w:ascii="仿宋" w:hAnsi="仿宋"/>
          <w:sz w:val="28"/>
          <w:szCs w:val="28"/>
        </w:rPr>
        <w:t>有限公司意向投资人预招募和遴选程序（以下简称“本次预招募”），特委托上述受委托人作为委托人的代理人，代表本单位办理如下事宜：</w:t>
      </w:r>
    </w:p>
    <w:p w14:paraId="5D4E599E">
      <w:pPr>
        <w:pStyle w:val="12"/>
        <w:snapToGrid w:val="0"/>
        <w:spacing w:line="480" w:lineRule="exact"/>
        <w:ind w:firstLine="560"/>
        <w:rPr>
          <w:rFonts w:hint="eastAsia" w:ascii="仿宋" w:hAnsi="仿宋"/>
          <w:sz w:val="28"/>
          <w:szCs w:val="28"/>
        </w:rPr>
      </w:pPr>
      <w:r>
        <w:rPr>
          <w:rFonts w:hint="eastAsia" w:ascii="仿宋" w:hAnsi="仿宋"/>
          <w:sz w:val="28"/>
          <w:szCs w:val="28"/>
        </w:rPr>
        <w:t>1.向管理人报名参与本次预招募，提交重整投资人报名意向书、重整投资方案、重整投资协议等与本次预招募相关文件资料，参与本次预招募相关工作并代表委托人发表意见；</w:t>
      </w:r>
    </w:p>
    <w:p w14:paraId="21D0FC16">
      <w:pPr>
        <w:pStyle w:val="12"/>
        <w:snapToGrid w:val="0"/>
        <w:spacing w:line="480" w:lineRule="exact"/>
        <w:ind w:firstLine="560"/>
        <w:rPr>
          <w:rFonts w:hint="eastAsia" w:ascii="仿宋" w:hAnsi="仿宋"/>
          <w:sz w:val="28"/>
          <w:szCs w:val="28"/>
        </w:rPr>
      </w:pPr>
      <w:r>
        <w:rPr>
          <w:rFonts w:hint="eastAsia" w:ascii="仿宋" w:hAnsi="仿宋"/>
          <w:sz w:val="28"/>
          <w:szCs w:val="28"/>
        </w:rPr>
        <w:t>2.签署、递交、接收和转送有关本次预招募的各类法律文件及其他文件；</w:t>
      </w:r>
    </w:p>
    <w:p w14:paraId="69638ADE">
      <w:pPr>
        <w:pStyle w:val="12"/>
        <w:snapToGrid w:val="0"/>
        <w:spacing w:line="480" w:lineRule="exact"/>
        <w:ind w:firstLine="560"/>
        <w:rPr>
          <w:rFonts w:hint="eastAsia" w:ascii="仿宋" w:hAnsi="仿宋"/>
          <w:sz w:val="28"/>
          <w:szCs w:val="28"/>
        </w:rPr>
      </w:pPr>
      <w:r>
        <w:rPr>
          <w:rFonts w:hint="eastAsia" w:ascii="仿宋" w:hAnsi="仿宋"/>
          <w:sz w:val="28"/>
          <w:szCs w:val="28"/>
        </w:rPr>
        <w:t xml:space="preserve">3.处理与本次预招募相关的其他工作。 </w:t>
      </w:r>
    </w:p>
    <w:p w14:paraId="2AD34D4D">
      <w:pPr>
        <w:snapToGrid w:val="0"/>
        <w:spacing w:line="480" w:lineRule="exact"/>
        <w:ind w:firstLine="560" w:firstLineChars="200"/>
        <w:rPr>
          <w:rFonts w:hint="eastAsia" w:ascii="仿宋" w:hAnsi="仿宋"/>
          <w:sz w:val="28"/>
          <w:szCs w:val="28"/>
        </w:rPr>
      </w:pPr>
      <w:r>
        <w:rPr>
          <w:rFonts w:hint="eastAsia" w:ascii="仿宋" w:hAnsi="仿宋"/>
          <w:sz w:val="28"/>
          <w:szCs w:val="28"/>
        </w:rPr>
        <w:t>受托人的代理权限为特别授权。受托人在本次预招募过程中代表本参选机构签署的所有文件和处理的所有相关事务，本参选机构均予以承认，并承担相应法律责任。授权期限自授权委托书出具之日起至委托事项完结为止。</w:t>
      </w:r>
    </w:p>
    <w:p w14:paraId="074956F9">
      <w:pPr>
        <w:snapToGrid w:val="0"/>
        <w:spacing w:line="480" w:lineRule="exact"/>
        <w:ind w:firstLine="560" w:firstLineChars="200"/>
        <w:rPr>
          <w:rFonts w:hint="eastAsia" w:ascii="仿宋" w:hAnsi="仿宋"/>
          <w:sz w:val="28"/>
          <w:szCs w:val="28"/>
        </w:rPr>
      </w:pPr>
      <w:r>
        <w:rPr>
          <w:rFonts w:hint="eastAsia" w:ascii="仿宋" w:hAnsi="仿宋"/>
          <w:sz w:val="28"/>
          <w:szCs w:val="28"/>
        </w:rPr>
        <w:t>特此授权。</w:t>
      </w:r>
    </w:p>
    <w:p w14:paraId="239A3353">
      <w:pPr>
        <w:snapToGrid w:val="0"/>
        <w:spacing w:line="480" w:lineRule="exact"/>
        <w:ind w:firstLine="560" w:firstLineChars="200"/>
        <w:rPr>
          <w:rFonts w:hint="eastAsia" w:ascii="仿宋" w:hAnsi="仿宋"/>
          <w:sz w:val="28"/>
          <w:szCs w:val="28"/>
        </w:rPr>
      </w:pPr>
      <w:r>
        <w:rPr>
          <w:rFonts w:hint="eastAsia" w:ascii="仿宋" w:hAnsi="仿宋"/>
          <w:sz w:val="28"/>
          <w:szCs w:val="28"/>
        </w:rPr>
        <w:t>附：受托人身份证复印件（盖章）</w:t>
      </w:r>
    </w:p>
    <w:p w14:paraId="6DAFB8B6">
      <w:pPr>
        <w:spacing w:line="480" w:lineRule="exact"/>
        <w:jc w:val="center"/>
        <w:rPr>
          <w:rFonts w:hint="eastAsia" w:ascii="仿宋" w:hAnsi="仿宋"/>
          <w:sz w:val="28"/>
          <w:szCs w:val="28"/>
        </w:rPr>
      </w:pPr>
      <w:r>
        <w:rPr>
          <w:rFonts w:hint="eastAsia" w:ascii="仿宋" w:hAnsi="仿宋"/>
          <w:sz w:val="28"/>
          <w:szCs w:val="28"/>
        </w:rPr>
        <w:t xml:space="preserve">          </w:t>
      </w:r>
    </w:p>
    <w:p w14:paraId="094E1BDA">
      <w:pPr>
        <w:spacing w:line="480" w:lineRule="exact"/>
        <w:jc w:val="center"/>
        <w:rPr>
          <w:rFonts w:hint="eastAsia" w:ascii="仿宋" w:hAnsi="仿宋"/>
          <w:sz w:val="28"/>
          <w:szCs w:val="28"/>
        </w:rPr>
      </w:pPr>
      <w:r>
        <w:rPr>
          <w:rFonts w:hint="eastAsia" w:ascii="仿宋" w:hAnsi="仿宋"/>
          <w:sz w:val="28"/>
          <w:szCs w:val="28"/>
        </w:rPr>
        <w:t xml:space="preserve">  意向投资人/委托人（盖章）：</w:t>
      </w:r>
    </w:p>
    <w:p w14:paraId="148F25E2">
      <w:pPr>
        <w:wordWrap w:val="0"/>
        <w:spacing w:line="480" w:lineRule="exact"/>
        <w:jc w:val="right"/>
        <w:rPr>
          <w:rFonts w:hint="eastAsia" w:ascii="仿宋" w:hAnsi="仿宋"/>
          <w:sz w:val="28"/>
          <w:szCs w:val="28"/>
          <w:u w:val="single"/>
        </w:rPr>
      </w:pPr>
      <w:r>
        <w:rPr>
          <w:rFonts w:hint="eastAsia" w:ascii="仿宋" w:hAnsi="仿宋"/>
          <w:sz w:val="28"/>
          <w:szCs w:val="28"/>
        </w:rPr>
        <w:t xml:space="preserve"> 法定代表人（负责人）/授权代表签字：</w:t>
      </w:r>
      <w:r>
        <w:rPr>
          <w:rFonts w:hint="eastAsia" w:ascii="仿宋" w:hAnsi="仿宋"/>
          <w:sz w:val="28"/>
          <w:szCs w:val="28"/>
          <w:u w:val="single"/>
        </w:rPr>
        <w:t xml:space="preserve">          </w:t>
      </w:r>
    </w:p>
    <w:p w14:paraId="52ACFE9B">
      <w:pPr>
        <w:wordWrap w:val="0"/>
        <w:spacing w:line="480" w:lineRule="exact"/>
        <w:jc w:val="right"/>
        <w:rPr>
          <w:rFonts w:hint="eastAsia" w:ascii="仿宋" w:hAnsi="仿宋"/>
          <w:sz w:val="28"/>
          <w:szCs w:val="28"/>
          <w:u w:val="single"/>
        </w:rPr>
      </w:pPr>
      <w:r>
        <w:rPr>
          <w:rFonts w:hint="eastAsia" w:ascii="仿宋" w:hAnsi="仿宋"/>
          <w:sz w:val="28"/>
          <w:szCs w:val="28"/>
        </w:rPr>
        <w:t xml:space="preserve"> 日期：</w:t>
      </w:r>
      <w:r>
        <w:rPr>
          <w:rFonts w:hint="eastAsia" w:ascii="仿宋" w:hAnsi="仿宋"/>
          <w:sz w:val="28"/>
          <w:szCs w:val="28"/>
          <w:u w:val="single"/>
        </w:rPr>
        <w:t xml:space="preserve">          </w:t>
      </w:r>
    </w:p>
    <w:p w14:paraId="51B0604A">
      <w:pPr>
        <w:snapToGrid w:val="0"/>
        <w:spacing w:line="500" w:lineRule="exact"/>
        <w:rPr>
          <w:rFonts w:hint="eastAsia" w:ascii="仿宋" w:hAnsi="仿宋"/>
          <w:b/>
          <w:bCs/>
          <w:sz w:val="28"/>
          <w:szCs w:val="28"/>
        </w:rPr>
      </w:pPr>
      <w:r>
        <w:rPr>
          <w:rFonts w:hint="eastAsia" w:ascii="仿宋" w:hAnsi="仿宋"/>
          <w:b/>
          <w:bCs/>
          <w:sz w:val="28"/>
          <w:szCs w:val="28"/>
        </w:rPr>
        <w:t>附件5：</w:t>
      </w:r>
    </w:p>
    <w:p w14:paraId="766AEADE">
      <w:pPr>
        <w:snapToGrid w:val="0"/>
        <w:spacing w:line="560" w:lineRule="exact"/>
        <w:jc w:val="center"/>
        <w:rPr>
          <w:rFonts w:hint="eastAsia" w:ascii="宋体" w:hAnsi="宋体" w:eastAsia="宋体" w:cs="宋体"/>
          <w:b/>
          <w:bCs/>
          <w:sz w:val="36"/>
          <w:szCs w:val="36"/>
        </w:rPr>
      </w:pPr>
      <w:r>
        <w:rPr>
          <w:rFonts w:hint="eastAsia" w:ascii="宋体" w:hAnsi="宋体" w:eastAsia="宋体" w:cs="宋体"/>
          <w:b/>
          <w:bCs/>
          <w:sz w:val="36"/>
          <w:szCs w:val="36"/>
        </w:rPr>
        <w:t>北京</w:t>
      </w:r>
      <w:r>
        <w:rPr>
          <w:rFonts w:hint="eastAsia" w:ascii="宋体" w:hAnsi="宋体" w:eastAsia="宋体" w:cs="宋体"/>
          <w:b/>
          <w:bCs/>
          <w:sz w:val="36"/>
          <w:szCs w:val="36"/>
          <w:lang w:eastAsia="zh-CN"/>
        </w:rPr>
        <w:t>中广兴业</w:t>
      </w:r>
      <w:r>
        <w:rPr>
          <w:rFonts w:hint="eastAsia" w:ascii="宋体" w:hAnsi="宋体" w:eastAsia="宋体" w:cs="宋体"/>
          <w:b/>
          <w:bCs/>
          <w:sz w:val="36"/>
          <w:szCs w:val="36"/>
          <w:lang w:val="en-US" w:eastAsia="zh-CN"/>
        </w:rPr>
        <w:t>物业管理</w:t>
      </w:r>
      <w:r>
        <w:rPr>
          <w:rFonts w:hint="eastAsia" w:ascii="宋体" w:hAnsi="宋体" w:eastAsia="宋体" w:cs="宋体"/>
          <w:b/>
          <w:bCs/>
          <w:sz w:val="36"/>
          <w:szCs w:val="36"/>
        </w:rPr>
        <w:t>有限公司破产清算案</w:t>
      </w:r>
    </w:p>
    <w:p w14:paraId="7EC14DBE">
      <w:pPr>
        <w:snapToGrid w:val="0"/>
        <w:spacing w:line="560" w:lineRule="exact"/>
        <w:jc w:val="center"/>
        <w:rPr>
          <w:rFonts w:hint="eastAsia" w:ascii="宋体" w:hAnsi="宋体" w:eastAsia="宋体" w:cs="宋体"/>
          <w:b/>
          <w:bCs/>
          <w:sz w:val="36"/>
          <w:szCs w:val="36"/>
        </w:rPr>
      </w:pPr>
      <w:r>
        <w:rPr>
          <w:rFonts w:hint="eastAsia" w:ascii="宋体" w:hAnsi="宋体" w:eastAsia="宋体" w:cs="宋体"/>
          <w:b/>
          <w:bCs/>
          <w:sz w:val="36"/>
          <w:szCs w:val="36"/>
        </w:rPr>
        <w:t>保密承诺函</w:t>
      </w:r>
    </w:p>
    <w:p w14:paraId="58D05F0B">
      <w:pPr>
        <w:snapToGrid w:val="0"/>
        <w:spacing w:line="240" w:lineRule="exact"/>
        <w:jc w:val="center"/>
        <w:rPr>
          <w:rFonts w:hint="eastAsia" w:ascii="仿宋" w:hAnsi="仿宋"/>
          <w:b/>
          <w:bCs/>
          <w:sz w:val="28"/>
          <w:szCs w:val="28"/>
        </w:rPr>
      </w:pPr>
    </w:p>
    <w:p w14:paraId="4CDB0DED">
      <w:pPr>
        <w:snapToGrid w:val="0"/>
        <w:spacing w:line="560" w:lineRule="exact"/>
        <w:rPr>
          <w:rFonts w:hint="eastAsia" w:ascii="仿宋" w:hAnsi="仿宋"/>
          <w:sz w:val="28"/>
          <w:szCs w:val="28"/>
        </w:rPr>
      </w:pPr>
      <w:r>
        <w:rPr>
          <w:rFonts w:hint="eastAsia" w:ascii="仿宋" w:hAnsi="仿宋"/>
          <w:sz w:val="28"/>
          <w:szCs w:val="28"/>
        </w:rPr>
        <w:t>北京</w:t>
      </w:r>
      <w:r>
        <w:rPr>
          <w:rFonts w:hint="eastAsia" w:ascii="仿宋" w:hAnsi="仿宋"/>
          <w:sz w:val="28"/>
          <w:szCs w:val="28"/>
          <w:lang w:eastAsia="zh-CN"/>
        </w:rPr>
        <w:t>中广兴业</w:t>
      </w:r>
      <w:r>
        <w:rPr>
          <w:rFonts w:hint="eastAsia" w:ascii="仿宋" w:hAnsi="仿宋"/>
          <w:sz w:val="28"/>
          <w:szCs w:val="28"/>
          <w:lang w:val="en-US" w:eastAsia="zh-CN"/>
        </w:rPr>
        <w:t>物业管理</w:t>
      </w:r>
      <w:r>
        <w:rPr>
          <w:rFonts w:hint="eastAsia" w:ascii="仿宋" w:hAnsi="仿宋"/>
          <w:sz w:val="28"/>
          <w:szCs w:val="28"/>
        </w:rPr>
        <w:t>有限公司管理人：</w:t>
      </w:r>
    </w:p>
    <w:p w14:paraId="0AB20A47">
      <w:pPr>
        <w:snapToGrid w:val="0"/>
        <w:spacing w:line="560" w:lineRule="exact"/>
        <w:ind w:firstLine="560" w:firstLineChars="200"/>
        <w:rPr>
          <w:rFonts w:hint="eastAsia" w:ascii="仿宋" w:hAnsi="仿宋"/>
          <w:sz w:val="28"/>
          <w:szCs w:val="28"/>
        </w:rPr>
      </w:pPr>
      <w:r>
        <w:rPr>
          <w:rFonts w:hint="eastAsia" w:ascii="仿宋" w:hAnsi="仿宋"/>
          <w:sz w:val="28"/>
          <w:szCs w:val="28"/>
        </w:rPr>
        <w:t>我方承诺，就参与北京</w:t>
      </w:r>
      <w:r>
        <w:rPr>
          <w:rFonts w:hint="eastAsia" w:ascii="仿宋" w:hAnsi="仿宋"/>
          <w:sz w:val="28"/>
          <w:szCs w:val="28"/>
          <w:lang w:eastAsia="zh-CN"/>
        </w:rPr>
        <w:t>中广兴业</w:t>
      </w:r>
      <w:r>
        <w:rPr>
          <w:rFonts w:hint="eastAsia" w:ascii="仿宋" w:hAnsi="仿宋"/>
          <w:sz w:val="28"/>
          <w:szCs w:val="28"/>
          <w:lang w:val="en-US" w:eastAsia="zh-CN"/>
        </w:rPr>
        <w:t>物业管理</w:t>
      </w:r>
      <w:r>
        <w:rPr>
          <w:rFonts w:hint="eastAsia" w:ascii="仿宋" w:hAnsi="仿宋"/>
          <w:sz w:val="28"/>
          <w:szCs w:val="28"/>
        </w:rPr>
        <w:t>有限公司破产清算及重整程序中获取的保密信息，按本函的下列要求履行保密义务。</w:t>
      </w:r>
    </w:p>
    <w:p w14:paraId="6B40FCB7">
      <w:pPr>
        <w:pStyle w:val="12"/>
        <w:snapToGrid w:val="0"/>
        <w:spacing w:line="560" w:lineRule="exact"/>
        <w:ind w:firstLine="562"/>
        <w:rPr>
          <w:rFonts w:hint="eastAsia" w:ascii="仿宋" w:hAnsi="仿宋"/>
          <w:sz w:val="28"/>
          <w:szCs w:val="28"/>
        </w:rPr>
      </w:pPr>
      <w:r>
        <w:rPr>
          <w:rFonts w:hint="eastAsia" w:ascii="仿宋" w:hAnsi="仿宋"/>
          <w:b/>
          <w:bCs/>
          <w:sz w:val="28"/>
          <w:szCs w:val="28"/>
        </w:rPr>
        <w:t>第一条 保密信息</w:t>
      </w:r>
      <w:r>
        <w:rPr>
          <w:rFonts w:hint="eastAsia" w:ascii="仿宋" w:hAnsi="仿宋"/>
          <w:sz w:val="28"/>
          <w:szCs w:val="28"/>
        </w:rPr>
        <w:t xml:space="preserve"> </w:t>
      </w:r>
    </w:p>
    <w:p w14:paraId="372BD7CA">
      <w:pPr>
        <w:snapToGrid w:val="0"/>
        <w:spacing w:line="560" w:lineRule="exact"/>
        <w:ind w:firstLine="560" w:firstLineChars="200"/>
        <w:rPr>
          <w:rFonts w:hint="eastAsia" w:ascii="仿宋" w:hAnsi="仿宋"/>
          <w:sz w:val="28"/>
          <w:szCs w:val="28"/>
        </w:rPr>
      </w:pPr>
      <w:r>
        <w:rPr>
          <w:rFonts w:hint="eastAsia" w:ascii="仿宋" w:hAnsi="仿宋"/>
          <w:sz w:val="28"/>
          <w:szCs w:val="28"/>
        </w:rPr>
        <w:t>保密信息指我方获得的与北京</w:t>
      </w:r>
      <w:r>
        <w:rPr>
          <w:rFonts w:hint="eastAsia" w:ascii="仿宋" w:hAnsi="仿宋"/>
          <w:sz w:val="28"/>
          <w:szCs w:val="28"/>
          <w:lang w:eastAsia="zh-CN"/>
        </w:rPr>
        <w:t>中广兴业</w:t>
      </w:r>
      <w:r>
        <w:rPr>
          <w:rFonts w:hint="eastAsia" w:ascii="仿宋" w:hAnsi="仿宋"/>
          <w:sz w:val="28"/>
          <w:szCs w:val="28"/>
          <w:lang w:val="en-US" w:eastAsia="zh-CN"/>
        </w:rPr>
        <w:t>物业管理</w:t>
      </w:r>
      <w:r>
        <w:rPr>
          <w:rFonts w:hint="eastAsia" w:ascii="仿宋" w:hAnsi="仿宋"/>
          <w:sz w:val="28"/>
          <w:szCs w:val="28"/>
        </w:rPr>
        <w:t>有限公司（以下简称</w:t>
      </w:r>
      <w:r>
        <w:rPr>
          <w:rFonts w:hint="eastAsia" w:ascii="仿宋" w:hAnsi="仿宋"/>
          <w:sz w:val="28"/>
          <w:szCs w:val="28"/>
          <w:lang w:eastAsia="zh-CN"/>
        </w:rPr>
        <w:t>中广兴业公司</w:t>
      </w:r>
      <w:r>
        <w:rPr>
          <w:rFonts w:hint="eastAsia" w:ascii="仿宋" w:hAnsi="仿宋"/>
          <w:sz w:val="28"/>
          <w:szCs w:val="28"/>
        </w:rPr>
        <w:t>）破产清算及重整有关或因此产生的以书面、口头、图像或者其他任何形式作为载体的任何信息，包括但不限于：</w:t>
      </w:r>
    </w:p>
    <w:p w14:paraId="28023C06">
      <w:pPr>
        <w:pStyle w:val="12"/>
        <w:snapToGrid w:val="0"/>
        <w:spacing w:line="560" w:lineRule="exact"/>
        <w:ind w:firstLine="560"/>
        <w:rPr>
          <w:rFonts w:hint="eastAsia" w:ascii="仿宋" w:hAnsi="仿宋"/>
          <w:sz w:val="28"/>
          <w:szCs w:val="28"/>
        </w:rPr>
      </w:pPr>
      <w:r>
        <w:rPr>
          <w:rFonts w:hint="eastAsia" w:ascii="仿宋" w:hAnsi="仿宋"/>
          <w:sz w:val="28"/>
          <w:szCs w:val="28"/>
        </w:rPr>
        <w:t>1.贵方以口头、书面或者其他形式，向我方提供的</w:t>
      </w:r>
      <w:r>
        <w:rPr>
          <w:rFonts w:hint="eastAsia" w:ascii="仿宋" w:hAnsi="仿宋"/>
          <w:sz w:val="28"/>
          <w:szCs w:val="28"/>
          <w:lang w:eastAsia="zh-CN"/>
        </w:rPr>
        <w:t>中广兴业公司</w:t>
      </w:r>
      <w:r>
        <w:rPr>
          <w:rFonts w:hint="eastAsia" w:ascii="仿宋" w:hAnsi="仿宋"/>
          <w:sz w:val="28"/>
          <w:szCs w:val="28"/>
        </w:rPr>
        <w:t>的一切非公开、保密、专有的文件及其他资料；</w:t>
      </w:r>
    </w:p>
    <w:p w14:paraId="78C56B46">
      <w:pPr>
        <w:pStyle w:val="12"/>
        <w:snapToGrid w:val="0"/>
        <w:spacing w:line="560" w:lineRule="exact"/>
        <w:ind w:firstLine="560"/>
        <w:rPr>
          <w:rFonts w:hint="eastAsia" w:ascii="仿宋" w:hAnsi="仿宋"/>
          <w:sz w:val="28"/>
          <w:szCs w:val="28"/>
        </w:rPr>
      </w:pPr>
      <w:r>
        <w:rPr>
          <w:rFonts w:hint="eastAsia" w:ascii="仿宋" w:hAnsi="仿宋"/>
          <w:sz w:val="28"/>
          <w:szCs w:val="28"/>
        </w:rPr>
        <w:t>2.我方或我方代表通过与</w:t>
      </w:r>
      <w:r>
        <w:rPr>
          <w:rFonts w:hint="eastAsia" w:ascii="仿宋" w:hAnsi="仿宋"/>
          <w:sz w:val="28"/>
          <w:szCs w:val="28"/>
          <w:lang w:eastAsia="zh-CN"/>
        </w:rPr>
        <w:t>中广兴业公司</w:t>
      </w:r>
      <w:r>
        <w:rPr>
          <w:rFonts w:hint="eastAsia" w:ascii="仿宋" w:hAnsi="仿宋"/>
          <w:sz w:val="28"/>
          <w:szCs w:val="28"/>
        </w:rPr>
        <w:t>股东、员工、参与</w:t>
      </w:r>
      <w:r>
        <w:rPr>
          <w:rFonts w:hint="eastAsia" w:ascii="仿宋" w:hAnsi="仿宋"/>
          <w:sz w:val="28"/>
          <w:szCs w:val="28"/>
          <w:lang w:eastAsia="zh-CN"/>
        </w:rPr>
        <w:t>中广兴业公司</w:t>
      </w:r>
      <w:r>
        <w:rPr>
          <w:rFonts w:hint="eastAsia" w:ascii="仿宋" w:hAnsi="仿宋"/>
          <w:sz w:val="28"/>
          <w:szCs w:val="28"/>
        </w:rPr>
        <w:t>破产清算及重整案中介机构/顾问的接触、沟通、商讨，而获得的任何不被公众所知悉或披露义务人尚未公开披露的与</w:t>
      </w:r>
      <w:r>
        <w:rPr>
          <w:rFonts w:hint="eastAsia" w:ascii="仿宋" w:hAnsi="仿宋"/>
          <w:sz w:val="28"/>
          <w:szCs w:val="28"/>
          <w:lang w:eastAsia="zh-CN"/>
        </w:rPr>
        <w:t>中广兴业公司</w:t>
      </w:r>
      <w:r>
        <w:rPr>
          <w:rFonts w:hint="eastAsia" w:ascii="仿宋" w:hAnsi="仿宋"/>
          <w:sz w:val="28"/>
          <w:szCs w:val="28"/>
        </w:rPr>
        <w:t>及</w:t>
      </w:r>
      <w:r>
        <w:rPr>
          <w:rFonts w:hint="eastAsia" w:ascii="仿宋" w:hAnsi="仿宋"/>
          <w:sz w:val="28"/>
          <w:szCs w:val="28"/>
          <w:lang w:eastAsia="zh-CN"/>
        </w:rPr>
        <w:t>中广兴业公司</w:t>
      </w:r>
      <w:r>
        <w:rPr>
          <w:rFonts w:hint="eastAsia" w:ascii="仿宋" w:hAnsi="仿宋"/>
          <w:sz w:val="28"/>
          <w:szCs w:val="28"/>
        </w:rPr>
        <w:t>破产清算及重整案有关的信息；</w:t>
      </w:r>
    </w:p>
    <w:p w14:paraId="48B14601">
      <w:pPr>
        <w:pStyle w:val="12"/>
        <w:snapToGrid w:val="0"/>
        <w:spacing w:line="560" w:lineRule="exact"/>
        <w:ind w:firstLine="560"/>
        <w:rPr>
          <w:rFonts w:hint="eastAsia" w:ascii="仿宋" w:hAnsi="仿宋"/>
          <w:sz w:val="28"/>
          <w:szCs w:val="28"/>
        </w:rPr>
      </w:pPr>
      <w:r>
        <w:rPr>
          <w:rFonts w:hint="eastAsia" w:ascii="仿宋" w:hAnsi="仿宋"/>
          <w:sz w:val="28"/>
          <w:szCs w:val="28"/>
        </w:rPr>
        <w:t>3.涉及</w:t>
      </w:r>
      <w:r>
        <w:rPr>
          <w:rFonts w:hint="eastAsia" w:ascii="仿宋" w:hAnsi="仿宋"/>
          <w:sz w:val="28"/>
          <w:szCs w:val="28"/>
          <w:lang w:eastAsia="zh-CN"/>
        </w:rPr>
        <w:t>中广兴业公司</w:t>
      </w:r>
      <w:r>
        <w:rPr>
          <w:rFonts w:hint="eastAsia" w:ascii="仿宋" w:hAnsi="仿宋"/>
          <w:sz w:val="28"/>
          <w:szCs w:val="28"/>
        </w:rPr>
        <w:t>资产负债基本情况、价值评估、内部经营管理情况等信息；</w:t>
      </w:r>
    </w:p>
    <w:p w14:paraId="53D76BA7">
      <w:pPr>
        <w:pStyle w:val="12"/>
        <w:snapToGrid w:val="0"/>
        <w:spacing w:line="560" w:lineRule="exact"/>
        <w:ind w:firstLine="560"/>
        <w:rPr>
          <w:rFonts w:hint="eastAsia" w:ascii="仿宋" w:hAnsi="仿宋"/>
          <w:sz w:val="28"/>
          <w:szCs w:val="28"/>
        </w:rPr>
      </w:pPr>
      <w:r>
        <w:rPr>
          <w:rFonts w:hint="eastAsia" w:ascii="仿宋" w:hAnsi="仿宋"/>
          <w:sz w:val="28"/>
          <w:szCs w:val="28"/>
        </w:rPr>
        <w:t>4.由贵方或披露义务人制作的、与</w:t>
      </w:r>
      <w:r>
        <w:rPr>
          <w:rFonts w:hint="eastAsia" w:ascii="仿宋" w:hAnsi="仿宋"/>
          <w:sz w:val="28"/>
          <w:szCs w:val="28"/>
          <w:lang w:eastAsia="zh-CN"/>
        </w:rPr>
        <w:t>中广兴业公司</w:t>
      </w:r>
      <w:r>
        <w:rPr>
          <w:rFonts w:hint="eastAsia" w:ascii="仿宋" w:hAnsi="仿宋"/>
          <w:sz w:val="28"/>
          <w:szCs w:val="28"/>
        </w:rPr>
        <w:t>破产清算及重整相关的任何原始材料、记录、文件、报告、分析、编辑研究、法律意见以及其他材料或文件；</w:t>
      </w:r>
    </w:p>
    <w:p w14:paraId="0A49D6F7">
      <w:pPr>
        <w:pStyle w:val="12"/>
        <w:snapToGrid w:val="0"/>
        <w:spacing w:line="560" w:lineRule="exact"/>
        <w:ind w:firstLine="560"/>
        <w:rPr>
          <w:rFonts w:hint="eastAsia" w:ascii="仿宋" w:hAnsi="仿宋"/>
          <w:sz w:val="28"/>
          <w:szCs w:val="28"/>
        </w:rPr>
      </w:pPr>
      <w:r>
        <w:rPr>
          <w:rFonts w:hint="eastAsia" w:ascii="仿宋" w:hAnsi="仿宋"/>
          <w:sz w:val="28"/>
          <w:szCs w:val="28"/>
        </w:rPr>
        <w:t>5.</w:t>
      </w:r>
      <w:r>
        <w:rPr>
          <w:rFonts w:hint="eastAsia" w:ascii="仿宋" w:hAnsi="仿宋"/>
          <w:sz w:val="28"/>
          <w:szCs w:val="28"/>
          <w:lang w:eastAsia="zh-CN"/>
        </w:rPr>
        <w:t>中广兴业公司</w:t>
      </w:r>
      <w:r>
        <w:rPr>
          <w:rFonts w:hint="eastAsia" w:ascii="仿宋" w:hAnsi="仿宋"/>
          <w:sz w:val="28"/>
          <w:szCs w:val="28"/>
        </w:rPr>
        <w:t>专有的任何带有“秘密”“机密”“绝密”字样的文件（如有），以及涉及</w:t>
      </w:r>
      <w:r>
        <w:rPr>
          <w:rFonts w:hint="eastAsia" w:ascii="仿宋" w:hAnsi="仿宋"/>
          <w:sz w:val="28"/>
          <w:szCs w:val="28"/>
          <w:lang w:eastAsia="zh-CN"/>
        </w:rPr>
        <w:t>中广兴业公司</w:t>
      </w:r>
      <w:r>
        <w:rPr>
          <w:rFonts w:hint="eastAsia" w:ascii="仿宋" w:hAnsi="仿宋"/>
          <w:sz w:val="28"/>
          <w:szCs w:val="28"/>
        </w:rPr>
        <w:t>破产清算及重整事项的各项内部规章制度；</w:t>
      </w:r>
    </w:p>
    <w:p w14:paraId="4DC8676B">
      <w:pPr>
        <w:pStyle w:val="12"/>
        <w:snapToGrid w:val="0"/>
        <w:spacing w:line="560" w:lineRule="exact"/>
        <w:ind w:firstLine="560"/>
        <w:rPr>
          <w:rFonts w:hint="eastAsia" w:ascii="仿宋" w:hAnsi="仿宋"/>
          <w:sz w:val="28"/>
          <w:szCs w:val="28"/>
        </w:rPr>
      </w:pPr>
      <w:r>
        <w:rPr>
          <w:rFonts w:hint="eastAsia" w:ascii="仿宋" w:hAnsi="仿宋"/>
          <w:sz w:val="28"/>
          <w:szCs w:val="28"/>
        </w:rPr>
        <w:t>6.贵方或披露义务人与我方或我方代表为进行</w:t>
      </w:r>
      <w:r>
        <w:rPr>
          <w:rFonts w:hint="eastAsia" w:ascii="仿宋" w:hAnsi="仿宋"/>
          <w:sz w:val="28"/>
          <w:szCs w:val="28"/>
          <w:lang w:eastAsia="zh-CN"/>
        </w:rPr>
        <w:t>中广兴业公司</w:t>
      </w:r>
      <w:r>
        <w:rPr>
          <w:rFonts w:hint="eastAsia" w:ascii="仿宋" w:hAnsi="仿宋"/>
          <w:sz w:val="28"/>
          <w:szCs w:val="28"/>
        </w:rPr>
        <w:t>破产清算及重整工作而达成的任何合同、协议、约定或在进行破产清算及重整工作过程中产生的任何会议纪要、会谈记录等；</w:t>
      </w:r>
    </w:p>
    <w:p w14:paraId="1C345BB9">
      <w:pPr>
        <w:pStyle w:val="12"/>
        <w:snapToGrid w:val="0"/>
        <w:spacing w:line="560" w:lineRule="exact"/>
        <w:ind w:firstLine="560"/>
        <w:rPr>
          <w:rFonts w:hint="eastAsia" w:ascii="仿宋" w:hAnsi="仿宋"/>
          <w:sz w:val="28"/>
          <w:szCs w:val="28"/>
        </w:rPr>
      </w:pPr>
      <w:r>
        <w:rPr>
          <w:rFonts w:hint="eastAsia" w:ascii="仿宋" w:hAnsi="仿宋"/>
          <w:sz w:val="28"/>
          <w:szCs w:val="28"/>
        </w:rPr>
        <w:t>7.我方或我方委派人员制作的包含或有关上述资料的书面备忘录、笔记、分析、报告、汇编和研究资料等；</w:t>
      </w:r>
    </w:p>
    <w:p w14:paraId="1FAF989B">
      <w:pPr>
        <w:pStyle w:val="12"/>
        <w:snapToGrid w:val="0"/>
        <w:spacing w:line="560" w:lineRule="exact"/>
        <w:ind w:firstLine="560"/>
        <w:rPr>
          <w:rFonts w:hint="eastAsia" w:ascii="仿宋" w:hAnsi="仿宋"/>
          <w:sz w:val="28"/>
          <w:szCs w:val="28"/>
        </w:rPr>
      </w:pPr>
      <w:r>
        <w:rPr>
          <w:rFonts w:hint="eastAsia" w:ascii="仿宋" w:hAnsi="仿宋"/>
          <w:sz w:val="28"/>
          <w:szCs w:val="28"/>
        </w:rPr>
        <w:t>8.上述资料的全部复制件或录音资料等；</w:t>
      </w:r>
    </w:p>
    <w:p w14:paraId="2E7E4854">
      <w:pPr>
        <w:pStyle w:val="12"/>
        <w:snapToGrid w:val="0"/>
        <w:spacing w:line="560" w:lineRule="exact"/>
        <w:ind w:firstLine="560"/>
        <w:rPr>
          <w:rFonts w:hint="eastAsia" w:ascii="仿宋" w:hAnsi="仿宋"/>
          <w:sz w:val="28"/>
          <w:szCs w:val="28"/>
        </w:rPr>
      </w:pPr>
      <w:r>
        <w:rPr>
          <w:rFonts w:hint="eastAsia" w:ascii="仿宋" w:hAnsi="仿宋"/>
          <w:sz w:val="28"/>
          <w:szCs w:val="28"/>
        </w:rPr>
        <w:t>9.贵方或披露义务人向我方提供的不被公众所知的其他文件资料和信息；</w:t>
      </w:r>
    </w:p>
    <w:p w14:paraId="3DA98613">
      <w:pPr>
        <w:pStyle w:val="12"/>
        <w:snapToGrid w:val="0"/>
        <w:spacing w:line="560" w:lineRule="exact"/>
        <w:ind w:firstLine="560"/>
        <w:rPr>
          <w:rFonts w:hint="eastAsia" w:ascii="仿宋" w:hAnsi="仿宋"/>
          <w:sz w:val="28"/>
          <w:szCs w:val="28"/>
        </w:rPr>
      </w:pPr>
      <w:r>
        <w:rPr>
          <w:rFonts w:hint="eastAsia" w:ascii="仿宋" w:hAnsi="仿宋"/>
          <w:sz w:val="28"/>
          <w:szCs w:val="28"/>
        </w:rPr>
        <w:t>10.上述保密信息无论以何种形式存在（包括但不限于数据、图表、胶片、光盘、文件、计算机媒介和网络），也无论是否以口头、文件、演示或其他形式提供，也无论是否记载或标注为保密信息，均不影响其在本承诺函项下的保密性质。</w:t>
      </w:r>
    </w:p>
    <w:p w14:paraId="2B894C4A">
      <w:pPr>
        <w:pStyle w:val="12"/>
        <w:snapToGrid w:val="0"/>
        <w:spacing w:line="560" w:lineRule="exact"/>
        <w:ind w:firstLine="562"/>
        <w:rPr>
          <w:rFonts w:hint="eastAsia" w:ascii="仿宋" w:hAnsi="仿宋"/>
          <w:sz w:val="28"/>
          <w:szCs w:val="28"/>
        </w:rPr>
      </w:pPr>
      <w:r>
        <w:rPr>
          <w:rFonts w:hint="eastAsia" w:ascii="仿宋" w:hAnsi="仿宋"/>
          <w:b/>
          <w:bCs/>
          <w:sz w:val="28"/>
          <w:szCs w:val="28"/>
        </w:rPr>
        <w:t>第二条保密义务的期限</w:t>
      </w:r>
      <w:r>
        <w:rPr>
          <w:rFonts w:hint="eastAsia" w:ascii="仿宋" w:hAnsi="仿宋"/>
          <w:sz w:val="28"/>
          <w:szCs w:val="28"/>
        </w:rPr>
        <w:t xml:space="preserve"> </w:t>
      </w:r>
    </w:p>
    <w:p w14:paraId="4D406E00">
      <w:pPr>
        <w:snapToGrid w:val="0"/>
        <w:spacing w:line="560" w:lineRule="exact"/>
        <w:ind w:firstLine="560" w:firstLineChars="200"/>
        <w:rPr>
          <w:rFonts w:hint="eastAsia" w:ascii="仿宋" w:hAnsi="仿宋"/>
          <w:sz w:val="28"/>
          <w:szCs w:val="28"/>
        </w:rPr>
      </w:pPr>
      <w:r>
        <w:rPr>
          <w:rFonts w:hint="eastAsia" w:ascii="仿宋" w:hAnsi="仿宋"/>
          <w:sz w:val="28"/>
          <w:szCs w:val="28"/>
        </w:rPr>
        <w:t>自我方获取</w:t>
      </w:r>
      <w:r>
        <w:rPr>
          <w:rFonts w:hint="eastAsia" w:ascii="仿宋" w:hAnsi="仿宋"/>
          <w:sz w:val="28"/>
          <w:szCs w:val="28"/>
          <w:lang w:eastAsia="zh-CN"/>
        </w:rPr>
        <w:t>中广兴业公司</w:t>
      </w:r>
      <w:r>
        <w:rPr>
          <w:rFonts w:hint="eastAsia" w:ascii="仿宋" w:hAnsi="仿宋"/>
          <w:sz w:val="28"/>
          <w:szCs w:val="28"/>
        </w:rPr>
        <w:t xml:space="preserve">重整保密信息之日起至任何保密信息进入公共领域成为公知信息之日止，不受期限限制。 </w:t>
      </w:r>
    </w:p>
    <w:p w14:paraId="3BC8DBE7">
      <w:pPr>
        <w:snapToGrid w:val="0"/>
        <w:spacing w:line="560" w:lineRule="exact"/>
        <w:ind w:firstLine="562" w:firstLineChars="200"/>
        <w:rPr>
          <w:rFonts w:hint="eastAsia" w:ascii="仿宋" w:hAnsi="仿宋"/>
          <w:sz w:val="28"/>
          <w:szCs w:val="28"/>
        </w:rPr>
      </w:pPr>
      <w:r>
        <w:rPr>
          <w:rFonts w:hint="eastAsia" w:ascii="仿宋" w:hAnsi="仿宋"/>
          <w:b/>
          <w:bCs/>
          <w:sz w:val="28"/>
          <w:szCs w:val="28"/>
        </w:rPr>
        <w:t>第三条  保密义务</w:t>
      </w:r>
      <w:r>
        <w:rPr>
          <w:rFonts w:hint="eastAsia" w:ascii="仿宋" w:hAnsi="仿宋"/>
          <w:sz w:val="28"/>
          <w:szCs w:val="28"/>
        </w:rPr>
        <w:t xml:space="preserve"> </w:t>
      </w:r>
    </w:p>
    <w:p w14:paraId="23A907F5">
      <w:pPr>
        <w:pStyle w:val="12"/>
        <w:snapToGrid w:val="0"/>
        <w:spacing w:line="560" w:lineRule="exact"/>
        <w:ind w:firstLine="560"/>
        <w:rPr>
          <w:rFonts w:hint="eastAsia" w:ascii="仿宋" w:hAnsi="仿宋"/>
          <w:sz w:val="28"/>
          <w:szCs w:val="28"/>
        </w:rPr>
      </w:pPr>
      <w:r>
        <w:rPr>
          <w:rFonts w:hint="eastAsia" w:ascii="仿宋" w:hAnsi="仿宋"/>
          <w:sz w:val="28"/>
          <w:szCs w:val="28"/>
        </w:rPr>
        <w:t>1.我方采取对上述资料保密的措施，保证知悉保密信息的人员，仅限于我方为了评估及/或参与</w:t>
      </w:r>
      <w:r>
        <w:rPr>
          <w:rFonts w:hint="eastAsia" w:ascii="仿宋" w:hAnsi="仿宋"/>
          <w:sz w:val="28"/>
          <w:szCs w:val="28"/>
          <w:lang w:eastAsia="zh-CN"/>
        </w:rPr>
        <w:t>中广兴业公司</w:t>
      </w:r>
      <w:r>
        <w:rPr>
          <w:rFonts w:hint="eastAsia" w:ascii="仿宋" w:hAnsi="仿宋"/>
          <w:sz w:val="28"/>
          <w:szCs w:val="28"/>
        </w:rPr>
        <w:t xml:space="preserve">破产清算及重整程序必须知道保密信息的代表。 </w:t>
      </w:r>
    </w:p>
    <w:p w14:paraId="26A31015">
      <w:pPr>
        <w:pStyle w:val="12"/>
        <w:snapToGrid w:val="0"/>
        <w:spacing w:line="560" w:lineRule="exact"/>
        <w:ind w:firstLine="560"/>
        <w:rPr>
          <w:rFonts w:hint="eastAsia" w:ascii="仿宋" w:hAnsi="仿宋"/>
          <w:sz w:val="28"/>
          <w:szCs w:val="28"/>
        </w:rPr>
      </w:pPr>
      <w:r>
        <w:rPr>
          <w:rFonts w:hint="eastAsia" w:ascii="仿宋" w:hAnsi="仿宋"/>
          <w:sz w:val="28"/>
          <w:szCs w:val="28"/>
        </w:rPr>
        <w:t xml:space="preserve">2.我方同意对所有保密信息保密，除非贵方同意，不会将任何信息以任何形式披露给除本条第1款之外的其他任何人。未经贵方的事先书面同意，我方不以任何方式将保密信息向任何第三人披露、传播或复制。 </w:t>
      </w:r>
    </w:p>
    <w:p w14:paraId="58ACB372">
      <w:pPr>
        <w:pStyle w:val="12"/>
        <w:snapToGrid w:val="0"/>
        <w:spacing w:line="560" w:lineRule="exact"/>
        <w:ind w:firstLine="560"/>
        <w:rPr>
          <w:rFonts w:hint="eastAsia" w:ascii="仿宋" w:hAnsi="仿宋"/>
          <w:sz w:val="28"/>
          <w:szCs w:val="28"/>
        </w:rPr>
      </w:pPr>
      <w:r>
        <w:rPr>
          <w:rFonts w:hint="eastAsia" w:ascii="仿宋" w:hAnsi="仿宋"/>
          <w:sz w:val="28"/>
          <w:szCs w:val="28"/>
        </w:rPr>
        <w:t>3.我方将严格遵守相关法律法规，切实履行内幕信息知情人的保密义务，在保密信息依法披露前不公开或者泄露该信息，不利用上述信息进行内幕交易。</w:t>
      </w:r>
    </w:p>
    <w:p w14:paraId="746CF0A1">
      <w:pPr>
        <w:pStyle w:val="12"/>
        <w:snapToGrid w:val="0"/>
        <w:spacing w:line="560" w:lineRule="exact"/>
        <w:ind w:firstLine="560"/>
        <w:rPr>
          <w:rFonts w:hint="eastAsia" w:ascii="仿宋" w:hAnsi="仿宋"/>
          <w:sz w:val="28"/>
          <w:szCs w:val="28"/>
        </w:rPr>
      </w:pPr>
      <w:r>
        <w:rPr>
          <w:rFonts w:hint="eastAsia" w:ascii="仿宋" w:hAnsi="仿宋"/>
          <w:sz w:val="28"/>
          <w:szCs w:val="28"/>
        </w:rPr>
        <w:t>4.我方以参与</w:t>
      </w:r>
      <w:r>
        <w:rPr>
          <w:rFonts w:hint="eastAsia" w:ascii="仿宋" w:hAnsi="仿宋"/>
          <w:sz w:val="28"/>
          <w:szCs w:val="28"/>
          <w:lang w:eastAsia="zh-CN"/>
        </w:rPr>
        <w:t>中广兴业公司</w:t>
      </w:r>
      <w:r>
        <w:rPr>
          <w:rFonts w:hint="eastAsia" w:ascii="仿宋" w:hAnsi="仿宋"/>
          <w:sz w:val="28"/>
          <w:szCs w:val="28"/>
        </w:rPr>
        <w:t>破产清算及重整程序目的进行尽职调查，获取、使用</w:t>
      </w:r>
      <w:r>
        <w:rPr>
          <w:rFonts w:hint="eastAsia" w:ascii="仿宋" w:hAnsi="仿宋"/>
          <w:sz w:val="28"/>
          <w:szCs w:val="28"/>
          <w:lang w:eastAsia="zh-CN"/>
        </w:rPr>
        <w:t>中广兴业公司</w:t>
      </w:r>
      <w:r>
        <w:rPr>
          <w:rFonts w:hint="eastAsia" w:ascii="仿宋" w:hAnsi="仿宋"/>
          <w:sz w:val="28"/>
          <w:szCs w:val="28"/>
        </w:rPr>
        <w:t xml:space="preserve">相关资料，不以其他目的获取、使用资料。 </w:t>
      </w:r>
    </w:p>
    <w:p w14:paraId="125856FD">
      <w:pPr>
        <w:pStyle w:val="12"/>
        <w:snapToGrid w:val="0"/>
        <w:spacing w:line="560" w:lineRule="exact"/>
        <w:ind w:firstLine="560"/>
        <w:rPr>
          <w:rFonts w:hint="eastAsia" w:ascii="仿宋" w:hAnsi="仿宋"/>
          <w:sz w:val="28"/>
          <w:szCs w:val="28"/>
        </w:rPr>
      </w:pPr>
      <w:r>
        <w:rPr>
          <w:rFonts w:hint="eastAsia" w:ascii="仿宋" w:hAnsi="仿宋"/>
          <w:sz w:val="28"/>
          <w:szCs w:val="28"/>
        </w:rPr>
        <w:t>5.若我方未履行本保密函保密义务，给贵方或</w:t>
      </w:r>
      <w:r>
        <w:rPr>
          <w:rFonts w:hint="eastAsia" w:ascii="仿宋" w:hAnsi="仿宋"/>
          <w:sz w:val="28"/>
          <w:szCs w:val="28"/>
          <w:lang w:eastAsia="zh-CN"/>
        </w:rPr>
        <w:t>中广兴业公司</w:t>
      </w:r>
      <w:r>
        <w:rPr>
          <w:rFonts w:hint="eastAsia" w:ascii="仿宋" w:hAnsi="仿宋"/>
          <w:sz w:val="28"/>
          <w:szCs w:val="28"/>
        </w:rPr>
        <w:t xml:space="preserve">造成损失的，我方应赔偿损失。损失范围包括直接损失和间接损失，以及因此支出的律师费、仲裁费、诉讼费等。 </w:t>
      </w:r>
    </w:p>
    <w:p w14:paraId="620DDD2F">
      <w:pPr>
        <w:snapToGrid w:val="0"/>
        <w:spacing w:line="560" w:lineRule="exact"/>
        <w:ind w:firstLine="560" w:firstLineChars="200"/>
        <w:rPr>
          <w:rFonts w:hint="eastAsia" w:ascii="仿宋" w:hAnsi="仿宋"/>
          <w:sz w:val="28"/>
          <w:szCs w:val="28"/>
        </w:rPr>
      </w:pPr>
      <w:r>
        <w:rPr>
          <w:rFonts w:hint="eastAsia" w:ascii="仿宋" w:hAnsi="仿宋"/>
          <w:sz w:val="28"/>
          <w:szCs w:val="28"/>
        </w:rPr>
        <w:t xml:space="preserve">此致   </w:t>
      </w:r>
    </w:p>
    <w:p w14:paraId="48EB3388">
      <w:pPr>
        <w:spacing w:line="560" w:lineRule="exact"/>
        <w:jc w:val="center"/>
        <w:rPr>
          <w:rFonts w:hint="eastAsia" w:ascii="仿宋" w:hAnsi="仿宋"/>
          <w:sz w:val="28"/>
          <w:szCs w:val="28"/>
        </w:rPr>
      </w:pPr>
      <w:r>
        <w:rPr>
          <w:rFonts w:hint="eastAsia" w:ascii="仿宋" w:hAnsi="仿宋"/>
          <w:sz w:val="28"/>
          <w:szCs w:val="28"/>
        </w:rPr>
        <w:t xml:space="preserve">      </w:t>
      </w:r>
    </w:p>
    <w:p w14:paraId="0224D1FC">
      <w:pPr>
        <w:spacing w:line="560" w:lineRule="exact"/>
        <w:jc w:val="center"/>
        <w:rPr>
          <w:rFonts w:hint="eastAsia" w:ascii="仿宋" w:hAnsi="仿宋"/>
          <w:sz w:val="28"/>
          <w:szCs w:val="28"/>
        </w:rPr>
      </w:pPr>
    </w:p>
    <w:p w14:paraId="59986166">
      <w:pPr>
        <w:spacing w:line="560" w:lineRule="exact"/>
        <w:jc w:val="center"/>
        <w:rPr>
          <w:rFonts w:hint="eastAsia" w:ascii="仿宋" w:hAnsi="仿宋"/>
          <w:sz w:val="28"/>
          <w:szCs w:val="28"/>
        </w:rPr>
      </w:pPr>
    </w:p>
    <w:p w14:paraId="45DD7061">
      <w:pPr>
        <w:spacing w:line="560" w:lineRule="exact"/>
        <w:jc w:val="center"/>
        <w:rPr>
          <w:rFonts w:hint="eastAsia" w:ascii="仿宋" w:hAnsi="仿宋"/>
          <w:sz w:val="28"/>
          <w:szCs w:val="28"/>
        </w:rPr>
      </w:pPr>
      <w:r>
        <w:rPr>
          <w:rFonts w:hint="eastAsia" w:ascii="仿宋" w:hAnsi="仿宋"/>
          <w:sz w:val="28"/>
          <w:szCs w:val="28"/>
        </w:rPr>
        <w:t xml:space="preserve">     意向投资人（盖章）：</w:t>
      </w:r>
    </w:p>
    <w:p w14:paraId="5B2D206A">
      <w:pPr>
        <w:spacing w:line="560" w:lineRule="exact"/>
        <w:jc w:val="center"/>
        <w:rPr>
          <w:rFonts w:hint="eastAsia" w:ascii="仿宋" w:hAnsi="仿宋"/>
          <w:sz w:val="28"/>
          <w:szCs w:val="28"/>
        </w:rPr>
      </w:pPr>
    </w:p>
    <w:p w14:paraId="6D4160EA">
      <w:pPr>
        <w:wordWrap w:val="0"/>
        <w:spacing w:line="560" w:lineRule="exact"/>
        <w:jc w:val="right"/>
        <w:rPr>
          <w:rFonts w:hint="eastAsia" w:ascii="仿宋" w:hAnsi="仿宋"/>
          <w:sz w:val="28"/>
          <w:szCs w:val="28"/>
          <w:u w:val="single"/>
        </w:rPr>
      </w:pPr>
      <w:r>
        <w:rPr>
          <w:rFonts w:hint="eastAsia" w:ascii="仿宋" w:hAnsi="仿宋"/>
          <w:sz w:val="28"/>
          <w:szCs w:val="28"/>
        </w:rPr>
        <w:t xml:space="preserve"> 法定代表人（负责人）/授权代表签字：</w:t>
      </w:r>
      <w:r>
        <w:rPr>
          <w:rFonts w:hint="eastAsia" w:ascii="仿宋" w:hAnsi="仿宋"/>
          <w:sz w:val="28"/>
          <w:szCs w:val="28"/>
          <w:u w:val="single"/>
        </w:rPr>
        <w:t xml:space="preserve">          </w:t>
      </w:r>
    </w:p>
    <w:p w14:paraId="002FEC1F">
      <w:pPr>
        <w:wordWrap w:val="0"/>
        <w:spacing w:line="560" w:lineRule="exact"/>
        <w:jc w:val="right"/>
        <w:rPr>
          <w:rFonts w:hint="eastAsia" w:ascii="仿宋" w:hAnsi="仿宋"/>
          <w:sz w:val="28"/>
          <w:szCs w:val="28"/>
          <w:u w:val="single"/>
        </w:rPr>
      </w:pPr>
      <w:r>
        <w:rPr>
          <w:rFonts w:hint="eastAsia" w:ascii="仿宋" w:hAnsi="仿宋"/>
          <w:sz w:val="28"/>
          <w:szCs w:val="28"/>
        </w:rPr>
        <w:t xml:space="preserve"> 日期：</w:t>
      </w:r>
      <w:r>
        <w:rPr>
          <w:rFonts w:hint="eastAsia" w:ascii="仿宋" w:hAnsi="仿宋"/>
          <w:sz w:val="28"/>
          <w:szCs w:val="28"/>
          <w:u w:val="single"/>
        </w:rPr>
        <w:t xml:space="preserve">          </w:t>
      </w:r>
    </w:p>
    <w:p w14:paraId="4981FF28">
      <w:pPr>
        <w:spacing w:line="560" w:lineRule="exact"/>
        <w:jc w:val="right"/>
        <w:rPr>
          <w:rFonts w:hint="eastAsia" w:ascii="仿宋" w:hAnsi="仿宋"/>
          <w:sz w:val="28"/>
          <w:szCs w:val="28"/>
          <w:u w:val="single"/>
        </w:rPr>
      </w:pPr>
    </w:p>
    <w:p w14:paraId="1B268D95">
      <w:pPr>
        <w:spacing w:line="560" w:lineRule="exact"/>
        <w:rPr>
          <w:rFonts w:hint="eastAsia" w:ascii="仿宋" w:hAnsi="仿宋"/>
          <w:sz w:val="28"/>
          <w:szCs w:val="28"/>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85E993">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107F17">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D107F17">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00CD3F58"/>
    <w:rsid w:val="00092509"/>
    <w:rsid w:val="002313F4"/>
    <w:rsid w:val="0028648D"/>
    <w:rsid w:val="00397A6A"/>
    <w:rsid w:val="005319D6"/>
    <w:rsid w:val="00885B23"/>
    <w:rsid w:val="008F23B7"/>
    <w:rsid w:val="00941A98"/>
    <w:rsid w:val="00BA72B0"/>
    <w:rsid w:val="00BB6F41"/>
    <w:rsid w:val="00CD3F58"/>
    <w:rsid w:val="00EF2649"/>
    <w:rsid w:val="012B2B5D"/>
    <w:rsid w:val="014D4997"/>
    <w:rsid w:val="014F404B"/>
    <w:rsid w:val="01C25065"/>
    <w:rsid w:val="02251150"/>
    <w:rsid w:val="023A7A39"/>
    <w:rsid w:val="02BD0AD8"/>
    <w:rsid w:val="02C0622E"/>
    <w:rsid w:val="03191118"/>
    <w:rsid w:val="031A4A2D"/>
    <w:rsid w:val="037C0825"/>
    <w:rsid w:val="03AD764F"/>
    <w:rsid w:val="046B3792"/>
    <w:rsid w:val="04E76A6D"/>
    <w:rsid w:val="052A53FB"/>
    <w:rsid w:val="057123DC"/>
    <w:rsid w:val="059A4725"/>
    <w:rsid w:val="05EE5829"/>
    <w:rsid w:val="06473D8B"/>
    <w:rsid w:val="068540FB"/>
    <w:rsid w:val="06D82C35"/>
    <w:rsid w:val="07251F7D"/>
    <w:rsid w:val="07BE007D"/>
    <w:rsid w:val="07C03DF5"/>
    <w:rsid w:val="07F25F78"/>
    <w:rsid w:val="085E04B3"/>
    <w:rsid w:val="099A0675"/>
    <w:rsid w:val="09A14A08"/>
    <w:rsid w:val="09C86F91"/>
    <w:rsid w:val="0AB85257"/>
    <w:rsid w:val="0AC21C32"/>
    <w:rsid w:val="0B4458E4"/>
    <w:rsid w:val="0B4D3BF1"/>
    <w:rsid w:val="0B8D2240"/>
    <w:rsid w:val="0BB73477"/>
    <w:rsid w:val="0BF7590B"/>
    <w:rsid w:val="0C037F3C"/>
    <w:rsid w:val="0C4C20FB"/>
    <w:rsid w:val="0CC46135"/>
    <w:rsid w:val="0CE437D9"/>
    <w:rsid w:val="0CE75980"/>
    <w:rsid w:val="0CEA5F50"/>
    <w:rsid w:val="0D463A32"/>
    <w:rsid w:val="0D9F3DC1"/>
    <w:rsid w:val="0DA6583B"/>
    <w:rsid w:val="0DD028B8"/>
    <w:rsid w:val="0DF447F8"/>
    <w:rsid w:val="0DF540CC"/>
    <w:rsid w:val="0EDE1004"/>
    <w:rsid w:val="0F234C69"/>
    <w:rsid w:val="0FA364D6"/>
    <w:rsid w:val="0FD04DF1"/>
    <w:rsid w:val="10093E5F"/>
    <w:rsid w:val="106D2640"/>
    <w:rsid w:val="10AD5132"/>
    <w:rsid w:val="11731ED8"/>
    <w:rsid w:val="117A0B97"/>
    <w:rsid w:val="11DA6369"/>
    <w:rsid w:val="123B6858"/>
    <w:rsid w:val="123E24E6"/>
    <w:rsid w:val="12DB4F5A"/>
    <w:rsid w:val="13313DF9"/>
    <w:rsid w:val="13345E52"/>
    <w:rsid w:val="135172E5"/>
    <w:rsid w:val="13520228"/>
    <w:rsid w:val="13B13559"/>
    <w:rsid w:val="13C16B12"/>
    <w:rsid w:val="13C407C9"/>
    <w:rsid w:val="13D11138"/>
    <w:rsid w:val="13E76DFF"/>
    <w:rsid w:val="144B2489"/>
    <w:rsid w:val="150115A9"/>
    <w:rsid w:val="15B34F99"/>
    <w:rsid w:val="162639BD"/>
    <w:rsid w:val="168C1346"/>
    <w:rsid w:val="16C60CFC"/>
    <w:rsid w:val="176C173F"/>
    <w:rsid w:val="17764BF3"/>
    <w:rsid w:val="17C6385E"/>
    <w:rsid w:val="181979C4"/>
    <w:rsid w:val="18562BE0"/>
    <w:rsid w:val="18787ADF"/>
    <w:rsid w:val="189C0F42"/>
    <w:rsid w:val="19434561"/>
    <w:rsid w:val="19E64A97"/>
    <w:rsid w:val="19FD61E8"/>
    <w:rsid w:val="1A18361C"/>
    <w:rsid w:val="1A3D33D1"/>
    <w:rsid w:val="1AF04599"/>
    <w:rsid w:val="1B836180"/>
    <w:rsid w:val="1B972C67"/>
    <w:rsid w:val="1C1B7319"/>
    <w:rsid w:val="1C6B037B"/>
    <w:rsid w:val="1CD53A47"/>
    <w:rsid w:val="1CF0180F"/>
    <w:rsid w:val="1D385D84"/>
    <w:rsid w:val="1D7A639C"/>
    <w:rsid w:val="1D8D4321"/>
    <w:rsid w:val="1D9751A0"/>
    <w:rsid w:val="1DAB150C"/>
    <w:rsid w:val="1DB26E14"/>
    <w:rsid w:val="1E053128"/>
    <w:rsid w:val="1E2B385A"/>
    <w:rsid w:val="1E34479D"/>
    <w:rsid w:val="1E396257"/>
    <w:rsid w:val="1E872A4D"/>
    <w:rsid w:val="1EDB2E6A"/>
    <w:rsid w:val="1EE71D4D"/>
    <w:rsid w:val="1F664E2A"/>
    <w:rsid w:val="1FAE59D5"/>
    <w:rsid w:val="1FBA6F24"/>
    <w:rsid w:val="1FC84609"/>
    <w:rsid w:val="1FF02946"/>
    <w:rsid w:val="202820DF"/>
    <w:rsid w:val="20735A50"/>
    <w:rsid w:val="20D364EF"/>
    <w:rsid w:val="21376743"/>
    <w:rsid w:val="21787096"/>
    <w:rsid w:val="21A86B7B"/>
    <w:rsid w:val="23183B09"/>
    <w:rsid w:val="232A0BCD"/>
    <w:rsid w:val="236F114E"/>
    <w:rsid w:val="239D4B92"/>
    <w:rsid w:val="23E138B2"/>
    <w:rsid w:val="24724271"/>
    <w:rsid w:val="249E1B16"/>
    <w:rsid w:val="24FD1D8D"/>
    <w:rsid w:val="250C558A"/>
    <w:rsid w:val="25553977"/>
    <w:rsid w:val="256E2FC7"/>
    <w:rsid w:val="25755DC7"/>
    <w:rsid w:val="2584425C"/>
    <w:rsid w:val="26553787"/>
    <w:rsid w:val="26B20955"/>
    <w:rsid w:val="26E256DE"/>
    <w:rsid w:val="26E25D4A"/>
    <w:rsid w:val="272F01F7"/>
    <w:rsid w:val="27744462"/>
    <w:rsid w:val="277F4C03"/>
    <w:rsid w:val="27934C2A"/>
    <w:rsid w:val="27A26C1B"/>
    <w:rsid w:val="27AB6183"/>
    <w:rsid w:val="27CF10B1"/>
    <w:rsid w:val="281C7EDB"/>
    <w:rsid w:val="285408AF"/>
    <w:rsid w:val="28904CC6"/>
    <w:rsid w:val="2967011C"/>
    <w:rsid w:val="299A404E"/>
    <w:rsid w:val="29C015DB"/>
    <w:rsid w:val="29E27804"/>
    <w:rsid w:val="2A224E22"/>
    <w:rsid w:val="2A622692"/>
    <w:rsid w:val="2A953EC7"/>
    <w:rsid w:val="2AA1765E"/>
    <w:rsid w:val="2AAD1B5F"/>
    <w:rsid w:val="2ADC41F2"/>
    <w:rsid w:val="2AF77367"/>
    <w:rsid w:val="2B25186C"/>
    <w:rsid w:val="2B3C4A3A"/>
    <w:rsid w:val="2B403822"/>
    <w:rsid w:val="2B8F395A"/>
    <w:rsid w:val="2C576226"/>
    <w:rsid w:val="2C6B6503"/>
    <w:rsid w:val="2C9B053D"/>
    <w:rsid w:val="2CAC4287"/>
    <w:rsid w:val="2CF25F4F"/>
    <w:rsid w:val="2CF577ED"/>
    <w:rsid w:val="2D8A43D9"/>
    <w:rsid w:val="2D9E7E85"/>
    <w:rsid w:val="2DDA6B70"/>
    <w:rsid w:val="2DEC5759"/>
    <w:rsid w:val="2DF06932"/>
    <w:rsid w:val="2DF10C13"/>
    <w:rsid w:val="2E734E6D"/>
    <w:rsid w:val="2F484E5B"/>
    <w:rsid w:val="2F4862FA"/>
    <w:rsid w:val="2F5D6621"/>
    <w:rsid w:val="2F7215C9"/>
    <w:rsid w:val="2FA774C5"/>
    <w:rsid w:val="2FB971F8"/>
    <w:rsid w:val="2FC811E9"/>
    <w:rsid w:val="2FDE6C5E"/>
    <w:rsid w:val="306D5DBE"/>
    <w:rsid w:val="30D269D3"/>
    <w:rsid w:val="3110566A"/>
    <w:rsid w:val="31701B38"/>
    <w:rsid w:val="31E00A6C"/>
    <w:rsid w:val="31E16592"/>
    <w:rsid w:val="326351F9"/>
    <w:rsid w:val="32BC2FDE"/>
    <w:rsid w:val="32CE2FBA"/>
    <w:rsid w:val="32EC3440"/>
    <w:rsid w:val="3320203F"/>
    <w:rsid w:val="339B4F90"/>
    <w:rsid w:val="33EB36F8"/>
    <w:rsid w:val="3426317B"/>
    <w:rsid w:val="34562B28"/>
    <w:rsid w:val="346871AD"/>
    <w:rsid w:val="34713D3E"/>
    <w:rsid w:val="347E456C"/>
    <w:rsid w:val="34C51A78"/>
    <w:rsid w:val="34E75451"/>
    <w:rsid w:val="34FA62E8"/>
    <w:rsid w:val="34FB7C51"/>
    <w:rsid w:val="356C2617"/>
    <w:rsid w:val="357716E7"/>
    <w:rsid w:val="35BC534C"/>
    <w:rsid w:val="35FC7E3E"/>
    <w:rsid w:val="361433DA"/>
    <w:rsid w:val="368C11C2"/>
    <w:rsid w:val="36D46030"/>
    <w:rsid w:val="36F867A5"/>
    <w:rsid w:val="36FB1EA4"/>
    <w:rsid w:val="37023A8C"/>
    <w:rsid w:val="37740855"/>
    <w:rsid w:val="37794C71"/>
    <w:rsid w:val="37893C91"/>
    <w:rsid w:val="378E32F1"/>
    <w:rsid w:val="37FC4126"/>
    <w:rsid w:val="3808292D"/>
    <w:rsid w:val="384C15E7"/>
    <w:rsid w:val="3905525C"/>
    <w:rsid w:val="394925BC"/>
    <w:rsid w:val="39697599"/>
    <w:rsid w:val="396C3C86"/>
    <w:rsid w:val="3991089E"/>
    <w:rsid w:val="39977886"/>
    <w:rsid w:val="39D36974"/>
    <w:rsid w:val="39F13820"/>
    <w:rsid w:val="3A0D261A"/>
    <w:rsid w:val="3A173499"/>
    <w:rsid w:val="3A231E3E"/>
    <w:rsid w:val="3A35391F"/>
    <w:rsid w:val="3A6366DE"/>
    <w:rsid w:val="3A81085B"/>
    <w:rsid w:val="3A9628EA"/>
    <w:rsid w:val="3AB81FBF"/>
    <w:rsid w:val="3AC14DF1"/>
    <w:rsid w:val="3AC60CE0"/>
    <w:rsid w:val="3B302890"/>
    <w:rsid w:val="3BB27AA7"/>
    <w:rsid w:val="3BC10BB8"/>
    <w:rsid w:val="3C9708C1"/>
    <w:rsid w:val="3D1E3033"/>
    <w:rsid w:val="3D474095"/>
    <w:rsid w:val="3DDA0A65"/>
    <w:rsid w:val="3DFC2270"/>
    <w:rsid w:val="3E616CC7"/>
    <w:rsid w:val="3F4C7741"/>
    <w:rsid w:val="3F5672FF"/>
    <w:rsid w:val="3F777D79"/>
    <w:rsid w:val="3FA330D9"/>
    <w:rsid w:val="3FE67B95"/>
    <w:rsid w:val="400B75FC"/>
    <w:rsid w:val="403D59EE"/>
    <w:rsid w:val="407904EE"/>
    <w:rsid w:val="407C4056"/>
    <w:rsid w:val="40CF4978"/>
    <w:rsid w:val="416845DA"/>
    <w:rsid w:val="418121C3"/>
    <w:rsid w:val="418D0295"/>
    <w:rsid w:val="41967399"/>
    <w:rsid w:val="41970A1B"/>
    <w:rsid w:val="41B17D2F"/>
    <w:rsid w:val="41EC6FB9"/>
    <w:rsid w:val="41FD2112"/>
    <w:rsid w:val="42181B5C"/>
    <w:rsid w:val="42562684"/>
    <w:rsid w:val="42886A32"/>
    <w:rsid w:val="42FB3958"/>
    <w:rsid w:val="42FC322C"/>
    <w:rsid w:val="43601A0D"/>
    <w:rsid w:val="43EC7D40"/>
    <w:rsid w:val="44156B63"/>
    <w:rsid w:val="4427252A"/>
    <w:rsid w:val="44F71434"/>
    <w:rsid w:val="44F763A1"/>
    <w:rsid w:val="44F766D6"/>
    <w:rsid w:val="452F66F3"/>
    <w:rsid w:val="45C30031"/>
    <w:rsid w:val="461940F5"/>
    <w:rsid w:val="463F0128"/>
    <w:rsid w:val="4689127A"/>
    <w:rsid w:val="478C02B5"/>
    <w:rsid w:val="47AE494B"/>
    <w:rsid w:val="485049B4"/>
    <w:rsid w:val="485338EE"/>
    <w:rsid w:val="486147E8"/>
    <w:rsid w:val="489A776F"/>
    <w:rsid w:val="48A02D6A"/>
    <w:rsid w:val="48AE321A"/>
    <w:rsid w:val="48B15761"/>
    <w:rsid w:val="49025314"/>
    <w:rsid w:val="496C3923"/>
    <w:rsid w:val="49D767A1"/>
    <w:rsid w:val="49F42EAF"/>
    <w:rsid w:val="49F7299F"/>
    <w:rsid w:val="4A7F2170"/>
    <w:rsid w:val="4B0C61BC"/>
    <w:rsid w:val="4BFF5B3B"/>
    <w:rsid w:val="4C29033B"/>
    <w:rsid w:val="4C7E73A7"/>
    <w:rsid w:val="4CF51226"/>
    <w:rsid w:val="4D123792"/>
    <w:rsid w:val="4D4759EB"/>
    <w:rsid w:val="4E1B3100"/>
    <w:rsid w:val="4F1F6DD3"/>
    <w:rsid w:val="4F6E14D1"/>
    <w:rsid w:val="506F7957"/>
    <w:rsid w:val="508B5BEF"/>
    <w:rsid w:val="511D2CEB"/>
    <w:rsid w:val="51B573D8"/>
    <w:rsid w:val="522400A9"/>
    <w:rsid w:val="528B0128"/>
    <w:rsid w:val="534704F3"/>
    <w:rsid w:val="536F625B"/>
    <w:rsid w:val="53AE2320"/>
    <w:rsid w:val="53F341D7"/>
    <w:rsid w:val="54175631"/>
    <w:rsid w:val="541C1980"/>
    <w:rsid w:val="54315761"/>
    <w:rsid w:val="54590627"/>
    <w:rsid w:val="545E318A"/>
    <w:rsid w:val="548D63DA"/>
    <w:rsid w:val="548F2152"/>
    <w:rsid w:val="549A237A"/>
    <w:rsid w:val="54A26546"/>
    <w:rsid w:val="54F10CEB"/>
    <w:rsid w:val="553920BD"/>
    <w:rsid w:val="554525D7"/>
    <w:rsid w:val="55E93AE3"/>
    <w:rsid w:val="56402F49"/>
    <w:rsid w:val="56505750"/>
    <w:rsid w:val="56682F3C"/>
    <w:rsid w:val="566969D2"/>
    <w:rsid w:val="56BC2FA6"/>
    <w:rsid w:val="56F83D0C"/>
    <w:rsid w:val="573945F7"/>
    <w:rsid w:val="573E057D"/>
    <w:rsid w:val="57E86B8D"/>
    <w:rsid w:val="58463123"/>
    <w:rsid w:val="58953AAF"/>
    <w:rsid w:val="590260F8"/>
    <w:rsid w:val="59266968"/>
    <w:rsid w:val="593B28A8"/>
    <w:rsid w:val="5A1338B2"/>
    <w:rsid w:val="5A315A59"/>
    <w:rsid w:val="5B8F7ECD"/>
    <w:rsid w:val="5BA109BC"/>
    <w:rsid w:val="5BC8419B"/>
    <w:rsid w:val="5C116077"/>
    <w:rsid w:val="5C4A2E02"/>
    <w:rsid w:val="5D647EF4"/>
    <w:rsid w:val="5D9600A9"/>
    <w:rsid w:val="5DCA798A"/>
    <w:rsid w:val="5E005E6E"/>
    <w:rsid w:val="5E785D2C"/>
    <w:rsid w:val="5EA56F52"/>
    <w:rsid w:val="5EE13D8B"/>
    <w:rsid w:val="5EEC5713"/>
    <w:rsid w:val="5EF62DCD"/>
    <w:rsid w:val="5FD7038B"/>
    <w:rsid w:val="602A5424"/>
    <w:rsid w:val="602D2CDA"/>
    <w:rsid w:val="604A60AF"/>
    <w:rsid w:val="606F1138"/>
    <w:rsid w:val="60A672B7"/>
    <w:rsid w:val="610A0237"/>
    <w:rsid w:val="610E7D0F"/>
    <w:rsid w:val="610F0176"/>
    <w:rsid w:val="617A7850"/>
    <w:rsid w:val="61CE3B8D"/>
    <w:rsid w:val="61E50E74"/>
    <w:rsid w:val="61E6537B"/>
    <w:rsid w:val="61F66EB2"/>
    <w:rsid w:val="62312A9A"/>
    <w:rsid w:val="6299419B"/>
    <w:rsid w:val="63827325"/>
    <w:rsid w:val="63935B88"/>
    <w:rsid w:val="63E47698"/>
    <w:rsid w:val="641713F7"/>
    <w:rsid w:val="6417181C"/>
    <w:rsid w:val="641C5084"/>
    <w:rsid w:val="647D2B1A"/>
    <w:rsid w:val="64FC5B4A"/>
    <w:rsid w:val="652561BA"/>
    <w:rsid w:val="658904F7"/>
    <w:rsid w:val="65C430C7"/>
    <w:rsid w:val="66252916"/>
    <w:rsid w:val="669C24AC"/>
    <w:rsid w:val="66EF082E"/>
    <w:rsid w:val="670E33AA"/>
    <w:rsid w:val="672229B1"/>
    <w:rsid w:val="672C7CD4"/>
    <w:rsid w:val="675130E9"/>
    <w:rsid w:val="67730FE6"/>
    <w:rsid w:val="67C64419"/>
    <w:rsid w:val="681F5143"/>
    <w:rsid w:val="68BE1F8F"/>
    <w:rsid w:val="68DE6DAC"/>
    <w:rsid w:val="68EF4B15"/>
    <w:rsid w:val="6934051A"/>
    <w:rsid w:val="696D3E24"/>
    <w:rsid w:val="69832373"/>
    <w:rsid w:val="69DC0710"/>
    <w:rsid w:val="69F36887"/>
    <w:rsid w:val="6A6F0988"/>
    <w:rsid w:val="6AAB7162"/>
    <w:rsid w:val="6BCA180B"/>
    <w:rsid w:val="6BEE04A9"/>
    <w:rsid w:val="6C2778B2"/>
    <w:rsid w:val="6C97174C"/>
    <w:rsid w:val="6CAB169B"/>
    <w:rsid w:val="6CC53523"/>
    <w:rsid w:val="6D001EC2"/>
    <w:rsid w:val="6D0843F7"/>
    <w:rsid w:val="6D3A4588"/>
    <w:rsid w:val="6D7A0734"/>
    <w:rsid w:val="6DCA5B51"/>
    <w:rsid w:val="6E021177"/>
    <w:rsid w:val="6E2D10AB"/>
    <w:rsid w:val="6E491C2E"/>
    <w:rsid w:val="6E8554C3"/>
    <w:rsid w:val="6E9543B1"/>
    <w:rsid w:val="6E9D3265"/>
    <w:rsid w:val="6EA120AE"/>
    <w:rsid w:val="6EA2262A"/>
    <w:rsid w:val="6EB505AF"/>
    <w:rsid w:val="6EE3336E"/>
    <w:rsid w:val="6EFC61DE"/>
    <w:rsid w:val="6EFD5AB2"/>
    <w:rsid w:val="6F1928EC"/>
    <w:rsid w:val="6FAA79E8"/>
    <w:rsid w:val="6FCF25B2"/>
    <w:rsid w:val="703674CE"/>
    <w:rsid w:val="70417249"/>
    <w:rsid w:val="70904E30"/>
    <w:rsid w:val="709366CE"/>
    <w:rsid w:val="71040C56"/>
    <w:rsid w:val="714F6A99"/>
    <w:rsid w:val="717C18F3"/>
    <w:rsid w:val="719B7F30"/>
    <w:rsid w:val="720C087B"/>
    <w:rsid w:val="7217743E"/>
    <w:rsid w:val="72467481"/>
    <w:rsid w:val="72B50B7E"/>
    <w:rsid w:val="72FC4077"/>
    <w:rsid w:val="736E59F6"/>
    <w:rsid w:val="7375655F"/>
    <w:rsid w:val="739A17CE"/>
    <w:rsid w:val="73CA68AB"/>
    <w:rsid w:val="73ED413E"/>
    <w:rsid w:val="73FF7026"/>
    <w:rsid w:val="74820F33"/>
    <w:rsid w:val="74835155"/>
    <w:rsid w:val="749319D7"/>
    <w:rsid w:val="75267B11"/>
    <w:rsid w:val="75675DB8"/>
    <w:rsid w:val="75C41B24"/>
    <w:rsid w:val="75D7705D"/>
    <w:rsid w:val="75FE0A8D"/>
    <w:rsid w:val="760836BA"/>
    <w:rsid w:val="76D167D5"/>
    <w:rsid w:val="76D65566"/>
    <w:rsid w:val="773100A7"/>
    <w:rsid w:val="777A4144"/>
    <w:rsid w:val="7782124A"/>
    <w:rsid w:val="77A45665"/>
    <w:rsid w:val="78324A1E"/>
    <w:rsid w:val="783F3686"/>
    <w:rsid w:val="78553271"/>
    <w:rsid w:val="78AB3A9C"/>
    <w:rsid w:val="78B74F24"/>
    <w:rsid w:val="78C37D6C"/>
    <w:rsid w:val="78D75945"/>
    <w:rsid w:val="79153814"/>
    <w:rsid w:val="793F04DA"/>
    <w:rsid w:val="794767E7"/>
    <w:rsid w:val="79554E68"/>
    <w:rsid w:val="79D51B05"/>
    <w:rsid w:val="7A0F54D7"/>
    <w:rsid w:val="7A5C3FD5"/>
    <w:rsid w:val="7AAF67FA"/>
    <w:rsid w:val="7B1E2019"/>
    <w:rsid w:val="7B626146"/>
    <w:rsid w:val="7BA8063D"/>
    <w:rsid w:val="7BCC18D7"/>
    <w:rsid w:val="7BD007D6"/>
    <w:rsid w:val="7BF2699E"/>
    <w:rsid w:val="7C2D5C29"/>
    <w:rsid w:val="7C2F7189"/>
    <w:rsid w:val="7C5331B5"/>
    <w:rsid w:val="7C8D4919"/>
    <w:rsid w:val="7D036989"/>
    <w:rsid w:val="7D173529"/>
    <w:rsid w:val="7D742D00"/>
    <w:rsid w:val="7E02580A"/>
    <w:rsid w:val="7E24305B"/>
    <w:rsid w:val="7E4F6BCE"/>
    <w:rsid w:val="7E8D7A0C"/>
    <w:rsid w:val="7ECD2D48"/>
    <w:rsid w:val="7F5654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 w:cs="仿宋"/>
      <w:sz w:val="30"/>
      <w:szCs w:val="30"/>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3"/>
    <w:qFormat/>
    <w:uiPriority w:val="0"/>
    <w:pPr>
      <w:jc w:val="left"/>
    </w:pPr>
  </w:style>
  <w:style w:type="paragraph" w:styleId="3">
    <w:name w:val="footer"/>
    <w:basedOn w:val="1"/>
    <w:unhideWhenUsed/>
    <w:qFormat/>
    <w:uiPriority w:val="99"/>
    <w:pPr>
      <w:tabs>
        <w:tab w:val="center" w:pos="4153"/>
        <w:tab w:val="right" w:pos="8306"/>
      </w:tabs>
      <w:snapToGrid w:val="0"/>
      <w:jc w:val="left"/>
    </w:pPr>
    <w:rPr>
      <w:rFonts w:asciiTheme="minorHAnsi" w:hAnsiTheme="minorHAnsi" w:eastAsiaTheme="minorEastAsia"/>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rPr>
      <w:sz w:val="24"/>
    </w:rPr>
  </w:style>
  <w:style w:type="paragraph" w:styleId="6">
    <w:name w:val="annotation subject"/>
    <w:basedOn w:val="2"/>
    <w:next w:val="2"/>
    <w:link w:val="14"/>
    <w:qFormat/>
    <w:uiPriority w:val="0"/>
    <w:rPr>
      <w:b/>
      <w:bCs/>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qFormat/>
    <w:uiPriority w:val="0"/>
    <w:rPr>
      <w:color w:val="0000FF"/>
      <w:u w:val="single"/>
    </w:rPr>
  </w:style>
  <w:style w:type="character" w:styleId="11">
    <w:name w:val="annotation reference"/>
    <w:basedOn w:val="9"/>
    <w:qFormat/>
    <w:uiPriority w:val="0"/>
    <w:rPr>
      <w:sz w:val="21"/>
      <w:szCs w:val="21"/>
    </w:rPr>
  </w:style>
  <w:style w:type="paragraph" w:styleId="12">
    <w:name w:val="List Paragraph"/>
    <w:basedOn w:val="1"/>
    <w:qFormat/>
    <w:uiPriority w:val="34"/>
    <w:pPr>
      <w:ind w:firstLine="420" w:firstLineChars="200"/>
    </w:pPr>
  </w:style>
  <w:style w:type="character" w:customStyle="1" w:styleId="13">
    <w:name w:val="批注文字 字符"/>
    <w:basedOn w:val="9"/>
    <w:link w:val="2"/>
    <w:qFormat/>
    <w:uiPriority w:val="0"/>
    <w:rPr>
      <w:rFonts w:ascii="Calibri" w:hAnsi="Calibri" w:eastAsia="仿宋" w:cs="仿宋"/>
      <w:sz w:val="30"/>
      <w:szCs w:val="30"/>
    </w:rPr>
  </w:style>
  <w:style w:type="character" w:customStyle="1" w:styleId="14">
    <w:name w:val="批注主题 字符"/>
    <w:basedOn w:val="13"/>
    <w:link w:val="6"/>
    <w:qFormat/>
    <w:uiPriority w:val="0"/>
    <w:rPr>
      <w:rFonts w:ascii="Calibri" w:hAnsi="Calibri" w:eastAsia="仿宋" w:cs="仿宋"/>
      <w:b/>
      <w:bCs/>
      <w:sz w:val="30"/>
      <w:szCs w:val="30"/>
    </w:rPr>
  </w:style>
  <w:style w:type="paragraph" w:customStyle="1" w:styleId="15">
    <w:name w:val="Revision"/>
    <w:hidden/>
    <w:unhideWhenUsed/>
    <w:qFormat/>
    <w:uiPriority w:val="99"/>
    <w:rPr>
      <w:rFonts w:ascii="Calibri" w:hAnsi="Calibri" w:eastAsia="仿宋" w:cs="仿宋"/>
      <w:sz w:val="30"/>
      <w:szCs w:val="30"/>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6460</Words>
  <Characters>6667</Characters>
  <Lines>65</Lines>
  <Paragraphs>18</Paragraphs>
  <TotalTime>28</TotalTime>
  <ScaleCrop>false</ScaleCrop>
  <LinksUpToDate>false</LinksUpToDate>
  <CharactersWithSpaces>6971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2024-04-10T00:00:00Z</dcterms:created>
  <dc:creator>34334</dc:creator>
  <cp:lastModifiedBy>念安夕1418602464</cp:lastModifiedBy>
  <cp:lastPrinted>2024-11-05T00:05:00Z</cp:lastPrinted>
  <dcterms:modified xsi:type="dcterms:W3CDTF">2025-10-24T09:11:58Z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610B42FCF185440B8E287C2D261737BC_13</vt:lpwstr>
  </property>
  <property fmtid="{D5CDD505-2E9C-101B-9397-08002B2CF9AE}" pid="4" name="KSOTemplateDocerSaveRecord">
    <vt:lpwstr>eyJoZGlkIjoiYTk2YWRkMjY0MzVlMGNkNjEzNmMwNzE3YjE2ZGU4MjMiLCJ1c2VySWQiOiIyNjg0MjU5MSJ9</vt:lpwstr>
  </property>
</Properties>
</file>