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25A2F">
      <w:pPr>
        <w:spacing w:line="50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附件4：</w:t>
      </w:r>
    </w:p>
    <w:p w14:paraId="0B1AABE6">
      <w:pPr>
        <w:pStyle w:val="6"/>
        <w:spacing w:line="500" w:lineRule="exact"/>
        <w:rPr>
          <w:rFonts w:ascii="仿宋" w:hAnsi="仿宋" w:eastAsia="仿宋" w:cs="仿宋"/>
          <w:b w:val="0"/>
          <w:bCs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eastAsia="zh-CN"/>
        </w:rPr>
        <w:t>恒大地产集团佛冈有限公司</w:t>
      </w:r>
      <w:r>
        <w:rPr>
          <w:rFonts w:hint="eastAsia" w:ascii="仿宋" w:hAnsi="仿宋" w:eastAsia="仿宋" w:cs="仿宋"/>
          <w:b w:val="0"/>
          <w:bCs/>
          <w:lang w:eastAsia="zh-CN"/>
        </w:rPr>
        <w:t>破产清算案</w:t>
      </w:r>
      <w:r>
        <w:rPr>
          <w:rFonts w:hint="eastAsia" w:ascii="仿宋" w:hAnsi="仿宋" w:eastAsia="仿宋" w:cs="仿宋"/>
          <w:b w:val="0"/>
          <w:bCs/>
        </w:rPr>
        <w:br w:type="textWrapping"/>
      </w:r>
      <w:r>
        <w:rPr>
          <w:rFonts w:hint="eastAsia" w:ascii="仿宋" w:hAnsi="仿宋" w:eastAsia="仿宋" w:cs="仿宋"/>
          <w:b w:val="0"/>
          <w:bCs/>
        </w:rPr>
        <w:t>债权申报书</w:t>
      </w:r>
    </w:p>
    <w:p w14:paraId="19413C8C">
      <w:pPr>
        <w:pStyle w:val="3"/>
        <w:spacing w:before="236" w:line="500" w:lineRule="exact"/>
        <w:ind w:firstLine="562" w:firstLineChars="200"/>
        <w:rPr>
          <w:rFonts w:ascii="仿宋" w:hAnsi="仿宋" w:eastAsia="仿宋" w:cs="仿宋"/>
          <w:b/>
          <w:u w:val="single"/>
        </w:rPr>
      </w:pPr>
      <w:r>
        <w:rPr>
          <w:rFonts w:hint="eastAsia" w:ascii="仿宋" w:hAnsi="仿宋" w:eastAsia="仿宋" w:cs="仿宋"/>
          <w:b/>
          <w:bCs/>
        </w:rPr>
        <w:t>债权人名称（姓名）：</w:t>
      </w:r>
      <w:r>
        <w:rPr>
          <w:rFonts w:hint="eastAsia" w:ascii="仿宋" w:hAnsi="仿宋" w:eastAsia="仿宋" w:cs="仿宋"/>
          <w:u w:val="single"/>
        </w:rPr>
        <w:t xml:space="preserve">                                 </w:t>
      </w:r>
    </w:p>
    <w:p w14:paraId="76BC7DDB">
      <w:pPr>
        <w:pStyle w:val="3"/>
        <w:tabs>
          <w:tab w:val="left" w:pos="3935"/>
        </w:tabs>
        <w:spacing w:line="500" w:lineRule="exact"/>
        <w:ind w:right="117" w:firstLine="562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</w:rPr>
        <w:t>申报债权总额：</w:t>
      </w:r>
      <w:r>
        <w:rPr>
          <w:rFonts w:hint="eastAsia" w:ascii="仿宋" w:hAnsi="仿宋" w:eastAsia="仿宋" w:cs="仿宋"/>
        </w:rPr>
        <w:t>人民币</w:t>
      </w:r>
      <w:r>
        <w:rPr>
          <w:rFonts w:hint="eastAsia" w:ascii="仿宋" w:hAnsi="仿宋" w:eastAsia="仿宋" w:cs="仿宋"/>
          <w:u w:val="single"/>
        </w:rPr>
        <w:t xml:space="preserve">           </w:t>
      </w:r>
      <w:r>
        <w:rPr>
          <w:rFonts w:hint="eastAsia" w:ascii="仿宋" w:hAnsi="仿宋" w:eastAsia="仿宋" w:cs="仿宋"/>
        </w:rPr>
        <w:t>元，明细如下：</w:t>
      </w:r>
    </w:p>
    <w:tbl>
      <w:tblPr>
        <w:tblStyle w:val="8"/>
        <w:tblW w:w="9695" w:type="dxa"/>
        <w:tblInd w:w="-8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6"/>
        <w:gridCol w:w="1869"/>
        <w:gridCol w:w="2040"/>
        <w:gridCol w:w="2160"/>
        <w:gridCol w:w="1760"/>
      </w:tblGrid>
      <w:tr w14:paraId="1DBEF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atLeast"/>
        </w:trPr>
        <w:tc>
          <w:tcPr>
            <w:tcW w:w="1866" w:type="dxa"/>
          </w:tcPr>
          <w:p w14:paraId="383520D6">
            <w:pPr>
              <w:pStyle w:val="7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本金</w:t>
            </w:r>
          </w:p>
        </w:tc>
        <w:tc>
          <w:tcPr>
            <w:tcW w:w="1869" w:type="dxa"/>
          </w:tcPr>
          <w:p w14:paraId="69398955">
            <w:pPr>
              <w:pStyle w:val="7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一般债务利息</w:t>
            </w:r>
          </w:p>
        </w:tc>
        <w:tc>
          <w:tcPr>
            <w:tcW w:w="2040" w:type="dxa"/>
          </w:tcPr>
          <w:p w14:paraId="5F5668AE">
            <w:pPr>
              <w:pStyle w:val="7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其他费用</w:t>
            </w:r>
          </w:p>
        </w:tc>
        <w:tc>
          <w:tcPr>
            <w:tcW w:w="2160" w:type="dxa"/>
          </w:tcPr>
          <w:p w14:paraId="10FABD25">
            <w:pPr>
              <w:pStyle w:val="7"/>
              <w:spacing w:line="500" w:lineRule="exact"/>
              <w:jc w:val="center"/>
              <w:rPr>
                <w:rFonts w:ascii="仿宋" w:hAnsi="仿宋" w:eastAsia="仿宋" w:cs="仿宋"/>
                <w:bCs/>
                <w:spacing w:val="-7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迟延履行期间的加倍债务利息</w:t>
            </w:r>
          </w:p>
        </w:tc>
        <w:tc>
          <w:tcPr>
            <w:tcW w:w="1760" w:type="dxa"/>
          </w:tcPr>
          <w:p w14:paraId="7E36F76D">
            <w:pPr>
              <w:pStyle w:val="7"/>
              <w:spacing w:line="50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pacing w:val="-7"/>
                <w:sz w:val="24"/>
              </w:rPr>
              <w:t>债权性质</w:t>
            </w:r>
          </w:p>
        </w:tc>
      </w:tr>
      <w:tr w14:paraId="3895CE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866" w:type="dxa"/>
          </w:tcPr>
          <w:p w14:paraId="426DC2D4">
            <w:pPr>
              <w:pStyle w:val="7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9" w:type="dxa"/>
          </w:tcPr>
          <w:p w14:paraId="07D81509">
            <w:pPr>
              <w:pStyle w:val="7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40" w:type="dxa"/>
          </w:tcPr>
          <w:p w14:paraId="07ABC1D4">
            <w:pPr>
              <w:pStyle w:val="7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60" w:type="dxa"/>
          </w:tcPr>
          <w:p w14:paraId="6337A766">
            <w:pPr>
              <w:pStyle w:val="7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60" w:type="dxa"/>
          </w:tcPr>
          <w:p w14:paraId="691DD589">
            <w:pPr>
              <w:pStyle w:val="7"/>
              <w:spacing w:line="50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66267785">
      <w:pPr>
        <w:pStyle w:val="2"/>
        <w:spacing w:before="1" w:line="500" w:lineRule="exact"/>
        <w:ind w:left="0" w:leftChars="0" w:firstLine="56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利息/其他费用等计算方式及标准（可另附计算表）：</w:t>
      </w:r>
    </w:p>
    <w:p w14:paraId="6CC41DC1">
      <w:pPr>
        <w:pStyle w:val="9"/>
        <w:numPr>
          <w:ilvl w:val="0"/>
          <w:numId w:val="0"/>
        </w:numPr>
        <w:tabs>
          <w:tab w:val="left" w:pos="882"/>
        </w:tabs>
        <w:spacing w:line="500" w:lineRule="exact"/>
        <w:ind w:firstLine="55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一般债务利息计算方式:</w:t>
      </w:r>
      <w:r>
        <w:rPr>
          <w:rFonts w:hint="eastAsia" w:ascii="仿宋" w:hAnsi="仿宋" w:eastAsia="仿宋" w:cs="仿宋"/>
          <w:spacing w:val="-2"/>
          <w:sz w:val="28"/>
          <w:szCs w:val="28"/>
          <w:u w:val="single"/>
        </w:rPr>
        <w:t xml:space="preserve">                                  </w:t>
      </w:r>
    </w:p>
    <w:p w14:paraId="3AB6594B">
      <w:pPr>
        <w:pStyle w:val="9"/>
        <w:numPr>
          <w:ilvl w:val="0"/>
          <w:numId w:val="0"/>
        </w:numPr>
        <w:tabs>
          <w:tab w:val="left" w:pos="882"/>
        </w:tabs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sz w:val="28"/>
          <w:szCs w:val="28"/>
        </w:rPr>
        <w:t>其他费用计算方式: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</w:t>
      </w:r>
    </w:p>
    <w:p w14:paraId="008C668B">
      <w:pPr>
        <w:pStyle w:val="9"/>
        <w:numPr>
          <w:ilvl w:val="0"/>
          <w:numId w:val="0"/>
        </w:numPr>
        <w:tabs>
          <w:tab w:val="left" w:pos="882"/>
        </w:tabs>
        <w:spacing w:line="500" w:lineRule="exact"/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sz w:val="28"/>
          <w:szCs w:val="28"/>
        </w:rPr>
        <w:t>迟延履行期间的加倍债务利息计算方式：</w:t>
      </w:r>
      <w:r>
        <w:rPr>
          <w:rFonts w:hint="eastAsia" w:ascii="仿宋" w:hAnsi="仿宋" w:eastAsia="仿宋" w:cs="仿宋"/>
          <w:b/>
          <w:bCs/>
          <w:color w:val="000000"/>
          <w:sz w:val="24"/>
          <w:u w:val="single"/>
        </w:rPr>
        <w:t xml:space="preserve">                           </w:t>
      </w:r>
    </w:p>
    <w:p w14:paraId="2546A33C">
      <w:pPr>
        <w:pStyle w:val="9"/>
        <w:tabs>
          <w:tab w:val="left" w:pos="882"/>
        </w:tabs>
        <w:spacing w:line="500" w:lineRule="exact"/>
        <w:ind w:left="0" w:leftChars="0"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事实和理由：</w:t>
      </w:r>
    </w:p>
    <w:p w14:paraId="21F10C3E">
      <w:pPr>
        <w:pStyle w:val="3"/>
        <w:spacing w:line="500" w:lineRule="exact"/>
        <w:ind w:firstLine="528" w:firstLineChars="200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【请写明债权形成原因、经过、有无担保、是否到期、诉讼追收等相关事项】                                                           </w:t>
      </w:r>
    </w:p>
    <w:p w14:paraId="376F6487">
      <w:pPr>
        <w:pStyle w:val="3"/>
        <w:spacing w:line="500" w:lineRule="exact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                                                                   </w:t>
      </w:r>
    </w:p>
    <w:p w14:paraId="47706180">
      <w:pPr>
        <w:pStyle w:val="3"/>
        <w:spacing w:line="500" w:lineRule="exact"/>
        <w:rPr>
          <w:rFonts w:ascii="仿宋" w:hAnsi="仿宋" w:eastAsia="仿宋" w:cs="仿宋"/>
          <w:spacing w:val="-8"/>
          <w:u w:val="single"/>
        </w:rPr>
      </w:pPr>
      <w:r>
        <w:rPr>
          <w:rFonts w:hint="eastAsia" w:ascii="仿宋" w:hAnsi="仿宋" w:eastAsia="仿宋" w:cs="仿宋"/>
          <w:spacing w:val="-8"/>
          <w:u w:val="single"/>
        </w:rPr>
        <w:t xml:space="preserve">                                                                   </w:t>
      </w:r>
    </w:p>
    <w:p w14:paraId="3D59548D">
      <w:pPr>
        <w:pStyle w:val="3"/>
        <w:spacing w:line="500" w:lineRule="exact"/>
        <w:ind w:left="668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特此申报</w:t>
      </w:r>
    </w:p>
    <w:p w14:paraId="455A1E5B">
      <w:pPr>
        <w:pStyle w:val="3"/>
        <w:spacing w:before="201" w:line="500" w:lineRule="exact"/>
        <w:ind w:left="119" w:right="113" w:firstLine="539"/>
        <w:rPr>
          <w:rFonts w:hint="eastAsia" w:ascii="仿宋" w:hAnsi="仿宋" w:eastAsia="仿宋" w:cs="仿宋"/>
        </w:rPr>
      </w:pPr>
    </w:p>
    <w:p w14:paraId="49DC30FD">
      <w:pPr>
        <w:pStyle w:val="9"/>
        <w:tabs>
          <w:tab w:val="left" w:pos="882"/>
        </w:tabs>
        <w:spacing w:line="500" w:lineRule="exact"/>
        <w:ind w:left="670" w:firstLine="3640" w:firstLineChars="13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债权人（签章）：</w:t>
      </w:r>
    </w:p>
    <w:p w14:paraId="1F502777">
      <w:pPr>
        <w:pStyle w:val="3"/>
        <w:tabs>
          <w:tab w:val="left" w:pos="1879"/>
          <w:tab w:val="left" w:pos="2639"/>
        </w:tabs>
        <w:spacing w:line="500" w:lineRule="exact"/>
        <w:ind w:right="106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</w:rPr>
        <w:t xml:space="preserve">       年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</w:rPr>
        <w:tab/>
      </w:r>
      <w:r>
        <w:rPr>
          <w:rFonts w:hint="eastAsia" w:ascii="仿宋" w:hAnsi="仿宋" w:eastAsia="仿宋" w:cs="仿宋"/>
        </w:rPr>
        <w:t>日</w:t>
      </w:r>
    </w:p>
    <w:p w14:paraId="6106B3A1">
      <w:pPr>
        <w:spacing w:line="500" w:lineRule="exact"/>
        <w:ind w:firstLine="480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24"/>
        </w:rPr>
        <w:t>填写说明：债权人是个人的，由个人签名；债权人是机构的，加盖公章，</w:t>
      </w:r>
      <w:r>
        <w:rPr>
          <w:rFonts w:hint="eastAsia" w:ascii="仿宋" w:hAnsi="仿宋" w:eastAsia="仿宋" w:cs="仿宋"/>
          <w:b/>
          <w:bCs/>
          <w:sz w:val="24"/>
        </w:rPr>
        <w:t>并由法定代表人或负责人签名。</w:t>
      </w:r>
    </w:p>
    <w:p w14:paraId="7E06ADD0">
      <w:pPr>
        <w:spacing w:line="50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D01709"/>
    <w:rsid w:val="7783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qFormat/>
    <w:uiPriority w:val="9"/>
    <w:pPr>
      <w:ind w:left="671"/>
      <w:outlineLvl w:val="0"/>
    </w:pPr>
    <w:rPr>
      <w:rFonts w:ascii="Microsoft JhengHei" w:hAnsi="Microsoft JhengHei" w:eastAsia="Microsoft JhengHei" w:cs="Microsoft JhengHei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customStyle="1" w:styleId="6">
    <w:name w:val="3"/>
    <w:basedOn w:val="1"/>
    <w:qFormat/>
    <w:uiPriority w:val="0"/>
    <w:pPr>
      <w:spacing w:before="312" w:beforeLines="100" w:after="312" w:afterLines="100" w:line="360" w:lineRule="auto"/>
      <w:jc w:val="center"/>
    </w:pPr>
    <w:rPr>
      <w:rFonts w:ascii="华文中宋" w:hAnsi="华文中宋" w:eastAsia="华文中宋"/>
      <w:b/>
      <w:sz w:val="32"/>
      <w:szCs w:val="32"/>
    </w:rPr>
  </w:style>
  <w:style w:type="paragraph" w:customStyle="1" w:styleId="7">
    <w:name w:val="Table Paragraph"/>
    <w:basedOn w:val="1"/>
    <w:qFormat/>
    <w:uiPriority w:val="1"/>
    <w:rPr>
      <w:rFonts w:ascii="Microsoft JhengHei" w:hAnsi="Microsoft JhengHei" w:eastAsia="Microsoft JhengHei" w:cs="Microsoft JhengHei"/>
    </w:rPr>
  </w:style>
  <w:style w:type="table" w:customStyle="1" w:styleId="8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255</Characters>
  <Lines>0</Lines>
  <Paragraphs>0</Paragraphs>
  <TotalTime>0</TotalTime>
  <ScaleCrop>false</ScaleCrop>
  <LinksUpToDate>false</LinksUpToDate>
  <CharactersWithSpaces>598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2025-10-16T07:21:00Z</dcterms:created>
  <dc:creator>Kunlun</dc:creator>
  <cp:lastModifiedBy>昆仑6</cp:lastModifiedBy>
  <dcterms:modified xsi:type="dcterms:W3CDTF">2025-10-16T08:09:55Z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eyJoZGlkIjoiN2MwZTkxODgzMzUwMDgyZjk1MDY0ZDQwZjg1NmU4MzEiLCJ1c2VySWQiOiI0MzI3NDk2NDEifQ==</vt:lpwstr>
  </property>
  <property fmtid="{D5CDD505-2E9C-101B-9397-08002B2CF9AE}" pid="4" name="ICV">
    <vt:lpwstr>B567BE0EFC0042E29EEDF26A8DB99E35_12</vt:lpwstr>
  </property>
</Properties>
</file>