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DBCED">
      <w:pPr>
        <w:spacing w:line="360" w:lineRule="auto"/>
        <w:jc w:val="both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3：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  <w:r>
        <w:rPr>
          <w:rFonts w:hint="eastAsia" w:ascii="仿宋" w:hAnsi="仿宋" w:eastAsia="仿宋"/>
          <w:color w:val="000000"/>
          <w:sz w:val="24"/>
        </w:rPr>
        <w:t xml:space="preserve"> </w:t>
      </w:r>
    </w:p>
    <w:p w14:paraId="66463108">
      <w:pPr>
        <w:spacing w:line="500" w:lineRule="exact"/>
        <w:jc w:val="center"/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000000"/>
          <w:kern w:val="2"/>
          <w:sz w:val="32"/>
          <w:szCs w:val="32"/>
          <w:lang w:eastAsia="zh-CN"/>
        </w:rPr>
        <w:t>恒大地产集团佛冈有限公司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破产清算案</w:t>
      </w:r>
    </w:p>
    <w:p w14:paraId="2DD3ED74">
      <w:pPr>
        <w:spacing w:line="500" w:lineRule="exact"/>
        <w:jc w:val="center"/>
        <w:rPr>
          <w:rFonts w:ascii="仿宋" w:hAnsi="仿宋" w:eastAsia="仿宋" w:cs="仿宋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债权登记申报表</w:t>
      </w:r>
    </w:p>
    <w:p w14:paraId="3649440C">
      <w:pPr>
        <w:tabs>
          <w:tab w:val="left" w:pos="8190"/>
        </w:tabs>
        <w:spacing w:line="500" w:lineRule="exact"/>
        <w:ind w:right="-218" w:rightChars="-104"/>
        <w:jc w:val="left"/>
        <w:rPr>
          <w:rFonts w:ascii="仿宋" w:hAnsi="仿宋" w:eastAsia="仿宋" w:cs="仿宋"/>
          <w:bCs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 xml:space="preserve">                                           编号：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bCs/>
          <w:color w:val="000000"/>
          <w:sz w:val="24"/>
          <w:u w:val="none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/>
          <w:sz w:val="24"/>
          <w:u w:val="none"/>
          <w:lang w:val="en-US" w:eastAsia="zh-CN"/>
        </w:rPr>
        <w:t>管理人填写</w:t>
      </w:r>
      <w:r>
        <w:rPr>
          <w:rFonts w:hint="eastAsia" w:ascii="仿宋" w:hAnsi="仿宋" w:eastAsia="仿宋" w:cs="仿宋"/>
          <w:bCs/>
          <w:color w:val="000000"/>
          <w:sz w:val="24"/>
          <w:u w:val="none"/>
          <w:lang w:eastAsia="zh-CN"/>
        </w:rPr>
        <w:t>）</w:t>
      </w:r>
      <w:r>
        <w:rPr>
          <w:rFonts w:hint="eastAsia" w:ascii="仿宋" w:hAnsi="仿宋" w:eastAsia="仿宋" w:cs="仿宋"/>
          <w:bCs/>
          <w:color w:val="000000"/>
          <w:sz w:val="24"/>
          <w:u w:val="none"/>
        </w:rPr>
        <w:t xml:space="preserve"> 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 xml:space="preserve">    </w:t>
      </w:r>
    </w:p>
    <w:tbl>
      <w:tblPr>
        <w:tblStyle w:val="2"/>
        <w:tblW w:w="9625" w:type="dxa"/>
        <w:tblInd w:w="-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900"/>
        <w:gridCol w:w="436"/>
        <w:gridCol w:w="2564"/>
        <w:gridCol w:w="1137"/>
        <w:gridCol w:w="2188"/>
      </w:tblGrid>
      <w:tr w14:paraId="1582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33C45016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债权人名称（姓名）</w:t>
            </w:r>
          </w:p>
        </w:tc>
        <w:tc>
          <w:tcPr>
            <w:tcW w:w="7225" w:type="dxa"/>
            <w:gridSpan w:val="5"/>
            <w:vAlign w:val="center"/>
          </w:tcPr>
          <w:p w14:paraId="0D4119A9">
            <w:pPr>
              <w:spacing w:line="500" w:lineRule="exact"/>
              <w:jc w:val="righ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58605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3E458B3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债权人证件类型</w:t>
            </w:r>
          </w:p>
        </w:tc>
        <w:tc>
          <w:tcPr>
            <w:tcW w:w="3900" w:type="dxa"/>
            <w:gridSpan w:val="3"/>
            <w:vAlign w:val="center"/>
          </w:tcPr>
          <w:p w14:paraId="0CFAE486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□居民身份证   □营业执照   □其他</w:t>
            </w:r>
          </w:p>
        </w:tc>
        <w:tc>
          <w:tcPr>
            <w:tcW w:w="1137" w:type="dxa"/>
            <w:vAlign w:val="center"/>
          </w:tcPr>
          <w:p w14:paraId="101DA1DA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债权人</w:t>
            </w:r>
          </w:p>
          <w:p w14:paraId="5BD6F25F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证件号码</w:t>
            </w:r>
          </w:p>
        </w:tc>
        <w:tc>
          <w:tcPr>
            <w:tcW w:w="2188" w:type="dxa"/>
            <w:vAlign w:val="center"/>
          </w:tcPr>
          <w:p w14:paraId="601D1FF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5888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0314D36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主债务人名称（姓名）</w:t>
            </w:r>
          </w:p>
        </w:tc>
        <w:tc>
          <w:tcPr>
            <w:tcW w:w="7225" w:type="dxa"/>
            <w:gridSpan w:val="5"/>
            <w:vAlign w:val="center"/>
          </w:tcPr>
          <w:p w14:paraId="50FEC2ED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40B5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Merge w:val="restart"/>
            <w:vAlign w:val="center"/>
          </w:tcPr>
          <w:p w14:paraId="1435C1D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有无连带债权人</w:t>
            </w:r>
          </w:p>
        </w:tc>
        <w:tc>
          <w:tcPr>
            <w:tcW w:w="7225" w:type="dxa"/>
            <w:gridSpan w:val="5"/>
            <w:vAlign w:val="center"/>
          </w:tcPr>
          <w:p w14:paraId="6D5A6A83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B91D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Merge w:val="continue"/>
            <w:vAlign w:val="center"/>
          </w:tcPr>
          <w:p w14:paraId="7B84EA08"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vAlign w:val="center"/>
          </w:tcPr>
          <w:p w14:paraId="35132766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</w:tc>
        <w:tc>
          <w:tcPr>
            <w:tcW w:w="3000" w:type="dxa"/>
            <w:gridSpan w:val="2"/>
            <w:vAlign w:val="center"/>
          </w:tcPr>
          <w:p w14:paraId="3ADB3C83">
            <w:pPr>
              <w:spacing w:line="5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连带债权人名称（姓名）</w:t>
            </w:r>
          </w:p>
        </w:tc>
        <w:tc>
          <w:tcPr>
            <w:tcW w:w="3325" w:type="dxa"/>
            <w:gridSpan w:val="2"/>
            <w:vAlign w:val="center"/>
          </w:tcPr>
          <w:p w14:paraId="07AD39DF">
            <w:pPr>
              <w:spacing w:line="50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61909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400" w:type="dxa"/>
            <w:vAlign w:val="center"/>
          </w:tcPr>
          <w:p w14:paraId="43E6FA0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连带债权人申报方式</w:t>
            </w:r>
          </w:p>
        </w:tc>
        <w:tc>
          <w:tcPr>
            <w:tcW w:w="7225" w:type="dxa"/>
            <w:gridSpan w:val="5"/>
            <w:vAlign w:val="center"/>
          </w:tcPr>
          <w:p w14:paraId="0F12DC0D">
            <w:pPr>
              <w:spacing w:line="500" w:lineRule="exact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  <w:t>□共同申报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一人代表全体申报（代表人需有全体债权人授权）   </w:t>
            </w:r>
          </w:p>
        </w:tc>
      </w:tr>
      <w:tr w14:paraId="17F8D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400" w:type="dxa"/>
            <w:vMerge w:val="restart"/>
            <w:vAlign w:val="center"/>
          </w:tcPr>
          <w:p w14:paraId="03B28FC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债权计算清单</w:t>
            </w:r>
          </w:p>
          <w:p w14:paraId="74428607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（单位：人民币/元）</w:t>
            </w:r>
          </w:p>
        </w:tc>
        <w:tc>
          <w:tcPr>
            <w:tcW w:w="3900" w:type="dxa"/>
            <w:gridSpan w:val="3"/>
            <w:tcBorders>
              <w:right w:val="single" w:color="auto" w:sz="4" w:space="0"/>
            </w:tcBorders>
            <w:vAlign w:val="center"/>
          </w:tcPr>
          <w:p w14:paraId="371CB859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本金余额</w:t>
            </w:r>
          </w:p>
        </w:tc>
        <w:tc>
          <w:tcPr>
            <w:tcW w:w="3325" w:type="dxa"/>
            <w:gridSpan w:val="2"/>
            <w:tcBorders>
              <w:left w:val="single" w:color="auto" w:sz="4" w:space="0"/>
            </w:tcBorders>
            <w:vAlign w:val="center"/>
          </w:tcPr>
          <w:p w14:paraId="63D9074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0465B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400" w:type="dxa"/>
            <w:vMerge w:val="continue"/>
            <w:vAlign w:val="center"/>
          </w:tcPr>
          <w:p w14:paraId="3FCB7CBC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7C7D0206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一般债务利息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（如利息、复利、罚息、违约金等，计算至2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025年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须提供详细计息表或说明计息方式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3325" w:type="dxa"/>
            <w:gridSpan w:val="2"/>
            <w:tcBorders>
              <w:left w:val="single" w:color="auto" w:sz="4" w:space="0"/>
            </w:tcBorders>
            <w:vAlign w:val="center"/>
          </w:tcPr>
          <w:p w14:paraId="62C39631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6B28B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vMerge w:val="continue"/>
            <w:vAlign w:val="center"/>
          </w:tcPr>
          <w:p w14:paraId="4C8E728F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0FCDBBD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其他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（如赔偿损失、仲裁费、诉讼费、评估费等，计算至2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025年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，须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提供详细计算表或说明计算方式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）</w:t>
            </w:r>
          </w:p>
        </w:tc>
        <w:tc>
          <w:tcPr>
            <w:tcW w:w="3325" w:type="dxa"/>
            <w:gridSpan w:val="2"/>
            <w:tcBorders>
              <w:left w:val="single" w:color="auto" w:sz="4" w:space="0"/>
            </w:tcBorders>
            <w:vAlign w:val="center"/>
          </w:tcPr>
          <w:p w14:paraId="62AB92B9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76B8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0" w:type="dxa"/>
            <w:vMerge w:val="continue"/>
            <w:vAlign w:val="center"/>
          </w:tcPr>
          <w:p w14:paraId="13877FB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503B7635"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迟延履行期间的加倍债务利息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（计算至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025年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val="en-US" w:eastAsia="zh-CN"/>
              </w:rPr>
              <w:t>当日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须提供详细计算表或说明计算方式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）</w:t>
            </w:r>
          </w:p>
        </w:tc>
        <w:tc>
          <w:tcPr>
            <w:tcW w:w="3325" w:type="dxa"/>
            <w:gridSpan w:val="2"/>
            <w:tcBorders>
              <w:left w:val="single" w:color="auto" w:sz="4" w:space="0"/>
            </w:tcBorders>
            <w:vAlign w:val="center"/>
          </w:tcPr>
          <w:p w14:paraId="1432AA38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08BE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400" w:type="dxa"/>
            <w:vMerge w:val="continue"/>
            <w:vAlign w:val="center"/>
          </w:tcPr>
          <w:p w14:paraId="2F7A3D14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3900" w:type="dxa"/>
            <w:gridSpan w:val="3"/>
            <w:vAlign w:val="center"/>
          </w:tcPr>
          <w:p w14:paraId="7F85FC1B">
            <w:pPr>
              <w:spacing w:line="5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3325" w:type="dxa"/>
            <w:gridSpan w:val="2"/>
            <w:tcBorders>
              <w:left w:val="single" w:color="auto" w:sz="4" w:space="0"/>
            </w:tcBorders>
            <w:vAlign w:val="center"/>
          </w:tcPr>
          <w:p w14:paraId="5225A1D3">
            <w:pPr>
              <w:spacing w:line="50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szCs w:val="21"/>
              </w:rPr>
            </w:pPr>
          </w:p>
        </w:tc>
      </w:tr>
      <w:tr w14:paraId="15419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400" w:type="dxa"/>
            <w:vAlign w:val="center"/>
          </w:tcPr>
          <w:p w14:paraId="7DDE0DA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申报债权性质</w:t>
            </w:r>
          </w:p>
        </w:tc>
        <w:tc>
          <w:tcPr>
            <w:tcW w:w="7225" w:type="dxa"/>
            <w:gridSpan w:val="5"/>
            <w:vAlign w:val="center"/>
          </w:tcPr>
          <w:p w14:paraId="4ABE6A01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建设工程价款优先受偿权  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有财产担保债权  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税款债权</w:t>
            </w:r>
          </w:p>
          <w:p w14:paraId="05F573F8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社会保险费用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   5.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普通债权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.其他：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   </w:t>
            </w:r>
          </w:p>
          <w:p w14:paraId="346EAF23">
            <w:pPr>
              <w:tabs>
                <w:tab w:val="left" w:pos="911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提示：“有财产担保债权”是指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恒大地产集团佛冈有限公司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以自身不动产、动产、权利等提供担保的债权。</w:t>
            </w:r>
          </w:p>
        </w:tc>
      </w:tr>
      <w:tr w14:paraId="126DC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400" w:type="dxa"/>
            <w:vMerge w:val="restart"/>
            <w:vAlign w:val="center"/>
          </w:tcPr>
          <w:p w14:paraId="0FE9E01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恒大地产集团佛冈有限公司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有无提供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自身财产担保</w:t>
            </w:r>
          </w:p>
        </w:tc>
        <w:tc>
          <w:tcPr>
            <w:tcW w:w="1336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1A46AF0B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  <w:p w14:paraId="24B606EC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763461F9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  <w:p w14:paraId="529F9048">
            <w:pPr>
              <w:spacing w:line="500" w:lineRule="exact"/>
              <w:ind w:firstLine="630" w:firstLineChars="30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89" w:type="dxa"/>
            <w:gridSpan w:val="3"/>
            <w:tcBorders>
              <w:left w:val="single" w:color="auto" w:sz="4" w:space="0"/>
            </w:tcBorders>
            <w:vAlign w:val="center"/>
          </w:tcPr>
          <w:p w14:paraId="4E6EF9B0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担保金额：</w:t>
            </w:r>
          </w:p>
        </w:tc>
      </w:tr>
      <w:tr w14:paraId="09F0F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400" w:type="dxa"/>
            <w:vMerge w:val="continue"/>
            <w:vAlign w:val="center"/>
          </w:tcPr>
          <w:p w14:paraId="183DD2C8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16CC06FE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89" w:type="dxa"/>
            <w:gridSpan w:val="3"/>
            <w:tcBorders>
              <w:left w:val="single" w:color="auto" w:sz="4" w:space="0"/>
            </w:tcBorders>
            <w:vAlign w:val="center"/>
          </w:tcPr>
          <w:p w14:paraId="2C350AED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担保形式：1.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抵押  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质押   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</w:p>
        </w:tc>
      </w:tr>
      <w:tr w14:paraId="42A09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400" w:type="dxa"/>
            <w:vMerge w:val="continue"/>
            <w:vAlign w:val="center"/>
          </w:tcPr>
          <w:p w14:paraId="7C8C17E2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133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257D387B">
            <w:pPr>
              <w:spacing w:line="500" w:lineRule="exact"/>
              <w:jc w:val="left"/>
              <w:rPr>
                <w:rFonts w:ascii="仿宋" w:hAnsi="仿宋" w:eastAsia="仿宋" w:cs="仿宋"/>
              </w:rPr>
            </w:pPr>
          </w:p>
        </w:tc>
        <w:tc>
          <w:tcPr>
            <w:tcW w:w="5889" w:type="dxa"/>
            <w:gridSpan w:val="3"/>
            <w:tcBorders>
              <w:left w:val="single" w:color="auto" w:sz="4" w:space="0"/>
            </w:tcBorders>
            <w:vAlign w:val="center"/>
          </w:tcPr>
          <w:p w14:paraId="4FEC986E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担保财产：</w:t>
            </w:r>
          </w:p>
        </w:tc>
      </w:tr>
      <w:tr w14:paraId="6A8C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00" w:type="dxa"/>
            <w:vMerge w:val="restart"/>
            <w:vAlign w:val="center"/>
          </w:tcPr>
          <w:p w14:paraId="2566D7E5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除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恒大地产集团佛冈有限公司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外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</w:rPr>
              <w:t>有无第三方提供担保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14:paraId="75753851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  <w:p w14:paraId="2CFE6A3F">
            <w:pPr>
              <w:spacing w:line="50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373EBF3D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</w:p>
        </w:tc>
        <w:tc>
          <w:tcPr>
            <w:tcW w:w="5889" w:type="dxa"/>
            <w:gridSpan w:val="3"/>
            <w:vAlign w:val="center"/>
          </w:tcPr>
          <w:p w14:paraId="7D3B648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提供担保的第三方名称（姓名）：</w:t>
            </w:r>
          </w:p>
        </w:tc>
      </w:tr>
      <w:tr w14:paraId="24A35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400" w:type="dxa"/>
            <w:vMerge w:val="continue"/>
            <w:vAlign w:val="center"/>
          </w:tcPr>
          <w:p w14:paraId="1DFE26D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3A23BA0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89" w:type="dxa"/>
            <w:gridSpan w:val="3"/>
            <w:vAlign w:val="center"/>
          </w:tcPr>
          <w:p w14:paraId="07A373EF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担保金额：</w:t>
            </w:r>
          </w:p>
        </w:tc>
      </w:tr>
      <w:tr w14:paraId="611EE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400" w:type="dxa"/>
            <w:vMerge w:val="continue"/>
            <w:vAlign w:val="center"/>
          </w:tcPr>
          <w:p w14:paraId="29DF9FE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030524B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89" w:type="dxa"/>
            <w:gridSpan w:val="3"/>
            <w:vAlign w:val="center"/>
          </w:tcPr>
          <w:p w14:paraId="775DB613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担保形式：1.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保证  2.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抵押  3.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质押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ab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</w:p>
        </w:tc>
      </w:tr>
      <w:tr w14:paraId="6BF9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400" w:type="dxa"/>
            <w:vMerge w:val="continue"/>
            <w:vAlign w:val="center"/>
          </w:tcPr>
          <w:p w14:paraId="79DB67FF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</w:rPr>
            </w:pPr>
          </w:p>
        </w:tc>
        <w:tc>
          <w:tcPr>
            <w:tcW w:w="1336" w:type="dxa"/>
            <w:gridSpan w:val="2"/>
            <w:vMerge w:val="continue"/>
            <w:vAlign w:val="center"/>
          </w:tcPr>
          <w:p w14:paraId="7131AAE7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</w:rPr>
            </w:pPr>
          </w:p>
        </w:tc>
        <w:tc>
          <w:tcPr>
            <w:tcW w:w="5889" w:type="dxa"/>
            <w:gridSpan w:val="3"/>
            <w:vAlign w:val="center"/>
          </w:tcPr>
          <w:p w14:paraId="19765722">
            <w:pPr>
              <w:tabs>
                <w:tab w:val="right" w:pos="4578"/>
              </w:tabs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担保财产：</w:t>
            </w:r>
          </w:p>
        </w:tc>
      </w:tr>
      <w:tr w14:paraId="47606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400" w:type="dxa"/>
            <w:vAlign w:val="center"/>
          </w:tcPr>
          <w:p w14:paraId="59DF2534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债权涉诉</w:t>
            </w:r>
          </w:p>
          <w:p w14:paraId="60A325EA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（仲裁）情况</w:t>
            </w:r>
          </w:p>
        </w:tc>
        <w:tc>
          <w:tcPr>
            <w:tcW w:w="7225" w:type="dxa"/>
            <w:gridSpan w:val="5"/>
            <w:vAlign w:val="center"/>
          </w:tcPr>
          <w:p w14:paraId="6DF25CAB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申报债权如有下列情形，请在</w:t>
            </w: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中打“√”：</w:t>
            </w:r>
          </w:p>
          <w:p w14:paraId="05DA0416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未提起诉讼或仲裁；</w:t>
            </w:r>
          </w:p>
          <w:p w14:paraId="17DB6C21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案件正处于立案或审理阶段；</w:t>
            </w:r>
          </w:p>
          <w:p w14:paraId="57CFE0F0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案件已由法院或仲裁委员会作出生效的裁判文书；</w:t>
            </w:r>
          </w:p>
          <w:p w14:paraId="5CF544CE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案件已进入执行程序，取得回款金额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；</w:t>
            </w:r>
          </w:p>
          <w:p w14:paraId="485D8913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                                         </w:t>
            </w:r>
          </w:p>
        </w:tc>
      </w:tr>
      <w:tr w14:paraId="3F927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400" w:type="dxa"/>
            <w:vAlign w:val="center"/>
          </w:tcPr>
          <w:p w14:paraId="58BC5E44"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债权证明材料（附后）名称</w:t>
            </w:r>
          </w:p>
        </w:tc>
        <w:tc>
          <w:tcPr>
            <w:tcW w:w="7225" w:type="dxa"/>
            <w:gridSpan w:val="5"/>
            <w:vAlign w:val="center"/>
          </w:tcPr>
          <w:p w14:paraId="4D793FD4"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请按照《债权申报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材料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清单》详细填写。</w:t>
            </w:r>
          </w:p>
        </w:tc>
      </w:tr>
      <w:tr w14:paraId="0791B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25" w:type="dxa"/>
            <w:gridSpan w:val="6"/>
            <w:vAlign w:val="center"/>
          </w:tcPr>
          <w:p w14:paraId="44D9D554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注：1.此表应用钢笔或签字笔填写，或获取电子版后电脑输入。</w:t>
            </w:r>
          </w:p>
          <w:p w14:paraId="2ED8AFAE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编号由管理人填写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  <w:p w14:paraId="49D87C74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3.本债权申报表不构成对无效债权（包括但不限于已过诉讼时效的债权等）的重新有效确认。</w:t>
            </w:r>
          </w:p>
          <w:p w14:paraId="112B4A9B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4.债权申报人已全面、完整、知晓本次债权登记的有关要求并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保证提供资料及情况的真实、合法、完整，否则，一切法律后果由债权申报人承担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  <w:p w14:paraId="2CFD41B3">
            <w:pPr>
              <w:spacing w:line="500" w:lineRule="exact"/>
              <w:ind w:firstLine="480" w:firstLineChars="20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债权证明材料附在本表之后加债权人签章后与本表一同提交管理人。</w:t>
            </w:r>
          </w:p>
        </w:tc>
      </w:tr>
    </w:tbl>
    <w:p w14:paraId="18E1F1F9">
      <w:pPr>
        <w:spacing w:line="500" w:lineRule="exact"/>
        <w:jc w:val="left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债权人（签章）：               日期：    年  月  日</w:t>
      </w:r>
    </w:p>
    <w:p w14:paraId="2F0CAF35">
      <w:pPr>
        <w:spacing w:line="500" w:lineRule="exact"/>
        <w:rPr>
          <w:rFonts w:ascii="仿宋" w:hAnsi="仿宋" w:eastAsia="仿宋" w:cs="仿宋"/>
          <w:b/>
          <w:color w:val="000000"/>
          <w:sz w:val="24"/>
        </w:rPr>
      </w:pPr>
    </w:p>
    <w:p w14:paraId="14AA3E40">
      <w:pPr>
        <w:spacing w:line="500" w:lineRule="exact"/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</w:t>
      </w:r>
      <w:r>
        <w:rPr>
          <w:rFonts w:hint="eastAsia" w:ascii="仿宋" w:hAnsi="仿宋" w:eastAsia="仿宋" w:cs="仿宋"/>
          <w:b/>
          <w:bCs/>
          <w:sz w:val="24"/>
        </w:rPr>
        <w:t>，并由法定代表人或负责人签名。</w:t>
      </w:r>
    </w:p>
    <w:p w14:paraId="70CA39A0">
      <w:pPr>
        <w:spacing w:line="5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C64DC"/>
    <w:rsid w:val="0F32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919</Words>
  <Characters>953</Characters>
  <Lines>0</Lines>
  <Paragraphs>0</Paragraphs>
  <TotalTime>0</TotalTime>
  <ScaleCrop>false</ScaleCrop>
  <LinksUpToDate>false</LinksUpToDate>
  <CharactersWithSpaces>1174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2025-10-16T07:21:00Z</dcterms:created>
  <dc:creator>Kunlun</dc:creator>
  <cp:lastModifiedBy>昆仑6</cp:lastModifiedBy>
  <dcterms:modified xsi:type="dcterms:W3CDTF">2025-10-16T08:09:21Z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744E1C23427743158E19629D1C923121_12</vt:lpwstr>
  </property>
</Properties>
</file>