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285952A">
      <w:pPr>
        <w:pStyle w:val="20"/>
        <w:keepNext w:val="0"/>
        <w:keepLines w:val="0"/>
        <w:pageBreakBefore w:val="0"/>
        <w:widowControl/>
        <w:kinsoku/>
        <w:wordWrap/>
        <w:overflowPunct/>
        <w:topLinePunct w:val="0"/>
        <w:autoSpaceDE/>
        <w:autoSpaceDN/>
        <w:bidi w:val="0"/>
        <w:adjustRightInd/>
        <w:snapToGrid/>
        <w:spacing w:before="0" w:after="0" w:line="420" w:lineRule="exact"/>
        <w:textAlignment w:val="auto"/>
      </w:pPr>
    </w:p>
    <w:p w14:paraId="0A91A909">
      <w:pPr>
        <w:pStyle w:val="20"/>
        <w:widowControl/>
      </w:pPr>
      <w:r>
        <w:t>四川东科房地产开发有限公司破产清算案管理人</w:t>
      </w:r>
      <w:r>
        <w:br w:type="textWrapping"/>
      </w:r>
      <w:r>
        <w:t>关于公开选聘造价服务机构的公告</w:t>
      </w:r>
    </w:p>
    <w:p w14:paraId="797FE10A">
      <w:pPr>
        <w:pStyle w:val="3"/>
      </w:pPr>
    </w:p>
    <w:p w14:paraId="674FEA1E">
      <w:pPr>
        <w:pStyle w:val="3"/>
        <w:widowControl/>
      </w:pPr>
      <w:r>
        <w:t>2025年6月12日，四川省雅安市名山区人民法院作出（2025）川1803破申3号《民事裁定书》，裁定受理四川东科房地产开发有限公司（以下简称“东科公司”）破产清算案。2025年7月10日，名山</w:t>
      </w:r>
      <w:r>
        <w:rPr>
          <w:lang w:val="en-US"/>
        </w:rPr>
        <w:t>区</w:t>
      </w:r>
      <w:r>
        <w:t>人民法院指定四川同方正（广元）律师事务所担任东科公司管理人。因东科公司开发的“原山墅”项目未完成工程造价审核结算，为确保破产清算程序顺利推进，现需选聘具有相应资质的工程造价审核机构对该项目开展工程造价审核及其他专项服务。</w:t>
      </w:r>
    </w:p>
    <w:p w14:paraId="0501E490">
      <w:pPr>
        <w:pStyle w:val="3"/>
        <w:widowControl/>
      </w:pPr>
      <w:r>
        <w:t>为保障遴选工作的公允性，管理人决定公开选聘造价审核服务机构，现公告如下：</w:t>
      </w:r>
    </w:p>
    <w:p w14:paraId="50BE006C">
      <w:pPr>
        <w:pStyle w:val="2"/>
        <w:widowControl/>
        <w:numPr>
          <w:ilvl w:val="0"/>
          <w:numId w:val="1"/>
        </w:numPr>
        <w:topLinePunct w:val="0"/>
        <w:ind w:left="0" w:leftChars="0" w:firstLine="0" w:firstLineChars="0"/>
        <w:rPr>
          <w:rFonts w:hint="eastAsia" w:ascii="黑体" w:hAnsi="黑体" w:eastAsia="黑体" w:cs="黑体"/>
          <w:b w:val="0"/>
        </w:rPr>
      </w:pPr>
      <w:r>
        <w:t>项目概况</w:t>
      </w:r>
    </w:p>
    <w:p w14:paraId="700E4AFC">
      <w:pPr>
        <w:pStyle w:val="3"/>
        <w:widowControl/>
      </w:pPr>
      <w:r>
        <w:rPr>
          <w:b/>
        </w:rPr>
        <w:t>项目名称</w:t>
      </w:r>
      <w:r>
        <w:t>：“原山墅”房地产开发项目</w:t>
      </w:r>
    </w:p>
    <w:p w14:paraId="553AEE73">
      <w:pPr>
        <w:pStyle w:val="3"/>
        <w:widowControl/>
      </w:pPr>
      <w:r>
        <w:rPr>
          <w:b/>
        </w:rPr>
        <w:t>项目地址：</w:t>
      </w:r>
      <w:r>
        <w:t>雅安市名山区蒙顶山镇水碾街5段76号</w:t>
      </w:r>
    </w:p>
    <w:p w14:paraId="474297BA">
      <w:pPr>
        <w:pStyle w:val="3"/>
        <w:widowControl/>
      </w:pPr>
      <w:r>
        <w:rPr>
          <w:b/>
        </w:rPr>
        <w:t>建设单位</w:t>
      </w:r>
      <w:r>
        <w:t>：四川东科房地产开发有限公司</w:t>
      </w:r>
    </w:p>
    <w:p w14:paraId="4FE38EFE">
      <w:pPr>
        <w:pStyle w:val="3"/>
        <w:widowControl/>
      </w:pPr>
      <w:r>
        <w:rPr>
          <w:b/>
        </w:rPr>
        <w:t>施工单位</w:t>
      </w:r>
      <w:r>
        <w:t>：厦门东科工程建设有限公司名山分公司</w:t>
      </w:r>
    </w:p>
    <w:p w14:paraId="47B8A477">
      <w:pPr>
        <w:pStyle w:val="3"/>
        <w:widowControl/>
      </w:pPr>
      <w:r>
        <w:rPr>
          <w:b/>
        </w:rPr>
        <w:t>工程现状</w:t>
      </w:r>
      <w:r>
        <w:t>：项目共</w:t>
      </w:r>
      <w:r>
        <w:rPr>
          <w:rFonts w:hint="eastAsia"/>
          <w:lang w:val="en-US" w:eastAsia="zh-CN"/>
        </w:rPr>
        <w:t>有34幢别墅式</w:t>
      </w:r>
      <w:r>
        <w:t>建筑，</w:t>
      </w:r>
      <w:r>
        <w:rPr>
          <w:rFonts w:hint="eastAsia"/>
          <w:lang w:val="en-US" w:eastAsia="zh-CN"/>
        </w:rPr>
        <w:t>1-31幢为住宅（共15个户型）32、33、34幢为办公用房、公厕、会所，总占地面积64202.82平方米，总</w:t>
      </w:r>
      <w:r>
        <w:rPr>
          <w:rFonts w:hint="default"/>
          <w:lang w:val="en-US" w:eastAsia="zh-CN"/>
        </w:rPr>
        <w:t>建筑面积6</w:t>
      </w:r>
      <w:r>
        <w:rPr>
          <w:rFonts w:hint="eastAsia"/>
          <w:lang w:val="en-US" w:eastAsia="zh-CN"/>
        </w:rPr>
        <w:t>4828.21平方米，其中住宅57922.61</w:t>
      </w:r>
      <w:r>
        <w:t>平方米</w:t>
      </w:r>
      <w:r>
        <w:rPr>
          <w:rFonts w:hint="eastAsia"/>
          <w:lang w:eastAsia="zh-CN"/>
        </w:rPr>
        <w:t>，</w:t>
      </w:r>
      <w:r>
        <w:rPr>
          <w:rFonts w:hint="eastAsia"/>
          <w:lang w:val="en-US" w:eastAsia="zh-CN"/>
        </w:rPr>
        <w:t>非住宅6905.6平方米</w:t>
      </w:r>
      <w:r>
        <w:t>。</w:t>
      </w:r>
      <w:r>
        <w:rPr>
          <w:b w:val="0"/>
        </w:rPr>
        <w:t>工程已竣工验收并通过消防验收，未办理最终结算审核，施工资料存</w:t>
      </w:r>
      <w:r>
        <w:t>放于雅安市城建档案馆。</w:t>
      </w:r>
    </w:p>
    <w:p w14:paraId="72A62A04">
      <w:pPr>
        <w:pStyle w:val="2"/>
        <w:widowControl/>
        <w:numPr>
          <w:ilvl w:val="0"/>
          <w:numId w:val="1"/>
        </w:numPr>
        <w:topLinePunct w:val="0"/>
        <w:ind w:left="0" w:leftChars="0" w:firstLine="0" w:firstLineChars="0"/>
        <w:rPr>
          <w:rFonts w:hint="eastAsia" w:ascii="黑体" w:hAnsi="黑体" w:eastAsia="黑体" w:cs="黑体"/>
          <w:b w:val="0"/>
        </w:rPr>
      </w:pPr>
      <w:r>
        <w:t>造价服务工作内容</w:t>
      </w:r>
    </w:p>
    <w:p w14:paraId="7F762FA6">
      <w:pPr>
        <w:pStyle w:val="3"/>
        <w:widowControl/>
        <w:numPr>
          <w:ilvl w:val="0"/>
          <w:numId w:val="2"/>
        </w:numPr>
        <w:ind w:left="0" w:leftChars="0" w:firstLine="480" w:firstLineChars="0"/>
        <w:rPr>
          <w:b w:val="0"/>
        </w:rPr>
      </w:pPr>
      <w:r>
        <w:t>对“原山墅”项目主体工程及</w:t>
      </w:r>
      <w:r>
        <w:rPr>
          <w:b w:val="0"/>
        </w:rPr>
        <w:t>配套设施进行全面造价审核，出具符合行业规范的《工程造价咨询报告》；</w:t>
      </w:r>
    </w:p>
    <w:p w14:paraId="16C3472F">
      <w:pPr>
        <w:pStyle w:val="3"/>
        <w:widowControl/>
        <w:numPr>
          <w:ilvl w:val="0"/>
          <w:numId w:val="2"/>
        </w:numPr>
        <w:ind w:left="0" w:leftChars="0" w:firstLine="480" w:firstLineChars="0"/>
        <w:rPr>
          <w:b w:val="0"/>
        </w:rPr>
      </w:pPr>
      <w:r>
        <w:t>协助管理人审核涉及工程类的债权，民工工资债权及优先受偿权范围；</w:t>
      </w:r>
    </w:p>
    <w:p w14:paraId="07033ACD">
      <w:pPr>
        <w:pStyle w:val="3"/>
        <w:widowControl/>
        <w:numPr>
          <w:ilvl w:val="0"/>
          <w:numId w:val="2"/>
        </w:numPr>
        <w:ind w:left="0" w:leftChars="0" w:firstLine="480" w:firstLineChars="0"/>
        <w:rPr>
          <w:b w:val="0"/>
        </w:rPr>
      </w:pPr>
      <w:r>
        <w:t>配合债权人会议及法院审查，提供专业答疑；</w:t>
      </w:r>
    </w:p>
    <w:p w14:paraId="37F36DEF">
      <w:pPr>
        <w:pStyle w:val="3"/>
        <w:widowControl/>
        <w:numPr>
          <w:ilvl w:val="0"/>
          <w:numId w:val="2"/>
        </w:numPr>
        <w:ind w:left="0" w:leftChars="0" w:firstLine="480" w:firstLineChars="0"/>
        <w:rPr>
          <w:b w:val="0"/>
        </w:rPr>
      </w:pPr>
      <w:r>
        <w:t>完成名山区人民法院及管理人要求的其他与工程造价相关的工作。</w:t>
      </w:r>
    </w:p>
    <w:p w14:paraId="0A08379A">
      <w:pPr>
        <w:pStyle w:val="2"/>
        <w:widowControl/>
        <w:numPr>
          <w:ilvl w:val="0"/>
          <w:numId w:val="1"/>
        </w:numPr>
        <w:topLinePunct w:val="0"/>
        <w:ind w:left="0" w:leftChars="0" w:firstLine="0" w:firstLineChars="0"/>
        <w:rPr>
          <w:rFonts w:hint="eastAsia" w:ascii="黑体" w:hAnsi="黑体" w:eastAsia="黑体" w:cs="黑体"/>
          <w:b w:val="0"/>
        </w:rPr>
      </w:pPr>
      <w:r>
        <w:t>报名条件及需提交文件</w:t>
      </w:r>
    </w:p>
    <w:p w14:paraId="2BEB4A0E">
      <w:pPr>
        <w:pStyle w:val="4"/>
        <w:widowControl/>
        <w:numPr>
          <w:ilvl w:val="0"/>
          <w:numId w:val="3"/>
        </w:numPr>
        <w:ind w:left="0" w:leftChars="0" w:firstLine="0" w:firstLineChars="0"/>
        <w:rPr>
          <w:b w:val="0"/>
        </w:rPr>
      </w:pPr>
      <w:r>
        <w:t xml:space="preserve">资质要求及文件：  </w:t>
      </w:r>
    </w:p>
    <w:p w14:paraId="39F4F16F">
      <w:pPr>
        <w:pStyle w:val="3"/>
        <w:widowControl/>
      </w:pPr>
      <w:r>
        <w:t>具备国家行业主管部门颁发的有效执业资格证，营业执照、甲级造价咨询资质证书复印件（加盖公章），并入选四川省高级人民法院对外委托社会机构名单，需提交主体资格文件及资质证明材料；近三年无因出具不实报告被处罚，或意见不被法院采纳的情形。</w:t>
      </w:r>
    </w:p>
    <w:p w14:paraId="64305B38">
      <w:pPr>
        <w:pStyle w:val="3"/>
        <w:widowControl/>
      </w:pPr>
      <w:r>
        <w:t>项目团队成员名单（含注册造价工程师证书、社保缴纳证明）。</w:t>
      </w:r>
    </w:p>
    <w:p w14:paraId="21EC7946">
      <w:pPr>
        <w:pStyle w:val="4"/>
        <w:widowControl/>
        <w:numPr>
          <w:ilvl w:val="0"/>
          <w:numId w:val="3"/>
        </w:numPr>
        <w:ind w:left="0" w:leftChars="0" w:firstLine="0" w:firstLineChars="0"/>
        <w:rPr>
          <w:b w:val="0"/>
        </w:rPr>
      </w:pPr>
      <w:r>
        <w:t>业绩材料：</w:t>
      </w:r>
    </w:p>
    <w:p w14:paraId="55D589E7">
      <w:pPr>
        <w:pStyle w:val="3"/>
        <w:widowControl/>
      </w:pPr>
      <w:r>
        <w:t>近3年类似项目合同及结算报告关键页（需体现项目金额、服务内容）。</w:t>
      </w:r>
    </w:p>
    <w:p w14:paraId="1B262867">
      <w:pPr>
        <w:pStyle w:val="4"/>
        <w:widowControl/>
        <w:numPr>
          <w:ilvl w:val="0"/>
          <w:numId w:val="3"/>
        </w:numPr>
        <w:ind w:left="0" w:leftChars="0" w:firstLine="0" w:firstLineChars="0"/>
        <w:rPr>
          <w:b w:val="0"/>
        </w:rPr>
      </w:pPr>
      <w:r>
        <w:t>服务方案：</w:t>
      </w:r>
    </w:p>
    <w:p w14:paraId="65286E0F">
      <w:pPr>
        <w:pStyle w:val="3"/>
        <w:widowControl/>
        <w:rPr>
          <w:b w:val="0"/>
        </w:rPr>
      </w:pPr>
      <w:r>
        <w:t>包括工作流程、进度安排（进场</w:t>
      </w:r>
      <w:r>
        <w:rPr>
          <w:b w:val="0"/>
        </w:rPr>
        <w:t>后60日内出具征求意见稿，收到反馈意见后15日内出具正式报告，如调整说明理由）、质量保障措施及应急处理预案。</w:t>
      </w:r>
    </w:p>
    <w:p w14:paraId="455C20DF">
      <w:pPr>
        <w:pStyle w:val="4"/>
        <w:widowControl/>
        <w:numPr>
          <w:ilvl w:val="0"/>
          <w:numId w:val="3"/>
        </w:numPr>
        <w:ind w:left="0" w:leftChars="0" w:firstLine="0" w:firstLineChars="0"/>
        <w:rPr>
          <w:b w:val="0"/>
        </w:rPr>
      </w:pPr>
      <w:r>
        <w:t>报价文件：</w:t>
      </w:r>
    </w:p>
    <w:p w14:paraId="258BB078">
      <w:pPr>
        <w:pStyle w:val="3"/>
        <w:widowControl/>
      </w:pPr>
      <w:r>
        <w:t>参照川价发〔2008〕141号文件“审核工程结算”下浮比例方式进行报价，下浮比例不低于40%，无审减或审增额度加收审核费用。报价包</w:t>
      </w:r>
      <w:r>
        <w:rPr>
          <w:b w:val="0"/>
        </w:rPr>
        <w:t>含现</w:t>
      </w:r>
      <w:r>
        <w:t>场勘查、专家评审等所有费用，无预付款，按破产资产处置进度分期支付。</w:t>
      </w:r>
    </w:p>
    <w:p w14:paraId="28850696">
      <w:pPr>
        <w:pStyle w:val="4"/>
        <w:widowControl/>
        <w:numPr>
          <w:ilvl w:val="0"/>
          <w:numId w:val="3"/>
        </w:numPr>
        <w:ind w:left="0" w:leftChars="0" w:firstLine="0" w:firstLineChars="0"/>
        <w:rPr>
          <w:b w:val="0"/>
        </w:rPr>
      </w:pPr>
      <w:r>
        <w:t>承诺文件：</w:t>
      </w:r>
    </w:p>
    <w:p w14:paraId="3F70A4AB">
      <w:pPr>
        <w:pStyle w:val="3"/>
        <w:widowControl/>
      </w:pPr>
      <w:r>
        <w:t>无利益冲突承诺、按期完成承诺、新增事项不额外收费承诺。</w:t>
      </w:r>
    </w:p>
    <w:p w14:paraId="120AD9B4">
      <w:pPr>
        <w:pStyle w:val="2"/>
        <w:widowControl/>
        <w:numPr>
          <w:ilvl w:val="0"/>
          <w:numId w:val="1"/>
        </w:numPr>
        <w:topLinePunct w:val="0"/>
        <w:ind w:left="0" w:leftChars="0" w:firstLine="0" w:firstLineChars="0"/>
        <w:rPr>
          <w:rFonts w:hint="eastAsia" w:ascii="黑体" w:hAnsi="黑体" w:eastAsia="黑体" w:cs="黑体"/>
          <w:b w:val="0"/>
        </w:rPr>
      </w:pPr>
      <w:r>
        <w:t>报名方式及期限</w:t>
      </w:r>
    </w:p>
    <w:p w14:paraId="2801F38F">
      <w:pPr>
        <w:pStyle w:val="3"/>
        <w:widowControl/>
        <w:numPr>
          <w:ilvl w:val="0"/>
          <w:numId w:val="4"/>
        </w:numPr>
        <w:ind w:left="0" w:leftChars="0" w:firstLine="482" w:firstLineChars="0"/>
        <w:rPr>
          <w:b/>
        </w:rPr>
      </w:pPr>
      <w:r>
        <w:rPr>
          <w:b/>
        </w:rPr>
        <w:t>报名时间</w:t>
      </w:r>
      <w:r>
        <w:t>：自本公告发布之日起至</w:t>
      </w:r>
      <w:r>
        <w:rPr>
          <w:b/>
        </w:rPr>
        <w:t>2025年10月10日15时</w:t>
      </w:r>
      <w:r>
        <w:t>（以管理人收到材料时间为准）。</w:t>
      </w:r>
    </w:p>
    <w:p w14:paraId="03F18572">
      <w:pPr>
        <w:pStyle w:val="3"/>
        <w:widowControl/>
        <w:numPr>
          <w:ilvl w:val="0"/>
          <w:numId w:val="4"/>
        </w:numPr>
        <w:ind w:left="0" w:leftChars="0" w:firstLine="482" w:firstLineChars="0"/>
        <w:rPr>
          <w:b/>
        </w:rPr>
      </w:pPr>
      <w:r>
        <w:rPr>
          <w:b/>
        </w:rPr>
        <w:t>材料提交</w:t>
      </w:r>
      <w:r>
        <w:t>：书面</w:t>
      </w:r>
      <w:r>
        <w:rPr>
          <w:b w:val="0"/>
        </w:rPr>
        <w:t>材料需装成册（一式三份）包装密封后加盖</w:t>
      </w:r>
      <w:r>
        <w:t>公章并由法定代表人签字，邮寄或现场递交至管理人指定地址。</w:t>
      </w:r>
    </w:p>
    <w:p w14:paraId="2BB5BDB6">
      <w:pPr>
        <w:pStyle w:val="3"/>
        <w:widowControl/>
        <w:numPr>
          <w:ilvl w:val="0"/>
          <w:numId w:val="4"/>
        </w:numPr>
        <w:ind w:left="0" w:leftChars="0" w:firstLine="482" w:firstLineChars="0"/>
        <w:rPr>
          <w:b/>
        </w:rPr>
      </w:pPr>
      <w:r>
        <w:rPr>
          <w:b/>
        </w:rPr>
        <w:t>联系人</w:t>
      </w:r>
      <w:r>
        <w:t>：李律师，电话13060160839。报名地址：四川省雅安市名山区蒙顶山镇水碾街5段76号“原山墅”项目会所管理人办公室。</w:t>
      </w:r>
    </w:p>
    <w:p w14:paraId="33A3BA37">
      <w:pPr>
        <w:pStyle w:val="2"/>
        <w:widowControl/>
        <w:numPr>
          <w:ilvl w:val="0"/>
          <w:numId w:val="1"/>
        </w:numPr>
        <w:topLinePunct w:val="0"/>
        <w:ind w:left="0" w:leftChars="0" w:firstLine="0" w:firstLineChars="0"/>
        <w:rPr>
          <w:rFonts w:hint="eastAsia" w:ascii="黑体" w:hAnsi="黑体" w:eastAsia="黑体" w:cs="黑体"/>
          <w:b w:val="0"/>
        </w:rPr>
      </w:pPr>
      <w:r>
        <w:t>遴选程序</w:t>
      </w:r>
    </w:p>
    <w:p w14:paraId="15F99B5F">
      <w:pPr>
        <w:pStyle w:val="3"/>
        <w:widowControl/>
        <w:numPr>
          <w:ilvl w:val="0"/>
          <w:numId w:val="5"/>
        </w:numPr>
        <w:ind w:left="0" w:leftChars="0" w:firstLine="480" w:firstLineChars="0"/>
        <w:rPr>
          <w:b w:val="0"/>
        </w:rPr>
      </w:pPr>
      <w:r>
        <w:t>评审时间</w:t>
      </w:r>
      <w:r>
        <w:rPr>
          <w:b w:val="0"/>
        </w:rPr>
        <w:t>：2025年10月10日1</w:t>
      </w:r>
      <w:r>
        <w:rPr>
          <w:rFonts w:hint="eastAsia"/>
          <w:b w:val="0"/>
          <w:lang w:val="en-US" w:eastAsia="zh-CN"/>
        </w:rPr>
        <w:t>5</w:t>
      </w:r>
      <w:r>
        <w:rPr>
          <w:b w:val="0"/>
        </w:rPr>
        <w:t>时；</w:t>
      </w:r>
    </w:p>
    <w:p w14:paraId="77C82F82">
      <w:pPr>
        <w:pStyle w:val="3"/>
        <w:widowControl/>
        <w:numPr>
          <w:ilvl w:val="0"/>
          <w:numId w:val="5"/>
        </w:numPr>
        <w:ind w:left="0" w:leftChars="0" w:firstLine="480" w:firstLineChars="0"/>
        <w:rPr>
          <w:b w:val="0"/>
        </w:rPr>
      </w:pPr>
      <w:r>
        <w:t>管理人对报名材料进行资格审查，包括委托代理人身份和授权情况，通过资格审查的机构进入价格评审；</w:t>
      </w:r>
    </w:p>
    <w:p w14:paraId="5BE4CECF">
      <w:pPr>
        <w:pStyle w:val="3"/>
        <w:widowControl/>
        <w:numPr>
          <w:ilvl w:val="0"/>
          <w:numId w:val="5"/>
        </w:numPr>
        <w:ind w:left="0" w:leftChars="0" w:firstLine="480" w:firstLineChars="0"/>
        <w:rPr>
          <w:b w:val="0"/>
        </w:rPr>
      </w:pPr>
      <w:r>
        <w:t>综合评审后管理人可要求进行二次报价；</w:t>
      </w:r>
    </w:p>
    <w:p w14:paraId="0604B5F6">
      <w:pPr>
        <w:pStyle w:val="3"/>
        <w:widowControl/>
        <w:numPr>
          <w:ilvl w:val="0"/>
          <w:numId w:val="5"/>
        </w:numPr>
        <w:ind w:left="0" w:leftChars="0" w:firstLine="480" w:firstLineChars="0"/>
        <w:rPr>
          <w:b w:val="0"/>
        </w:rPr>
      </w:pPr>
      <w:r>
        <w:t>管理人根据评审和报价情况确定1家首选机构及2家备选机构，结果将通过邮件或电话通知，未入选机构不再另行告知，报名资料不予退还。</w:t>
      </w:r>
    </w:p>
    <w:p w14:paraId="68319871">
      <w:pPr>
        <w:pStyle w:val="2"/>
        <w:widowControl/>
        <w:numPr>
          <w:ilvl w:val="0"/>
          <w:numId w:val="1"/>
        </w:numPr>
        <w:topLinePunct w:val="0"/>
        <w:ind w:left="0" w:leftChars="0" w:firstLine="0" w:firstLineChars="0"/>
        <w:rPr>
          <w:rFonts w:hint="eastAsia" w:ascii="黑体" w:hAnsi="黑体" w:eastAsia="黑体" w:cs="黑体"/>
          <w:b w:val="0"/>
        </w:rPr>
      </w:pPr>
      <w:r>
        <w:t>其他事项</w:t>
      </w:r>
    </w:p>
    <w:p w14:paraId="4928A154">
      <w:pPr>
        <w:pStyle w:val="3"/>
        <w:widowControl/>
      </w:pPr>
      <w:r>
        <w:t>报名机构需对材料真实性负责，若发现弄虚作假或互相串通，将取消选聘资格并追究法律责任。特此公告。</w:t>
      </w:r>
    </w:p>
    <w:p w14:paraId="113915F7">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四川东科房地产开发有限公司管理人</w:t>
      </w:r>
    </w:p>
    <w:p w14:paraId="4C5923F2">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eastAsia" w:ascii="新宋体" w:hAnsi="新宋体" w:eastAsia="新宋体" w:cs="新宋体"/>
          <w:sz w:val="24"/>
          <w:szCs w:val="24"/>
        </w:rPr>
      </w:pPr>
    </w:p>
    <w:p w14:paraId="7EF4B178">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eastAsia" w:ascii="Times New Roman" w:hAnsi="Times New Roman" w:eastAsia="宋体" w:cs="Times New Roman"/>
          <w:sz w:val="24"/>
          <w:szCs w:val="24"/>
        </w:rPr>
      </w:pPr>
      <w:r>
        <w:rPr>
          <w:rFonts w:hint="eastAsia" w:ascii="Times New Roman" w:hAnsi="Times New Roman" w:eastAsia="宋体" w:cs="Times New Roman"/>
          <w:sz w:val="24"/>
          <w:szCs w:val="24"/>
        </w:rPr>
        <w:t>二〇二五年九月三十日</w:t>
      </w:r>
    </w:p>
    <w:p w14:paraId="728C52B0">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eastAsia" w:ascii="Times New Roman" w:hAnsi="Times New Roman" w:eastAsia="宋体" w:cs="Times New Roman"/>
          <w:sz w:val="24"/>
          <w:szCs w:val="24"/>
        </w:rPr>
      </w:pPr>
    </w:p>
    <w:p w14:paraId="459F7B5A">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eastAsia" w:ascii="Times New Roman" w:hAnsi="Times New Roman" w:eastAsia="宋体" w:cs="Times New Roman"/>
          <w:sz w:val="24"/>
          <w:szCs w:val="24"/>
        </w:rPr>
      </w:pPr>
    </w:p>
    <w:p w14:paraId="0F774377">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both"/>
        <w:textAlignment w:val="auto"/>
        <w:rPr>
          <w:rFonts w:hint="default" w:ascii="Times New Roman" w:hAnsi="Times New Roman" w:eastAsia="宋体" w:cs="Times New Roman"/>
          <w:sz w:val="24"/>
          <w:szCs w:val="24"/>
          <w:lang w:val="en-US" w:eastAsia="zh-CN"/>
        </w:rPr>
      </w:pPr>
      <w:r>
        <w:rPr>
          <w:rFonts w:hint="eastAsia" w:cs="Times New Roman"/>
          <w:sz w:val="24"/>
          <w:szCs w:val="24"/>
          <w:lang w:val="en-US" w:eastAsia="zh-CN"/>
        </w:rPr>
        <w:t>附：报价函</w:t>
      </w:r>
    </w:p>
    <w:p w14:paraId="2D436991">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127F6C40">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01FA9638">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2AFE6118">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422318AC">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3EF871A2">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656EC9E7">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113ACC24">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6029C910">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7031BBCF">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3093B70D">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753874F0">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4"/>
          <w:szCs w:val="24"/>
          <w:lang w:val="en-US" w:eastAsia="zh-CN"/>
        </w:rPr>
      </w:pPr>
    </w:p>
    <w:p w14:paraId="3EF535D4">
      <w:pPr>
        <w:pStyle w:val="20"/>
        <w:jc w:val="both"/>
        <w:rPr>
          <w:rFonts w:hint="eastAsia"/>
          <w:sz w:val="22"/>
          <w:szCs w:val="18"/>
          <w:u w:val="none"/>
          <w:lang w:val="en-US" w:eastAsia="zh-CN"/>
        </w:rPr>
      </w:pPr>
      <w:r>
        <w:rPr>
          <w:rFonts w:hint="eastAsia"/>
          <w:sz w:val="22"/>
          <w:szCs w:val="18"/>
          <w:u w:val="none"/>
          <w:lang w:val="en-US" w:eastAsia="zh-CN"/>
        </w:rPr>
        <w:t>附：</w:t>
      </w:r>
    </w:p>
    <w:p w14:paraId="27D3C561">
      <w:pPr>
        <w:pStyle w:val="20"/>
        <w:jc w:val="both"/>
        <w:rPr>
          <w:rFonts w:hint="eastAsia"/>
          <w:sz w:val="22"/>
          <w:szCs w:val="18"/>
          <w:u w:val="none"/>
          <w:lang w:val="en-US" w:eastAsia="zh-CN"/>
        </w:rPr>
      </w:pPr>
    </w:p>
    <w:p w14:paraId="98A155C9">
      <w:pPr>
        <w:pStyle w:val="20"/>
        <w:rPr>
          <w:sz w:val="32"/>
          <w:szCs w:val="22"/>
          <w:u w:val="none"/>
        </w:rPr>
      </w:pPr>
      <w:r>
        <w:rPr>
          <w:sz w:val="32"/>
          <w:szCs w:val="22"/>
          <w:u w:val="none"/>
        </w:rPr>
        <w:t>关于四川东科房地产开发有限公司“原山墅”项目工程造价审核服务的</w:t>
      </w:r>
      <w:bookmarkStart w:id="0" w:name="_GoBack"/>
      <w:bookmarkEnd w:id="0"/>
      <w:r>
        <w:rPr>
          <w:sz w:val="32"/>
          <w:szCs w:val="22"/>
          <w:u w:val="none"/>
        </w:rPr>
        <w:t>报价函</w:t>
      </w:r>
    </w:p>
    <w:p w14:paraId="3164B5A8">
      <w:pPr>
        <w:pStyle w:val="20"/>
        <w:rPr>
          <w:sz w:val="32"/>
          <w:szCs w:val="22"/>
          <w:u w:val="none"/>
        </w:rPr>
      </w:pPr>
    </w:p>
    <w:p w14:paraId="39E27EC8">
      <w:pPr>
        <w:pStyle w:val="3"/>
        <w:ind w:left="0" w:leftChars="0" w:firstLine="0" w:firstLineChars="0"/>
        <w:rPr>
          <w:b w:val="0"/>
          <w:i w:val="0"/>
          <w:strike w:val="0"/>
          <w:color w:val="auto"/>
          <w:sz w:val="24"/>
          <w:szCs w:val="20"/>
          <w:u w:val="none"/>
        </w:rPr>
      </w:pPr>
      <w:r>
        <w:rPr>
          <w:b w:val="0"/>
          <w:i w:val="0"/>
          <w:strike w:val="0"/>
          <w:color w:val="auto"/>
          <w:sz w:val="24"/>
          <w:szCs w:val="20"/>
          <w:u w:val="none"/>
        </w:rPr>
        <w:t>致：四川东科房地产开发有限公司管理人</w:t>
      </w:r>
    </w:p>
    <w:p w14:paraId="DB982943">
      <w:pPr>
        <w:pStyle w:val="3"/>
        <w:ind w:left="0" w:leftChars="0" w:firstLine="480" w:firstLineChars="200"/>
        <w:rPr>
          <w:b w:val="0"/>
          <w:i w:val="0"/>
          <w:strike w:val="0"/>
          <w:color w:val="auto"/>
          <w:sz w:val="24"/>
          <w:szCs w:val="20"/>
          <w:u w:val="none"/>
        </w:rPr>
      </w:pPr>
      <w:r>
        <w:rPr>
          <w:b w:val="0"/>
          <w:i w:val="0"/>
          <w:strike w:val="0"/>
          <w:color w:val="auto"/>
          <w:sz w:val="24"/>
          <w:szCs w:val="20"/>
          <w:u w:val="none"/>
        </w:rPr>
        <w:t>根据</w:t>
      </w:r>
      <w:r>
        <w:rPr>
          <w:rFonts w:hint="eastAsia"/>
          <w:b w:val="0"/>
          <w:i w:val="0"/>
          <w:strike w:val="0"/>
          <w:color w:val="auto"/>
          <w:sz w:val="24"/>
          <w:szCs w:val="20"/>
          <w:u w:val="none"/>
          <w:lang w:val="en-US" w:eastAsia="zh-CN"/>
        </w:rPr>
        <w:t>管理人</w:t>
      </w:r>
      <w:r>
        <w:rPr>
          <w:b w:val="0"/>
          <w:i w:val="0"/>
          <w:strike w:val="0"/>
          <w:color w:val="auto"/>
          <w:sz w:val="24"/>
          <w:szCs w:val="20"/>
          <w:u w:val="none"/>
        </w:rPr>
        <w:t>于2025年9月30日发布的《四川东科房地产开发有限公司破产清算案管理人关于公开选聘造价服务机构的公告》（以下简称“选聘公告”），我单位</w:t>
      </w:r>
      <w:r>
        <w:rPr>
          <w:rFonts w:hint="eastAsia"/>
          <w:b w:val="0"/>
          <w:i w:val="0"/>
          <w:strike w:val="0"/>
          <w:color w:val="auto"/>
          <w:sz w:val="24"/>
          <w:szCs w:val="20"/>
          <w:u w:val="single"/>
          <w:lang w:val="en-US" w:eastAsia="zh-CN"/>
        </w:rPr>
        <w:t xml:space="preserve">                                </w:t>
      </w:r>
      <w:r>
        <w:rPr>
          <w:b w:val="0"/>
          <w:i w:val="0"/>
          <w:strike w:val="0"/>
          <w:color w:val="auto"/>
          <w:sz w:val="24"/>
          <w:szCs w:val="20"/>
          <w:u w:val="none"/>
        </w:rPr>
        <w:t>对“原山墅”房地产开发项目工程造价审核服务进行报价，具体内容如下：</w:t>
      </w:r>
    </w:p>
    <w:p w14:paraId="FD95650D">
      <w:pPr>
        <w:pStyle w:val="75"/>
        <w:numPr>
          <w:ilvl w:val="0"/>
          <w:numId w:val="6"/>
        </w:numPr>
        <w:tabs>
          <w:tab w:val="left" w:pos="1043"/>
        </w:tabs>
        <w:topLinePunct w:val="0"/>
        <w:ind w:left="0" w:leftChars="0" w:firstLine="482" w:firstLineChars="200"/>
        <w:outlineLvl w:val="0"/>
        <w:rPr>
          <w:rFonts w:hint="eastAsia" w:ascii="宋体" w:hAnsi="宋体" w:eastAsia="宋体" w:cs="宋体"/>
          <w:b/>
          <w:sz w:val="24"/>
          <w:szCs w:val="20"/>
          <w:u w:val="none"/>
        </w:rPr>
      </w:pPr>
      <w:r>
        <w:rPr>
          <w:sz w:val="24"/>
          <w:szCs w:val="20"/>
          <w:u w:val="none"/>
        </w:rPr>
        <w:t>报价依据</w:t>
      </w:r>
    </w:p>
    <w:p w14:paraId="EF579D2A">
      <w:pPr>
        <w:pStyle w:val="3"/>
        <w:ind w:left="0" w:leftChars="0" w:firstLine="480" w:firstLineChars="200"/>
        <w:rPr>
          <w:b w:val="0"/>
          <w:i w:val="0"/>
          <w:strike w:val="0"/>
          <w:color w:val="auto"/>
          <w:sz w:val="24"/>
          <w:szCs w:val="20"/>
          <w:u w:val="none"/>
        </w:rPr>
      </w:pPr>
      <w:r>
        <w:rPr>
          <w:b w:val="0"/>
          <w:i w:val="0"/>
          <w:strike w:val="0"/>
          <w:color w:val="auto"/>
          <w:sz w:val="24"/>
          <w:szCs w:val="20"/>
          <w:u w:val="none"/>
        </w:rPr>
        <w:t>本报价严格参照《四川省物价局、四川省建设厅关于工程造价咨询服务收费标准的通知》（川价发〔2008〕141号）文件中“审核工程结算”的收费标准，并按要求以收费下浮比例方式报价。</w:t>
      </w:r>
    </w:p>
    <w:p w14:paraId="11074245">
      <w:pPr>
        <w:pStyle w:val="75"/>
        <w:numPr>
          <w:ilvl w:val="0"/>
          <w:numId w:val="6"/>
        </w:numPr>
        <w:tabs>
          <w:tab w:val="left" w:pos="1043"/>
        </w:tabs>
        <w:topLinePunct w:val="0"/>
        <w:ind w:left="0" w:leftChars="0" w:firstLine="482" w:firstLineChars="200"/>
        <w:outlineLvl w:val="0"/>
        <w:rPr>
          <w:rFonts w:hint="eastAsia" w:ascii="宋体" w:hAnsi="宋体" w:eastAsia="宋体" w:cs="宋体"/>
          <w:b/>
          <w:sz w:val="24"/>
          <w:szCs w:val="20"/>
          <w:u w:val="none"/>
        </w:rPr>
      </w:pPr>
      <w:r>
        <w:rPr>
          <w:sz w:val="24"/>
          <w:szCs w:val="20"/>
          <w:u w:val="none"/>
        </w:rPr>
        <w:t>报价内容</w:t>
      </w:r>
    </w:p>
    <w:p w14:paraId="062C6815">
      <w:pPr>
        <w:pStyle w:val="3"/>
        <w:numPr>
          <w:ilvl w:val="0"/>
          <w:numId w:val="7"/>
        </w:numPr>
        <w:tabs>
          <w:tab w:val="left" w:pos="783"/>
          <w:tab w:val="clear" w:pos="210"/>
        </w:tabs>
        <w:ind w:left="0" w:leftChars="0" w:firstLine="482" w:firstLineChars="200"/>
        <w:rPr>
          <w:rFonts w:ascii="Times New Roman" w:hAnsi="Times New Roman" w:eastAsia="宋体" w:cs="Times New Roman"/>
          <w:b w:val="0"/>
          <w:i w:val="0"/>
          <w:strike w:val="0"/>
          <w:color w:val="auto"/>
          <w:sz w:val="24"/>
          <w:szCs w:val="20"/>
          <w:u w:val="none"/>
        </w:rPr>
      </w:pPr>
      <w:r>
        <w:rPr>
          <w:b/>
          <w:i w:val="0"/>
          <w:strike w:val="0"/>
          <w:color w:val="auto"/>
          <w:sz w:val="24"/>
          <w:szCs w:val="20"/>
          <w:u w:val="none"/>
        </w:rPr>
        <w:t>核心报价：</w:t>
      </w:r>
      <w:r>
        <w:rPr>
          <w:b w:val="0"/>
          <w:i w:val="0"/>
          <w:strike w:val="0"/>
          <w:color w:val="auto"/>
          <w:sz w:val="24"/>
          <w:szCs w:val="20"/>
          <w:u w:val="none"/>
        </w:rPr>
        <w:t>我单位承诺，针对本项目工程造价审核服务的收费，在川价发〔2008〕141号文件“审核工程结算”收费标准基础上，下浮比例为</w:t>
      </w:r>
      <w:r>
        <w:rPr>
          <w:rFonts w:hint="eastAsia"/>
          <w:b w:val="0"/>
          <w:i w:val="0"/>
          <w:strike w:val="0"/>
          <w:color w:val="auto"/>
          <w:sz w:val="24"/>
          <w:szCs w:val="20"/>
          <w:u w:val="single"/>
          <w:lang w:val="en-US" w:eastAsia="zh-CN"/>
        </w:rPr>
        <w:t xml:space="preserve">       </w:t>
      </w:r>
      <w:r>
        <w:rPr>
          <w:b w:val="0"/>
          <w:i w:val="0"/>
          <w:strike w:val="0"/>
          <w:color w:val="auto"/>
          <w:sz w:val="24"/>
          <w:szCs w:val="20"/>
          <w:u w:val="none"/>
        </w:rPr>
        <w:t>，</w:t>
      </w:r>
      <w:r>
        <w:rPr>
          <w:rFonts w:ascii="Times New Roman" w:hAnsi="Times New Roman" w:eastAsia="宋体" w:cs="Times New Roman"/>
          <w:b w:val="0"/>
          <w:i w:val="0"/>
          <w:strike w:val="0"/>
          <w:color w:val="auto"/>
          <w:sz w:val="24"/>
          <w:szCs w:val="20"/>
          <w:u w:val="none"/>
        </w:rPr>
        <w:t>无审减或审增额度加收审核费用</w:t>
      </w:r>
      <w:r>
        <w:rPr>
          <w:rFonts w:hint="eastAsia" w:ascii="Times New Roman" w:hAnsi="Times New Roman" w:eastAsia="宋体" w:cs="Times New Roman"/>
          <w:b w:val="0"/>
          <w:i w:val="0"/>
          <w:strike w:val="0"/>
          <w:color w:val="auto"/>
          <w:sz w:val="24"/>
          <w:szCs w:val="20"/>
          <w:u w:val="none"/>
          <w:lang w:eastAsia="zh-CN"/>
        </w:rPr>
        <w:t>。</w:t>
      </w:r>
    </w:p>
    <w:p w14:paraId="72308926">
      <w:pPr>
        <w:pStyle w:val="3"/>
        <w:numPr>
          <w:ilvl w:val="0"/>
          <w:numId w:val="7"/>
        </w:numPr>
        <w:tabs>
          <w:tab w:val="left" w:pos="783"/>
          <w:tab w:val="clear" w:pos="210"/>
        </w:tabs>
        <w:ind w:left="0" w:leftChars="0" w:firstLine="482" w:firstLineChars="200"/>
        <w:rPr>
          <w:b/>
          <w:i w:val="0"/>
          <w:strike w:val="0"/>
          <w:color w:val="auto"/>
          <w:sz w:val="24"/>
          <w:szCs w:val="20"/>
          <w:u w:val="none"/>
        </w:rPr>
      </w:pPr>
      <w:r>
        <w:rPr>
          <w:b/>
          <w:i w:val="0"/>
          <w:strike w:val="0"/>
          <w:color w:val="auto"/>
          <w:sz w:val="24"/>
          <w:szCs w:val="20"/>
          <w:u w:val="none"/>
        </w:rPr>
        <w:t>费用范围：</w:t>
      </w:r>
      <w:r>
        <w:rPr>
          <w:b w:val="0"/>
          <w:i w:val="0"/>
          <w:strike w:val="0"/>
          <w:color w:val="auto"/>
          <w:sz w:val="24"/>
          <w:szCs w:val="20"/>
          <w:u w:val="none"/>
        </w:rPr>
        <w:t>本报价已包含完成选聘公告第二条“造价服务工作内容”所需的全部费用，包括但不限于现场勘查费、专家评审费、报告编制费、人工成本费等，无任何未列明的隐性费用。</w:t>
      </w:r>
    </w:p>
    <w:p w14:paraId="1C64C618">
      <w:pPr>
        <w:pStyle w:val="3"/>
        <w:numPr>
          <w:ilvl w:val="0"/>
          <w:numId w:val="7"/>
        </w:numPr>
        <w:tabs>
          <w:tab w:val="left" w:pos="783"/>
          <w:tab w:val="clear" w:pos="210"/>
        </w:tabs>
        <w:ind w:left="0" w:leftChars="0" w:firstLine="482" w:firstLineChars="200"/>
        <w:rPr>
          <w:b/>
          <w:i w:val="0"/>
          <w:strike w:val="0"/>
          <w:color w:val="auto"/>
          <w:sz w:val="24"/>
          <w:szCs w:val="20"/>
          <w:u w:val="none"/>
        </w:rPr>
      </w:pPr>
      <w:r>
        <w:rPr>
          <w:b/>
          <w:i w:val="0"/>
          <w:strike w:val="0"/>
          <w:color w:val="auto"/>
          <w:sz w:val="24"/>
          <w:szCs w:val="20"/>
          <w:u w:val="none"/>
        </w:rPr>
        <w:t>付款方式：</w:t>
      </w:r>
      <w:r>
        <w:rPr>
          <w:b w:val="0"/>
          <w:i w:val="0"/>
          <w:strike w:val="0"/>
          <w:color w:val="auto"/>
          <w:sz w:val="24"/>
          <w:szCs w:val="20"/>
          <w:u w:val="none"/>
        </w:rPr>
        <w:t>同意选聘公告要求的付款条件，即无预付款，审核服务费用按东科公司破产资产处置进度分期支付，具体支付节点及金额以与管理人协商确定的协议为准。</w:t>
      </w:r>
    </w:p>
    <w:p w14:paraId="ACA2F7E8">
      <w:pPr>
        <w:pStyle w:val="75"/>
        <w:numPr>
          <w:ilvl w:val="0"/>
          <w:numId w:val="6"/>
        </w:numPr>
        <w:tabs>
          <w:tab w:val="left" w:pos="1043"/>
        </w:tabs>
        <w:topLinePunct w:val="0"/>
        <w:ind w:left="0" w:leftChars="0" w:firstLine="482" w:firstLineChars="200"/>
        <w:outlineLvl w:val="0"/>
        <w:rPr>
          <w:rFonts w:hint="eastAsia" w:ascii="宋体" w:hAnsi="宋体" w:eastAsia="宋体" w:cs="宋体"/>
          <w:b/>
          <w:sz w:val="24"/>
          <w:szCs w:val="20"/>
          <w:u w:val="none"/>
        </w:rPr>
      </w:pPr>
      <w:r>
        <w:rPr>
          <w:sz w:val="24"/>
          <w:szCs w:val="20"/>
          <w:u w:val="none"/>
        </w:rPr>
        <w:t>承诺事项</w:t>
      </w:r>
    </w:p>
    <w:p w14:paraId="09BE029D">
      <w:pPr>
        <w:pStyle w:val="3"/>
        <w:numPr>
          <w:ilvl w:val="0"/>
          <w:numId w:val="8"/>
        </w:numPr>
        <w:tabs>
          <w:tab w:val="left" w:pos="780"/>
          <w:tab w:val="clear" w:pos="210"/>
        </w:tabs>
        <w:ind w:left="0" w:leftChars="0" w:firstLine="480" w:firstLineChars="200"/>
        <w:rPr>
          <w:b w:val="0"/>
          <w:i w:val="0"/>
          <w:strike w:val="0"/>
          <w:color w:val="auto"/>
          <w:sz w:val="24"/>
          <w:szCs w:val="20"/>
          <w:u w:val="none"/>
        </w:rPr>
      </w:pPr>
      <w:r>
        <w:rPr>
          <w:b w:val="0"/>
          <w:i w:val="0"/>
          <w:strike w:val="0"/>
          <w:color w:val="auto"/>
          <w:sz w:val="24"/>
          <w:szCs w:val="20"/>
          <w:u w:val="none"/>
        </w:rPr>
        <w:t>本报价函内容真实有效，报价标准符合选聘公告全部要求，若报价存在虚假或未达到公告要求，自愿接受取消选聘资格的处理。</w:t>
      </w:r>
    </w:p>
    <w:p w14:paraId="2BF1FE67">
      <w:pPr>
        <w:pStyle w:val="3"/>
        <w:numPr>
          <w:ilvl w:val="0"/>
          <w:numId w:val="8"/>
        </w:numPr>
        <w:tabs>
          <w:tab w:val="left" w:pos="780"/>
          <w:tab w:val="clear" w:pos="210"/>
        </w:tabs>
        <w:ind w:left="0" w:leftChars="0" w:firstLine="480" w:firstLineChars="200"/>
        <w:rPr>
          <w:b w:val="0"/>
          <w:i w:val="0"/>
          <w:strike w:val="0"/>
          <w:color w:val="auto"/>
          <w:sz w:val="24"/>
          <w:szCs w:val="20"/>
          <w:u w:val="none"/>
        </w:rPr>
      </w:pPr>
      <w:r>
        <w:rPr>
          <w:b w:val="0"/>
          <w:i w:val="0"/>
          <w:strike w:val="0"/>
          <w:color w:val="auto"/>
          <w:sz w:val="24"/>
          <w:szCs w:val="20"/>
          <w:u w:val="none"/>
        </w:rPr>
        <w:t>若我单位入选，将严格按照选聘公告中服务方案的时间要求（进场后60日内出具征求意见稿，收到反馈意见后15日内出具正式报告）完成工作，且新增与本项目工程造价相关的事项不额外收费，</w:t>
      </w:r>
    </w:p>
    <w:p w14:paraId="9B848955">
      <w:pPr>
        <w:pStyle w:val="3"/>
        <w:numPr>
          <w:ilvl w:val="0"/>
          <w:numId w:val="8"/>
        </w:numPr>
        <w:tabs>
          <w:tab w:val="left" w:pos="780"/>
          <w:tab w:val="clear" w:pos="210"/>
        </w:tabs>
        <w:ind w:left="0" w:leftChars="0" w:firstLine="480" w:firstLineChars="200"/>
        <w:rPr>
          <w:b w:val="0"/>
          <w:i w:val="0"/>
          <w:strike w:val="0"/>
          <w:color w:val="auto"/>
          <w:sz w:val="24"/>
          <w:szCs w:val="20"/>
          <w:u w:val="none"/>
        </w:rPr>
      </w:pPr>
      <w:r>
        <w:rPr>
          <w:rFonts w:hint="eastAsia"/>
          <w:b w:val="0"/>
          <w:i w:val="0"/>
          <w:strike w:val="0"/>
          <w:color w:val="auto"/>
          <w:sz w:val="24"/>
          <w:szCs w:val="20"/>
          <w:u w:val="none"/>
          <w:lang w:val="en-US" w:eastAsia="zh-CN"/>
        </w:rPr>
        <w:t>我单位与建设单位、施工单位</w:t>
      </w:r>
      <w:r>
        <w:rPr>
          <w:b w:val="0"/>
          <w:i w:val="0"/>
          <w:strike w:val="0"/>
          <w:color w:val="auto"/>
          <w:sz w:val="24"/>
          <w:szCs w:val="20"/>
          <w:u w:val="none"/>
        </w:rPr>
        <w:t>无任何利益冲突</w:t>
      </w:r>
      <w:r>
        <w:rPr>
          <w:rFonts w:hint="eastAsia"/>
          <w:b w:val="0"/>
          <w:i w:val="0"/>
          <w:strike w:val="0"/>
          <w:color w:val="auto"/>
          <w:sz w:val="24"/>
          <w:szCs w:val="20"/>
          <w:u w:val="none"/>
          <w:lang w:eastAsia="zh-CN"/>
        </w:rPr>
        <w:t>，</w:t>
      </w:r>
      <w:r>
        <w:rPr>
          <w:rFonts w:hint="eastAsia"/>
          <w:b w:val="0"/>
          <w:i w:val="0"/>
          <w:strike w:val="0"/>
          <w:color w:val="auto"/>
          <w:sz w:val="24"/>
          <w:szCs w:val="20"/>
          <w:u w:val="none"/>
          <w:lang w:val="en-US" w:eastAsia="zh-CN"/>
        </w:rPr>
        <w:t>未对本项目提供过造价及相关服务</w:t>
      </w:r>
      <w:r>
        <w:rPr>
          <w:b w:val="0"/>
          <w:i w:val="0"/>
          <w:strike w:val="0"/>
          <w:color w:val="auto"/>
          <w:sz w:val="24"/>
          <w:szCs w:val="20"/>
          <w:u w:val="none"/>
        </w:rPr>
        <w:t>。</w:t>
      </w:r>
    </w:p>
    <w:p w14:paraId="0BA5232E">
      <w:pPr>
        <w:wordWrap w:val="0"/>
        <w:spacing w:after="120" w:afterAutospacing="0" w:line="300" w:lineRule="auto"/>
        <w:ind w:left="480" w:leftChars="0" w:firstLine="0" w:firstLineChars="0"/>
        <w:jc w:val="right"/>
        <w:rPr>
          <w:rFonts w:hint="eastAsia" w:ascii="Times New Roman" w:hAnsi="Times New Roman" w:cs="Times New Roman"/>
          <w:b w:val="0"/>
          <w:i w:val="0"/>
          <w:strike w:val="0"/>
          <w:color w:val="auto"/>
          <w:sz w:val="24"/>
          <w:szCs w:val="28"/>
          <w:u w:val="none"/>
          <w:lang w:val="en-US" w:eastAsia="zh-CN"/>
        </w:rPr>
      </w:pPr>
      <w:r>
        <w:rPr>
          <w:rFonts w:hint="eastAsia" w:ascii="Times New Roman" w:hAnsi="Times New Roman" w:eastAsia="宋体" w:cs="Times New Roman"/>
          <w:b w:val="0"/>
          <w:i w:val="0"/>
          <w:strike w:val="0"/>
          <w:color w:val="auto"/>
          <w:sz w:val="24"/>
          <w:szCs w:val="28"/>
          <w:u w:val="none"/>
        </w:rPr>
        <w:t>报价单位（盖章）：</w:t>
      </w:r>
      <w:r>
        <w:rPr>
          <w:rFonts w:hint="eastAsia" w:ascii="Times New Roman" w:hAnsi="Times New Roman" w:cs="Times New Roman"/>
          <w:b w:val="0"/>
          <w:i w:val="0"/>
          <w:strike w:val="0"/>
          <w:color w:val="auto"/>
          <w:sz w:val="24"/>
          <w:szCs w:val="28"/>
          <w:u w:val="none"/>
          <w:lang w:val="en-US" w:eastAsia="zh-CN"/>
        </w:rPr>
        <w:t xml:space="preserve">                </w:t>
      </w:r>
    </w:p>
    <w:p w14:paraId="1980B02F">
      <w:pPr>
        <w:wordWrap/>
        <w:spacing w:after="120" w:afterAutospacing="0" w:line="300" w:lineRule="auto"/>
        <w:ind w:left="480" w:leftChars="0" w:firstLine="0" w:firstLineChars="0"/>
        <w:jc w:val="right"/>
        <w:rPr>
          <w:rFonts w:hint="default" w:ascii="Times New Roman" w:hAnsi="Times New Roman" w:cs="Times New Roman"/>
          <w:b w:val="0"/>
          <w:i w:val="0"/>
          <w:strike w:val="0"/>
          <w:color w:val="auto"/>
          <w:sz w:val="24"/>
          <w:szCs w:val="28"/>
          <w:u w:val="none"/>
          <w:lang w:val="en-US" w:eastAsia="zh-CN"/>
        </w:rPr>
      </w:pPr>
    </w:p>
    <w:p w14:paraId="3631F346">
      <w:pPr>
        <w:wordWrap w:val="0"/>
        <w:spacing w:after="120" w:afterAutospacing="0" w:line="300" w:lineRule="auto"/>
        <w:ind w:left="480" w:leftChars="0" w:firstLine="0" w:firstLineChars="0"/>
        <w:jc w:val="right"/>
        <w:rPr>
          <w:rFonts w:hint="eastAsia" w:ascii="Times New Roman" w:hAnsi="Times New Roman" w:cs="Times New Roman"/>
          <w:b w:val="0"/>
          <w:i w:val="0"/>
          <w:strike w:val="0"/>
          <w:color w:val="auto"/>
          <w:sz w:val="24"/>
          <w:szCs w:val="28"/>
          <w:u w:val="none"/>
          <w:lang w:val="en-US" w:eastAsia="zh-CN"/>
        </w:rPr>
      </w:pPr>
      <w:r>
        <w:rPr>
          <w:rFonts w:hint="eastAsia" w:ascii="Times New Roman" w:hAnsi="Times New Roman" w:eastAsia="宋体" w:cs="Times New Roman"/>
          <w:b w:val="0"/>
          <w:i w:val="0"/>
          <w:strike w:val="0"/>
          <w:color w:val="auto"/>
          <w:sz w:val="24"/>
          <w:szCs w:val="28"/>
          <w:u w:val="none"/>
        </w:rPr>
        <w:t>法定代表人（签字）：</w:t>
      </w:r>
      <w:r>
        <w:rPr>
          <w:rFonts w:hint="eastAsia" w:ascii="Times New Roman" w:hAnsi="Times New Roman" w:cs="Times New Roman"/>
          <w:b w:val="0"/>
          <w:i w:val="0"/>
          <w:strike w:val="0"/>
          <w:color w:val="auto"/>
          <w:sz w:val="24"/>
          <w:szCs w:val="28"/>
          <w:u w:val="none"/>
          <w:lang w:val="en-US" w:eastAsia="zh-CN"/>
        </w:rPr>
        <w:t xml:space="preserve">                </w:t>
      </w:r>
    </w:p>
    <w:p w14:paraId="A4E28BEC">
      <w:pPr>
        <w:wordWrap w:val="0"/>
        <w:spacing w:after="120" w:afterAutospacing="0" w:line="300" w:lineRule="auto"/>
        <w:ind w:left="480" w:leftChars="0" w:firstLine="0" w:firstLineChars="0"/>
        <w:jc w:val="right"/>
        <w:rPr>
          <w:rFonts w:hint="default" w:ascii="Times New Roman" w:hAnsi="Times New Roman" w:eastAsia="宋体" w:cs="Times New Roman"/>
          <w:b w:val="0"/>
          <w:i w:val="0"/>
          <w:strike w:val="0"/>
          <w:color w:val="auto"/>
          <w:sz w:val="24"/>
          <w:szCs w:val="28"/>
          <w:u w:val="none"/>
          <w:lang w:val="en-US" w:eastAsia="zh-CN"/>
        </w:rPr>
      </w:pPr>
      <w:r>
        <w:rPr>
          <w:rFonts w:hint="eastAsia" w:ascii="Times New Roman" w:hAnsi="Times New Roman" w:cs="Times New Roman"/>
          <w:b w:val="0"/>
          <w:i w:val="0"/>
          <w:strike w:val="0"/>
          <w:color w:val="auto"/>
          <w:sz w:val="24"/>
          <w:szCs w:val="28"/>
          <w:u w:val="none"/>
          <w:lang w:val="en-US" w:eastAsia="zh-CN"/>
        </w:rPr>
        <w:t xml:space="preserve">              </w:t>
      </w:r>
    </w:p>
    <w:p w14:paraId="259D206E">
      <w:pPr>
        <w:wordWrap w:val="0"/>
        <w:spacing w:after="120" w:afterAutospacing="0" w:line="300" w:lineRule="auto"/>
        <w:ind w:left="480" w:leftChars="0" w:firstLine="0" w:firstLineChars="0"/>
        <w:jc w:val="right"/>
        <w:rPr>
          <w:rFonts w:hint="eastAsia" w:ascii="Times New Roman" w:hAnsi="Times New Roman" w:cs="Times New Roman"/>
          <w:b w:val="0"/>
          <w:i w:val="0"/>
          <w:strike w:val="0"/>
          <w:color w:val="auto"/>
          <w:sz w:val="24"/>
          <w:szCs w:val="28"/>
          <w:u w:val="none"/>
          <w:lang w:val="en-US" w:eastAsia="zh-CN"/>
        </w:rPr>
      </w:pPr>
      <w:r>
        <w:rPr>
          <w:rFonts w:hint="eastAsia" w:ascii="Times New Roman" w:hAnsi="Times New Roman" w:cs="Times New Roman"/>
          <w:b w:val="0"/>
          <w:i w:val="0"/>
          <w:strike w:val="0"/>
          <w:color w:val="auto"/>
          <w:sz w:val="24"/>
          <w:szCs w:val="28"/>
          <w:u w:val="none"/>
          <w:lang w:val="en-US" w:eastAsia="zh-CN"/>
        </w:rPr>
        <w:t xml:space="preserve">委托代理人（签字）：                </w:t>
      </w:r>
    </w:p>
    <w:p w14:paraId="574EC959">
      <w:pPr>
        <w:wordWrap/>
        <w:spacing w:after="120" w:afterAutospacing="0" w:line="300" w:lineRule="auto"/>
        <w:ind w:left="480" w:leftChars="0" w:firstLine="0" w:firstLineChars="0"/>
        <w:jc w:val="right"/>
        <w:rPr>
          <w:rFonts w:hint="default" w:ascii="Times New Roman" w:hAnsi="Times New Roman" w:cs="Times New Roman"/>
          <w:b w:val="0"/>
          <w:i w:val="0"/>
          <w:strike w:val="0"/>
          <w:color w:val="auto"/>
          <w:sz w:val="24"/>
          <w:szCs w:val="28"/>
          <w:u w:val="none"/>
          <w:lang w:val="en-US" w:eastAsia="zh-CN"/>
        </w:rPr>
      </w:pPr>
    </w:p>
    <w:p w14:paraId="4BAEA254">
      <w:pPr>
        <w:pStyle w:val="3"/>
        <w:keepNext w:val="0"/>
        <w:keepLines w:val="0"/>
        <w:pageBreakBefore w:val="0"/>
        <w:widowControl/>
        <w:kinsoku/>
        <w:wordWrap/>
        <w:overflowPunct/>
        <w:topLinePunct w:val="0"/>
        <w:autoSpaceDE/>
        <w:autoSpaceDN/>
        <w:bidi w:val="0"/>
        <w:adjustRightInd/>
        <w:snapToGrid/>
        <w:spacing w:after="0" w:line="420" w:lineRule="exact"/>
        <w:ind w:left="0" w:leftChars="0" w:firstLine="480" w:firstLineChars="200"/>
        <w:jc w:val="right"/>
        <w:textAlignment w:val="auto"/>
        <w:rPr>
          <w:rFonts w:hint="default" w:ascii="Times New Roman" w:hAnsi="Times New Roman" w:eastAsia="宋体" w:cs="Times New Roman"/>
          <w:sz w:val="22"/>
          <w:szCs w:val="22"/>
          <w:lang w:val="en-US" w:eastAsia="zh-CN"/>
        </w:rPr>
      </w:pPr>
      <w:r>
        <w:rPr>
          <w:rFonts w:hint="eastAsia" w:ascii="Times New Roman" w:hAnsi="Times New Roman" w:eastAsia="宋体" w:cs="Times New Roman"/>
          <w:b w:val="0"/>
          <w:i w:val="0"/>
          <w:strike w:val="0"/>
          <w:color w:val="auto"/>
          <w:sz w:val="24"/>
          <w:szCs w:val="28"/>
          <w:u w:val="none"/>
        </w:rPr>
        <w:t>日期：2025年 月 日</w:t>
      </w:r>
      <w:r>
        <w:rPr>
          <w:rFonts w:hint="eastAsia" w:ascii="Times New Roman" w:hAnsi="Times New Roman" w:cs="Times New Roman"/>
          <w:b w:val="0"/>
          <w:i w:val="0"/>
          <w:strike w:val="0"/>
          <w:color w:val="auto"/>
          <w:sz w:val="24"/>
          <w:szCs w:val="28"/>
          <w:u w:val="none"/>
          <w:lang w:val="en-US" w:eastAsia="zh-CN"/>
        </w:rPr>
        <w:t xml:space="preserve">  </w:t>
      </w:r>
      <w:r>
        <w:rPr>
          <w:rFonts w:hint="eastAsia" w:ascii="Times New Roman" w:hAnsi="Times New Roman" w:cs="Times New Roman"/>
          <w:b w:val="0"/>
          <w:i w:val="0"/>
          <w:strike w:val="0"/>
          <w:color w:val="auto"/>
          <w:sz w:val="22"/>
          <w:szCs w:val="24"/>
          <w:u w:val="none"/>
          <w:lang w:val="en-US" w:eastAsia="zh-CN"/>
        </w:rPr>
        <w:t xml:space="preserve">           </w:t>
      </w:r>
    </w:p>
    <w:sectPr>
      <w:footerReference r:id="rId5" w:type="default"/>
      <w:pgSz w:w="11906" w:h="16838"/>
      <w:pgMar w:top="1440" w:right="1800" w:bottom="1440" w:left="180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firstLine="480"/>
      </w:pPr>
      <w:r>
        <w:separator/>
      </w:r>
    </w:p>
  </w:endnote>
  <w:endnote w:type="continuationSeparator" w:id="1">
    <w:p>
      <w:pPr>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onsolas">
    <w:panose1 w:val="020B0609020204030204"/>
    <w:charset w:val="00"/>
    <w:family w:val="auto"/>
    <w:pitch w:val="default"/>
    <w:sig w:usb0="E00006FF" w:usb1="0000FCFF" w:usb2="00000001" w:usb3="00000000" w:csb0="6000019F" w:csb1="DFD70000"/>
  </w:font>
  <w:font w:name="Calibri Light">
    <w:panose1 w:val="020F0302020204030204"/>
    <w:charset w:val="00"/>
    <w:family w:val="auto"/>
    <w:pitch w:val="default"/>
    <w:sig w:usb0="E4002EFF" w:usb1="C200247B" w:usb2="00000009" w:usb3="00000000" w:csb0="200001FF" w:csb1="00000000"/>
  </w:font>
  <w:font w:name="新宋体">
    <w:panose1 w:val="02010609030101010101"/>
    <w:charset w:val="86"/>
    <w:family w:val="auto"/>
    <w:pitch w:val="default"/>
    <w:sig w:usb0="000002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3915E4">
    <w:pPr>
      <w:pStyle w:val="15"/>
    </w:pPr>
    <w:r>
      <w:rPr>
        <w:sz w:val="18"/>
      </w:rP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14:paraId="010F2012">
                          <w:pPr>
                            <w:pStyle w:val="15"/>
                          </w:pPr>
                          <w:r>
                            <w:fldChar w:fldCharType="begin"/>
                          </w:r>
                          <w:r>
                            <w:instrText xml:space="preserve"> PAGE  \* MERGEFORMAT </w:instrText>
                          </w:r>
                          <w:r>
                            <w:fldChar w:fldCharType="separate"/>
                          </w:r>
                          <w:r>
                            <w:t>1</w:t>
                          </w:r>
                          <w:r>
                            <w:fldChar w:fldCharType="end"/>
                          </w:r>
                        </w:p>
                      </w:txbxContent>
                    </wps:txbx>
                    <wps:bodyPr vert="horz" wrap="none" lIns="0" tIns="0" rIns="0" bIns="0" anchor="t" upright="0">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EySV/7SAQAAn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8jZMYA+dHmSEg0Mb4+RqGSeqfHYbeJDz5aVTiOW5uLvPJ96+K22fwB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C5dblS0AAAAAUBAAAPAAAAAAAAAAEAIAAAACIAAABkcnMv&#10;ZG93bnJldi54bWxQSwECFAAUAAAACACHTuJATJJX/tIBAACeAwAADgAAAAAAAAABACAAAAAfAQAA&#10;ZHJzL2Uyb0RvYy54bWxQSwUGAAAAAAYABgBZAQAAYwUAAAAA&#10;">
              <v:fill on="f" focussize="0,0"/>
              <v:stroke on="f"/>
              <v:imagedata o:title=""/>
              <o:lock v:ext="edit" aspectratio="f"/>
              <v:textbox inset="0mm,0mm,0mm,0mm" style="mso-fit-shape-to-text:t;">
                <w:txbxContent>
                  <w:p w14:paraId="010F2012">
                    <w:pPr>
                      <w:pStyle w:val="15"/>
                    </w:pPr>
                    <w:r>
                      <w:fldChar w:fldCharType="begin"/>
                    </w:r>
                    <w:r>
                      <w:instrText xml:space="preserve"> PAGE  \* MERGEFORMAT </w:instrText>
                    </w:r>
                    <w:r>
                      <w:fldChar w:fldCharType="separate"/>
                    </w:r>
                    <w:r>
                      <w:t>1</w:t>
                    </w:r>
                    <w:r>
                      <w:fldChar w:fldCharType="end"/>
                    </w:r>
                  </w:p>
                </w:txbxContent>
              </v:textbox>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ind w:firstLine="480"/>
      </w:pPr>
      <w:r>
        <w:separator/>
      </w:r>
    </w:p>
  </w:footnote>
  <w:footnote w:type="continuationSeparator" w:id="1">
    <w:p>
      <w:pPr>
        <w:spacing w:before="0" w:after="0"/>
        <w:ind w:firstLine="480"/>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1"/>
      <w:numFmt w:val="decimal"/>
      <w:suff w:val="space"/>
      <w:lvlText w:val="%1."/>
      <w:lvlJc w:val="left"/>
      <w:pPr>
        <w:ind w:left="0" w:firstLine="0"/>
      </w:pPr>
      <w:rPr>
        <w:rFonts w:hint="default"/>
      </w:rPr>
    </w:lvl>
  </w:abstractNum>
  <w:abstractNum w:abstractNumId="1">
    <w:nsid w:val="00000001"/>
    <w:multiLevelType w:val="singleLevel"/>
    <w:tmpl w:val="00000001"/>
    <w:lvl w:ilvl="0" w:tentative="0">
      <w:start w:val="1"/>
      <w:numFmt w:val="decimal"/>
      <w:suff w:val="space"/>
      <w:lvlText w:val="%1."/>
      <w:lvlJc w:val="left"/>
      <w:pPr>
        <w:ind w:left="0" w:firstLine="480"/>
      </w:pPr>
      <w:rPr>
        <w:rFonts w:hint="default"/>
      </w:rPr>
    </w:lvl>
  </w:abstractNum>
  <w:abstractNum w:abstractNumId="2">
    <w:nsid w:val="00000002"/>
    <w:multiLevelType w:val="singleLevel"/>
    <w:tmpl w:val="00000002"/>
    <w:lvl w:ilvl="0" w:tentative="0">
      <w:start w:val="1"/>
      <w:numFmt w:val="chineseCounting"/>
      <w:suff w:val="nothing"/>
      <w:lvlText w:val="%1、"/>
      <w:lvlJc w:val="left"/>
      <w:pPr>
        <w:ind w:left="0" w:firstLine="0"/>
      </w:pPr>
      <w:rPr>
        <w:rFonts w:hint="eastAsia"/>
      </w:rPr>
    </w:lvl>
  </w:abstractNum>
  <w:abstractNum w:abstractNumId="3">
    <w:nsid w:val="00000003"/>
    <w:multiLevelType w:val="singleLevel"/>
    <w:tmpl w:val="00000003"/>
    <w:lvl w:ilvl="0" w:tentative="0">
      <w:start w:val="1"/>
      <w:numFmt w:val="decimal"/>
      <w:suff w:val="space"/>
      <w:lvlText w:val="%1."/>
      <w:lvlJc w:val="left"/>
      <w:pPr>
        <w:ind w:left="0" w:firstLine="482"/>
      </w:pPr>
      <w:rPr>
        <w:rFonts w:hint="default"/>
      </w:rPr>
    </w:lvl>
  </w:abstractNum>
  <w:abstractNum w:abstractNumId="4">
    <w:nsid w:val="00000004"/>
    <w:multiLevelType w:val="singleLevel"/>
    <w:tmpl w:val="00000004"/>
    <w:lvl w:ilvl="0" w:tentative="0">
      <w:start w:val="1"/>
      <w:numFmt w:val="decimal"/>
      <w:suff w:val="space"/>
      <w:lvlText w:val="%1."/>
      <w:lvlJc w:val="left"/>
      <w:pPr>
        <w:ind w:left="0" w:firstLine="480"/>
      </w:pPr>
      <w:rPr>
        <w:rFonts w:hint="default"/>
      </w:rPr>
    </w:lvl>
  </w:abstractNum>
  <w:abstractNum w:abstractNumId="5">
    <w:nsid w:val="03E2C263"/>
    <w:multiLevelType w:val="singleLevel"/>
    <w:tmpl w:val="03E2C263"/>
    <w:lvl w:ilvl="0" w:tentative="0">
      <w:start w:val="1"/>
      <w:numFmt w:val="decimal"/>
      <w:lvlText w:val="%1."/>
      <w:lvlJc w:val="left"/>
      <w:pPr>
        <w:tabs>
          <w:tab w:val="left" w:pos="210"/>
        </w:tabs>
        <w:ind w:left="0" w:firstLine="480"/>
      </w:pPr>
      <w:rPr>
        <w:rFonts w:hint="default"/>
      </w:rPr>
    </w:lvl>
  </w:abstractNum>
  <w:abstractNum w:abstractNumId="6">
    <w:nsid w:val="34B1A03A"/>
    <w:multiLevelType w:val="singleLevel"/>
    <w:tmpl w:val="34B1A03A"/>
    <w:lvl w:ilvl="0" w:tentative="0">
      <w:start w:val="1"/>
      <w:numFmt w:val="decimal"/>
      <w:lvlText w:val="%1."/>
      <w:lvlJc w:val="left"/>
      <w:pPr>
        <w:tabs>
          <w:tab w:val="left" w:pos="210"/>
        </w:tabs>
        <w:ind w:left="0" w:firstLine="482"/>
      </w:pPr>
      <w:rPr>
        <w:rFonts w:hint="default"/>
      </w:rPr>
    </w:lvl>
  </w:abstractNum>
  <w:abstractNum w:abstractNumId="7">
    <w:nsid w:val="6632F4BF"/>
    <w:multiLevelType w:val="singleLevel"/>
    <w:tmpl w:val="6632F4BF"/>
    <w:lvl w:ilvl="0" w:tentative="0">
      <w:start w:val="1"/>
      <w:numFmt w:val="chineseCounting"/>
      <w:suff w:val="nothing"/>
      <w:lvlText w:val="%1、"/>
      <w:lvlJc w:val="left"/>
      <w:pPr>
        <w:ind w:left="0" w:firstLine="482"/>
      </w:pPr>
      <w:rPr>
        <w:rFonts w:hint="eastAsia"/>
      </w:rPr>
    </w:lvl>
  </w:abstractNum>
  <w:num w:numId="1">
    <w:abstractNumId w:val="2"/>
  </w:num>
  <w:num w:numId="2">
    <w:abstractNumId w:val="4"/>
  </w:num>
  <w:num w:numId="3">
    <w:abstractNumId w:val="0"/>
  </w:num>
  <w:num w:numId="4">
    <w:abstractNumId w:val="3"/>
  </w:num>
  <w:num w:numId="5">
    <w:abstractNumId w:val="1"/>
  </w:num>
  <w:num w:numId="6">
    <w:abstractNumId w:val="7"/>
  </w:num>
  <w:num w:numId="7">
    <w:abstractNumId w:val="6"/>
  </w:num>
  <w:num w:numId="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NotTrackMoves/>
  <w:documentProtection w:enforcement="0"/>
  <w:defaultTabStop w:val="720"/>
  <w:drawingGridHorizontalSpacing w:val="360"/>
  <w:drawingGridVerticalSpacing w:val="36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7E83187"/>
    <w:rsid w:val="13FD6524"/>
    <w:rsid w:val="2ED559A0"/>
    <w:rsid w:val="3EE02537"/>
    <w:rsid w:val="50493828"/>
  </w:rsids>
  <m:mathPr>
    <m:mathFont m:val="Cambria Math"/>
    <m:brkBin m:val="before"/>
    <m:brkBinSub m:val="--"/>
    <m:smallFrac m:val="0"/>
    <m:dispDef/>
    <m:lMargin m:val="0"/>
    <m:rMargin m:val="0"/>
    <m:defJc m:val="centerGroup"/>
    <m:wrapRight m:val="1"/>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9"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nhideWhenUsed="0" w:uiPriority="9"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before="100" w:beforeAutospacing="1" w:after="100" w:afterAutospacing="1"/>
      <w:ind w:firstLine="560" w:firstLineChars="200"/>
      <w:jc w:val="both"/>
    </w:pPr>
    <w:rPr>
      <w:rFonts w:ascii="微软雅黑" w:hAnsi="微软雅黑" w:eastAsia="微软雅黑" w:cs="宋体"/>
      <w:sz w:val="24"/>
      <w:szCs w:val="24"/>
      <w:lang w:val="en-US" w:eastAsia="en-US" w:bidi="ar-SA"/>
    </w:rPr>
  </w:style>
  <w:style w:type="paragraph" w:styleId="2">
    <w:name w:val="heading 1"/>
    <w:next w:val="3"/>
    <w:qFormat/>
    <w:uiPriority w:val="9"/>
    <w:pPr>
      <w:widowControl w:val="0"/>
      <w:adjustRightInd w:val="0"/>
      <w:spacing w:before="320" w:line="300" w:lineRule="auto"/>
      <w:jc w:val="both"/>
      <w:outlineLvl w:val="0"/>
    </w:pPr>
    <w:rPr>
      <w:rFonts w:ascii="Times New Roman" w:hAnsi="Times New Roman" w:eastAsia="黑体" w:cs="Times New Roman"/>
      <w:color w:val="000000"/>
      <w:kern w:val="44"/>
      <w:sz w:val="32"/>
      <w:szCs w:val="44"/>
      <w:lang w:bidi="ar-SA"/>
    </w:rPr>
  </w:style>
  <w:style w:type="paragraph" w:styleId="4">
    <w:name w:val="heading 2"/>
    <w:next w:val="3"/>
    <w:qFormat/>
    <w:uiPriority w:val="9"/>
    <w:pPr>
      <w:widowControl w:val="0"/>
      <w:adjustRightInd w:val="0"/>
      <w:spacing w:before="280" w:line="300" w:lineRule="auto"/>
      <w:jc w:val="both"/>
      <w:outlineLvl w:val="1"/>
    </w:pPr>
    <w:rPr>
      <w:rFonts w:ascii="Times New Roman" w:hAnsi="Times New Roman" w:eastAsia="黑体" w:cs="Times New Roman"/>
      <w:kern w:val="2"/>
      <w:sz w:val="30"/>
      <w:szCs w:val="32"/>
      <w:lang w:bidi="ar-SA"/>
    </w:rPr>
  </w:style>
  <w:style w:type="paragraph" w:styleId="5">
    <w:name w:val="heading 3"/>
    <w:next w:val="3"/>
    <w:qFormat/>
    <w:uiPriority w:val="9"/>
    <w:pPr>
      <w:keepNext/>
      <w:keepLines/>
      <w:widowControl w:val="0"/>
      <w:adjustRightInd w:val="0"/>
      <w:spacing w:before="240" w:line="300" w:lineRule="auto"/>
      <w:jc w:val="both"/>
      <w:outlineLvl w:val="2"/>
    </w:pPr>
    <w:rPr>
      <w:rFonts w:ascii="Times New Roman" w:hAnsi="Times New Roman" w:eastAsia="黑体" w:cs="Times New Roman"/>
      <w:kern w:val="2"/>
      <w:sz w:val="30"/>
      <w:szCs w:val="24"/>
      <w:lang w:bidi="ar-SA"/>
    </w:rPr>
  </w:style>
  <w:style w:type="paragraph" w:styleId="6">
    <w:name w:val="heading 4"/>
    <w:next w:val="3"/>
    <w:qFormat/>
    <w:uiPriority w:val="9"/>
    <w:pPr>
      <w:keepNext/>
      <w:keepLines/>
      <w:widowControl w:val="0"/>
      <w:adjustRightInd w:val="0"/>
      <w:spacing w:before="200" w:line="300" w:lineRule="auto"/>
      <w:jc w:val="both"/>
      <w:outlineLvl w:val="3"/>
    </w:pPr>
    <w:rPr>
      <w:rFonts w:ascii="Times New Roman" w:hAnsi="Times New Roman" w:eastAsia="黑体" w:cs="Times New Roman"/>
      <w:bCs/>
      <w:kern w:val="2"/>
      <w:sz w:val="28"/>
      <w:szCs w:val="28"/>
      <w:lang w:bidi="ar-SA"/>
    </w:rPr>
  </w:style>
  <w:style w:type="paragraph" w:styleId="7">
    <w:name w:val="heading 5"/>
    <w:next w:val="3"/>
    <w:qFormat/>
    <w:uiPriority w:val="9"/>
    <w:pPr>
      <w:keepNext/>
      <w:keepLines/>
      <w:widowControl w:val="0"/>
      <w:adjustRightInd w:val="0"/>
      <w:spacing w:before="160" w:line="300" w:lineRule="auto"/>
      <w:jc w:val="both"/>
      <w:outlineLvl w:val="4"/>
    </w:pPr>
    <w:rPr>
      <w:rFonts w:ascii="Times New Roman" w:hAnsi="Times New Roman" w:eastAsia="黑体" w:cs="Times New Roman"/>
      <w:bCs/>
      <w:kern w:val="2"/>
      <w:sz w:val="28"/>
      <w:szCs w:val="28"/>
      <w:lang w:bidi="ar-SA"/>
    </w:rPr>
  </w:style>
  <w:style w:type="paragraph" w:styleId="8">
    <w:name w:val="heading 6"/>
    <w:next w:val="3"/>
    <w:qFormat/>
    <w:uiPriority w:val="9"/>
    <w:pPr>
      <w:keepNext/>
      <w:keepLines/>
      <w:widowControl w:val="0"/>
      <w:adjustRightInd w:val="0"/>
      <w:spacing w:before="120" w:line="300" w:lineRule="auto"/>
      <w:jc w:val="both"/>
      <w:outlineLvl w:val="5"/>
    </w:pPr>
    <w:rPr>
      <w:rFonts w:ascii="Times New Roman" w:hAnsi="Times New Roman" w:eastAsia="黑体" w:cs="Times New Roman"/>
      <w:bCs/>
      <w:kern w:val="2"/>
      <w:sz w:val="28"/>
      <w:szCs w:val="24"/>
      <w:lang w:bidi="ar-SA"/>
    </w:rPr>
  </w:style>
  <w:style w:type="paragraph" w:styleId="9">
    <w:name w:val="heading 7"/>
    <w:next w:val="3"/>
    <w:qFormat/>
    <w:uiPriority w:val="9"/>
    <w:pPr>
      <w:keepNext/>
      <w:keepLines/>
      <w:widowControl w:val="0"/>
      <w:adjustRightInd w:val="0"/>
      <w:spacing w:before="120" w:line="300" w:lineRule="auto"/>
      <w:jc w:val="both"/>
      <w:outlineLvl w:val="6"/>
    </w:pPr>
    <w:rPr>
      <w:rFonts w:ascii="Times New Roman" w:hAnsi="Times New Roman" w:eastAsia="黑体" w:cs="Times New Roman"/>
      <w:bCs/>
      <w:kern w:val="2"/>
      <w:sz w:val="24"/>
      <w:szCs w:val="24"/>
      <w:lang w:bidi="ar-SA"/>
    </w:rPr>
  </w:style>
  <w:style w:type="paragraph" w:styleId="10">
    <w:name w:val="heading 8"/>
    <w:next w:val="3"/>
    <w:qFormat/>
    <w:uiPriority w:val="9"/>
    <w:pPr>
      <w:keepNext/>
      <w:keepLines/>
      <w:widowControl w:val="0"/>
      <w:adjustRightInd w:val="0"/>
      <w:spacing w:before="120" w:line="300" w:lineRule="auto"/>
      <w:jc w:val="both"/>
      <w:outlineLvl w:val="7"/>
    </w:pPr>
    <w:rPr>
      <w:rFonts w:ascii="Times New Roman" w:hAnsi="Times New Roman" w:eastAsia="黑体" w:cs="Times New Roman"/>
      <w:kern w:val="2"/>
      <w:sz w:val="24"/>
      <w:szCs w:val="24"/>
      <w:lang w:bidi="ar-SA"/>
    </w:rPr>
  </w:style>
  <w:style w:type="paragraph" w:styleId="11">
    <w:name w:val="heading 9"/>
    <w:next w:val="3"/>
    <w:qFormat/>
    <w:uiPriority w:val="9"/>
    <w:pPr>
      <w:keepNext/>
      <w:keepLines/>
      <w:widowControl w:val="0"/>
      <w:adjustRightInd w:val="0"/>
      <w:spacing w:before="120" w:line="300" w:lineRule="auto"/>
      <w:jc w:val="both"/>
      <w:outlineLvl w:val="8"/>
    </w:pPr>
    <w:rPr>
      <w:rFonts w:ascii="Times New Roman" w:hAnsi="Times New Roman" w:eastAsia="黑体" w:cs="Times New Roman"/>
      <w:kern w:val="2"/>
      <w:sz w:val="21"/>
      <w:szCs w:val="21"/>
      <w:lang w:bidi="ar-SA"/>
    </w:rPr>
  </w:style>
  <w:style w:type="character" w:default="1" w:styleId="22">
    <w:name w:val="Default Paragraph Font"/>
    <w:qFormat/>
    <w:uiPriority w:val="0"/>
  </w:style>
  <w:style w:type="table" w:default="1" w:styleId="21">
    <w:name w:val="Normal Table"/>
    <w:qFormat/>
    <w:uiPriority w:val="0"/>
    <w:tblPr>
      <w:tblCellMar>
        <w:top w:w="0" w:type="dxa"/>
        <w:left w:w="108" w:type="dxa"/>
        <w:bottom w:w="0" w:type="dxa"/>
        <w:right w:w="108" w:type="dxa"/>
      </w:tblCellMar>
    </w:tblPr>
  </w:style>
  <w:style w:type="paragraph" w:styleId="3">
    <w:name w:val="Body Text"/>
    <w:link w:val="24"/>
    <w:qFormat/>
    <w:uiPriority w:val="0"/>
    <w:pPr>
      <w:widowControl w:val="0"/>
      <w:adjustRightInd w:val="0"/>
      <w:spacing w:before="100" w:after="100" w:afterAutospacing="0" w:line="300" w:lineRule="auto"/>
      <w:ind w:firstLine="1044" w:firstLineChars="200"/>
      <w:jc w:val="both"/>
    </w:pPr>
    <w:rPr>
      <w:rFonts w:ascii="Times New Roman" w:hAnsi="Times New Roman" w:eastAsia="宋体" w:cs="Times New Roman"/>
      <w:kern w:val="2"/>
      <w:sz w:val="24"/>
      <w:szCs w:val="24"/>
      <w:lang w:bidi="ar-SA"/>
    </w:rPr>
  </w:style>
  <w:style w:type="paragraph" w:styleId="12">
    <w:name w:val="caption"/>
    <w:basedOn w:val="1"/>
    <w:qFormat/>
    <w:uiPriority w:val="0"/>
    <w:pPr>
      <w:spacing w:before="0" w:after="120"/>
    </w:pPr>
    <w:rPr>
      <w:i/>
    </w:rPr>
  </w:style>
  <w:style w:type="paragraph" w:styleId="13">
    <w:name w:val="Block Text"/>
    <w:basedOn w:val="3"/>
    <w:next w:val="3"/>
    <w:qFormat/>
    <w:uiPriority w:val="9"/>
    <w:pPr>
      <w:spacing w:before="100" w:after="100"/>
      <w:ind w:left="480" w:right="480" w:firstLine="0"/>
    </w:pPr>
  </w:style>
  <w:style w:type="paragraph" w:styleId="14">
    <w:name w:val="Date"/>
    <w:next w:val="3"/>
    <w:qFormat/>
    <w:uiPriority w:val="0"/>
    <w:pPr>
      <w:keepNext/>
      <w:keepLines/>
      <w:spacing w:after="200"/>
      <w:jc w:val="center"/>
    </w:pPr>
    <w:rPr>
      <w:rFonts w:ascii="微软雅黑" w:hAnsi="微软雅黑" w:eastAsia="微软雅黑" w:cs="宋体"/>
      <w:sz w:val="24"/>
      <w:szCs w:val="24"/>
      <w:lang w:val="en-US" w:eastAsia="en-US" w:bidi="ar-SA"/>
    </w:rPr>
  </w:style>
  <w:style w:type="paragraph" w:styleId="15">
    <w:name w:val="footer"/>
    <w:basedOn w:val="1"/>
    <w:uiPriority w:val="0"/>
    <w:pPr>
      <w:tabs>
        <w:tab w:val="center" w:pos="4153"/>
        <w:tab w:val="right" w:pos="8306"/>
      </w:tabs>
      <w:snapToGrid w:val="0"/>
      <w:jc w:val="left"/>
    </w:pPr>
    <w:rPr>
      <w:sz w:val="18"/>
    </w:rPr>
  </w:style>
  <w:style w:type="paragraph" w:styleId="1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7">
    <w:name w:val="Subtitle"/>
    <w:next w:val="3"/>
    <w:qFormat/>
    <w:uiPriority w:val="0"/>
    <w:pPr>
      <w:widowControl w:val="0"/>
      <w:adjustRightInd w:val="0"/>
      <w:spacing w:before="100" w:after="100" w:line="240" w:lineRule="auto"/>
      <w:jc w:val="center"/>
      <w:outlineLvl w:val="9"/>
    </w:pPr>
    <w:rPr>
      <w:rFonts w:ascii="Times New Roman" w:hAnsi="Times New Roman" w:eastAsia="黑体" w:cs="Times New Roman"/>
      <w:kern w:val="28"/>
      <w:sz w:val="32"/>
      <w:szCs w:val="24"/>
      <w:lang w:bidi="ar-SA"/>
    </w:rPr>
  </w:style>
  <w:style w:type="paragraph" w:styleId="18">
    <w:name w:val="footnote text"/>
    <w:basedOn w:val="1"/>
    <w:qFormat/>
    <w:uiPriority w:val="9"/>
    <w:rPr>
      <w:rFonts w:ascii="微软雅黑" w:hAnsi="微软雅黑" w:eastAsia="微软雅黑"/>
    </w:rPr>
  </w:style>
  <w:style w:type="paragraph" w:styleId="19">
    <w:name w:val="Normal (Web)"/>
    <w:basedOn w:val="1"/>
    <w:qFormat/>
    <w:uiPriority w:val="0"/>
    <w:pPr>
      <w:spacing w:beforeAutospacing="1" w:afterAutospacing="1"/>
    </w:pPr>
    <w:rPr>
      <w:rFonts w:cs="微软雅黑"/>
      <w:lang w:eastAsia="zh-CN"/>
    </w:rPr>
  </w:style>
  <w:style w:type="paragraph" w:styleId="20">
    <w:name w:val="Title"/>
    <w:qFormat/>
    <w:uiPriority w:val="0"/>
    <w:pPr>
      <w:widowControl w:val="0"/>
      <w:adjustRightInd w:val="0"/>
      <w:spacing w:before="100" w:beforeAutospacing="0" w:after="100" w:afterAutospacing="0" w:line="240" w:lineRule="auto"/>
      <w:jc w:val="center"/>
      <w:outlineLvl w:val="9"/>
    </w:pPr>
    <w:rPr>
      <w:rFonts w:ascii="Times New Roman" w:hAnsi="Times New Roman" w:eastAsia="黑体" w:cs="Times New Roman"/>
      <w:kern w:val="2"/>
      <w:sz w:val="36"/>
      <w:szCs w:val="24"/>
      <w:lang w:bidi="ar-SA"/>
    </w:rPr>
  </w:style>
  <w:style w:type="character" w:styleId="23">
    <w:name w:val="Hyperlink"/>
    <w:basedOn w:val="24"/>
    <w:qFormat/>
    <w:uiPriority w:val="0"/>
    <w:rPr>
      <w:color w:val="0070C0"/>
      <w:u w:val="single"/>
    </w:rPr>
  </w:style>
  <w:style w:type="character" w:customStyle="1" w:styleId="24">
    <w:name w:val="Body Text Char"/>
    <w:basedOn w:val="22"/>
    <w:link w:val="3"/>
    <w:qFormat/>
    <w:uiPriority w:val="0"/>
    <w:rPr>
      <w:rFonts w:ascii="微软雅黑" w:hAnsi="微软雅黑" w:eastAsia="微软雅黑"/>
    </w:rPr>
  </w:style>
  <w:style w:type="character" w:styleId="25">
    <w:name w:val="footnote reference"/>
    <w:basedOn w:val="24"/>
    <w:qFormat/>
    <w:uiPriority w:val="0"/>
    <w:rPr>
      <w:vertAlign w:val="superscript"/>
    </w:rPr>
  </w:style>
  <w:style w:type="paragraph" w:customStyle="1" w:styleId="26">
    <w:name w:val="First Paragraph"/>
    <w:basedOn w:val="3"/>
    <w:next w:val="3"/>
    <w:qFormat/>
    <w:uiPriority w:val="0"/>
    <w:pPr>
      <w:ind w:firstLine="720" w:firstLineChars="200"/>
      <w:jc w:val="both"/>
    </w:pPr>
  </w:style>
  <w:style w:type="paragraph" w:customStyle="1" w:styleId="27">
    <w:name w:val="Compact"/>
    <w:basedOn w:val="3"/>
    <w:qFormat/>
    <w:uiPriority w:val="0"/>
    <w:pPr>
      <w:spacing w:before="36" w:after="36"/>
    </w:pPr>
  </w:style>
  <w:style w:type="paragraph" w:customStyle="1" w:styleId="28">
    <w:name w:val="Author"/>
    <w:next w:val="3"/>
    <w:qFormat/>
    <w:uiPriority w:val="0"/>
    <w:pPr>
      <w:keepNext/>
      <w:keepLines/>
      <w:spacing w:after="200"/>
      <w:jc w:val="center"/>
    </w:pPr>
    <w:rPr>
      <w:rFonts w:ascii="微软雅黑" w:hAnsi="微软雅黑" w:eastAsia="微软雅黑" w:cs="宋体"/>
      <w:sz w:val="24"/>
      <w:szCs w:val="24"/>
      <w:lang w:val="en-US" w:eastAsia="en-US" w:bidi="ar-SA"/>
    </w:rPr>
  </w:style>
  <w:style w:type="paragraph" w:customStyle="1" w:styleId="29">
    <w:name w:val="Abstract Title"/>
    <w:basedOn w:val="1"/>
    <w:next w:val="30"/>
    <w:qFormat/>
    <w:uiPriority w:val="0"/>
    <w:pPr>
      <w:keepNext/>
      <w:keepLines/>
      <w:spacing w:before="300" w:after="0"/>
      <w:jc w:val="center"/>
    </w:pPr>
    <w:rPr>
      <w:b/>
      <w:color w:val="345A8A"/>
      <w:sz w:val="20"/>
      <w:szCs w:val="20"/>
    </w:rPr>
  </w:style>
  <w:style w:type="paragraph" w:customStyle="1" w:styleId="30">
    <w:name w:val="Abstract"/>
    <w:basedOn w:val="1"/>
    <w:next w:val="3"/>
    <w:qFormat/>
    <w:uiPriority w:val="0"/>
    <w:pPr>
      <w:keepNext/>
      <w:keepLines/>
      <w:spacing w:before="100" w:after="300"/>
    </w:pPr>
    <w:rPr>
      <w:rFonts w:ascii="微软雅黑" w:hAnsi="微软雅黑" w:eastAsia="微软雅黑"/>
      <w:sz w:val="20"/>
      <w:szCs w:val="20"/>
    </w:rPr>
  </w:style>
  <w:style w:type="paragraph" w:customStyle="1" w:styleId="31">
    <w:name w:val="Bibliography_f673cdbb-3fcc-44c2-9f57-ae1d5eec7478"/>
    <w:basedOn w:val="1"/>
    <w:qFormat/>
    <w:uiPriority w:val="0"/>
  </w:style>
  <w:style w:type="paragraph" w:customStyle="1" w:styleId="32">
    <w:name w:val="Footnote Block Text"/>
    <w:qFormat/>
    <w:uiPriority w:val="9"/>
    <w:pPr>
      <w:spacing w:before="100" w:after="100"/>
      <w:ind w:left="480" w:right="480" w:firstLine="0"/>
    </w:pPr>
    <w:rPr>
      <w:rFonts w:ascii="Calibri" w:hAnsi="Calibri" w:eastAsia="Calibri" w:cs="宋体"/>
      <w:sz w:val="24"/>
      <w:szCs w:val="24"/>
      <w:lang w:val="en-US" w:eastAsia="en-US" w:bidi="ar-SA"/>
    </w:rPr>
  </w:style>
  <w:style w:type="table" w:customStyle="1" w:styleId="33">
    <w:name w:val="Table"/>
    <w:qFormat/>
    <w:uiPriority w:val="0"/>
    <w:tblPr>
      <w:tblCellMar>
        <w:top w:w="0" w:type="dxa"/>
        <w:left w:w="108" w:type="dxa"/>
        <w:bottom w:w="0" w:type="dxa"/>
        <w:right w:w="108" w:type="dxa"/>
      </w:tblCellMar>
    </w:tblPr>
    <w:tblStylePr w:type="firstRow">
      <w:tcPr>
        <w:tcBorders>
          <w:bottom w:val="single" w:color="auto" w:sz="0" w:space="0"/>
        </w:tcBorders>
        <w:vAlign w:val="bottom"/>
      </w:tcPr>
    </w:tblStylePr>
  </w:style>
  <w:style w:type="paragraph" w:customStyle="1" w:styleId="34">
    <w:name w:val="Definition Term"/>
    <w:basedOn w:val="1"/>
    <w:next w:val="35"/>
    <w:qFormat/>
    <w:uiPriority w:val="0"/>
    <w:pPr>
      <w:keepNext/>
      <w:keepLines/>
      <w:spacing w:after="0"/>
    </w:pPr>
    <w:rPr>
      <w:rFonts w:ascii="微软雅黑" w:hAnsi="微软雅黑" w:eastAsia="微软雅黑"/>
      <w:b/>
    </w:rPr>
  </w:style>
  <w:style w:type="paragraph" w:customStyle="1" w:styleId="35">
    <w:name w:val="Definition"/>
    <w:basedOn w:val="1"/>
    <w:qFormat/>
    <w:uiPriority w:val="0"/>
    <w:rPr>
      <w:rFonts w:ascii="微软雅黑" w:hAnsi="微软雅黑" w:eastAsia="微软雅黑"/>
    </w:rPr>
  </w:style>
  <w:style w:type="paragraph" w:customStyle="1" w:styleId="36">
    <w:name w:val="Table Caption"/>
    <w:basedOn w:val="12"/>
    <w:qFormat/>
    <w:uiPriority w:val="0"/>
    <w:pPr>
      <w:keepNext/>
    </w:pPr>
    <w:rPr>
      <w:rFonts w:ascii="微软雅黑" w:hAnsi="微软雅黑" w:eastAsia="微软雅黑"/>
    </w:rPr>
  </w:style>
  <w:style w:type="paragraph" w:customStyle="1" w:styleId="37">
    <w:name w:val="Image Caption"/>
    <w:basedOn w:val="12"/>
    <w:qFormat/>
    <w:uiPriority w:val="0"/>
    <w:rPr>
      <w:rFonts w:ascii="微软雅黑" w:hAnsi="微软雅黑" w:eastAsia="微软雅黑"/>
    </w:rPr>
  </w:style>
  <w:style w:type="paragraph" w:customStyle="1" w:styleId="38">
    <w:name w:val="Figure"/>
    <w:basedOn w:val="1"/>
    <w:qFormat/>
    <w:uiPriority w:val="0"/>
  </w:style>
  <w:style w:type="paragraph" w:customStyle="1" w:styleId="39">
    <w:name w:val="Captioned Figure"/>
    <w:basedOn w:val="38"/>
    <w:qFormat/>
    <w:uiPriority w:val="0"/>
    <w:pPr>
      <w:keepNext/>
    </w:pPr>
  </w:style>
  <w:style w:type="character" w:customStyle="1" w:styleId="40">
    <w:name w:val="Verbatim Char"/>
    <w:basedOn w:val="24"/>
    <w:qFormat/>
    <w:uiPriority w:val="0"/>
    <w:rPr>
      <w:rFonts w:ascii="Consolas" w:hAnsi="Consolas"/>
      <w:sz w:val="22"/>
    </w:rPr>
  </w:style>
  <w:style w:type="character" w:customStyle="1" w:styleId="41">
    <w:name w:val="Section Number"/>
    <w:basedOn w:val="24"/>
    <w:qFormat/>
    <w:uiPriority w:val="0"/>
  </w:style>
  <w:style w:type="paragraph" w:customStyle="1" w:styleId="42">
    <w:name w:val="TOC Heading_00dfc95e-9d43-4d2d-b82a-477479be4906"/>
    <w:basedOn w:val="2"/>
    <w:next w:val="3"/>
    <w:qFormat/>
    <w:uiPriority w:val="39"/>
    <w:pPr>
      <w:tabs>
        <w:tab w:val="left" w:pos="0"/>
      </w:tabs>
      <w:spacing w:before="240" w:line="259" w:lineRule="auto"/>
      <w:outlineLvl w:val="9"/>
    </w:pPr>
    <w:rPr>
      <w:rFonts w:ascii="Calibri Light" w:hAnsi="Calibri Light" w:eastAsia="宋体" w:cs="宋体"/>
      <w:color w:val="2E54A1"/>
    </w:rPr>
  </w:style>
  <w:style w:type="paragraph" w:customStyle="1" w:styleId="43">
    <w:name w:val="Source Code"/>
    <w:qFormat/>
    <w:uiPriority w:val="0"/>
    <w:pPr>
      <w:wordWrap w:val="0"/>
    </w:pPr>
    <w:rPr>
      <w:rFonts w:ascii="Calibri" w:hAnsi="Calibri" w:eastAsia="Calibri" w:cs="宋体"/>
    </w:rPr>
  </w:style>
  <w:style w:type="character" w:customStyle="1" w:styleId="44">
    <w:name w:val="KeywordTok"/>
    <w:qFormat/>
    <w:uiPriority w:val="0"/>
    <w:rPr>
      <w:b/>
      <w:color w:val="007020"/>
    </w:rPr>
  </w:style>
  <w:style w:type="character" w:customStyle="1" w:styleId="45">
    <w:name w:val="DataTypeTok"/>
    <w:qFormat/>
    <w:uiPriority w:val="0"/>
    <w:rPr>
      <w:color w:val="902000"/>
    </w:rPr>
  </w:style>
  <w:style w:type="character" w:customStyle="1" w:styleId="46">
    <w:name w:val="DecValTok"/>
    <w:qFormat/>
    <w:uiPriority w:val="0"/>
    <w:rPr>
      <w:color w:val="40A070"/>
    </w:rPr>
  </w:style>
  <w:style w:type="character" w:customStyle="1" w:styleId="47">
    <w:name w:val="BaseNTok"/>
    <w:qFormat/>
    <w:uiPriority w:val="0"/>
    <w:rPr>
      <w:color w:val="40A070"/>
    </w:rPr>
  </w:style>
  <w:style w:type="character" w:customStyle="1" w:styleId="48">
    <w:name w:val="FloatTok"/>
    <w:qFormat/>
    <w:uiPriority w:val="0"/>
    <w:rPr>
      <w:color w:val="40A070"/>
    </w:rPr>
  </w:style>
  <w:style w:type="character" w:customStyle="1" w:styleId="49">
    <w:name w:val="ConstantTok"/>
    <w:qFormat/>
    <w:uiPriority w:val="0"/>
    <w:rPr>
      <w:color w:val="880000"/>
    </w:rPr>
  </w:style>
  <w:style w:type="character" w:customStyle="1" w:styleId="50">
    <w:name w:val="CharTok"/>
    <w:qFormat/>
    <w:uiPriority w:val="0"/>
    <w:rPr>
      <w:color w:val="4070A0"/>
    </w:rPr>
  </w:style>
  <w:style w:type="character" w:customStyle="1" w:styleId="51">
    <w:name w:val="SpecialCharTok"/>
    <w:qFormat/>
    <w:uiPriority w:val="0"/>
    <w:rPr>
      <w:color w:val="4070A0"/>
    </w:rPr>
  </w:style>
  <w:style w:type="character" w:customStyle="1" w:styleId="52">
    <w:name w:val="StringTok"/>
    <w:qFormat/>
    <w:uiPriority w:val="0"/>
    <w:rPr>
      <w:color w:val="4070A0"/>
    </w:rPr>
  </w:style>
  <w:style w:type="character" w:customStyle="1" w:styleId="53">
    <w:name w:val="VerbatimStringTok"/>
    <w:qFormat/>
    <w:uiPriority w:val="0"/>
    <w:rPr>
      <w:color w:val="4070A0"/>
    </w:rPr>
  </w:style>
  <w:style w:type="character" w:customStyle="1" w:styleId="54">
    <w:name w:val="SpecialStringTok"/>
    <w:qFormat/>
    <w:uiPriority w:val="0"/>
    <w:rPr>
      <w:color w:val="BB6688"/>
    </w:rPr>
  </w:style>
  <w:style w:type="character" w:customStyle="1" w:styleId="55">
    <w:name w:val="ImportTok"/>
    <w:qFormat/>
    <w:uiPriority w:val="0"/>
    <w:rPr>
      <w:b/>
      <w:color w:val="008000"/>
    </w:rPr>
  </w:style>
  <w:style w:type="character" w:customStyle="1" w:styleId="56">
    <w:name w:val="CommentTok"/>
    <w:qFormat/>
    <w:uiPriority w:val="0"/>
    <w:rPr>
      <w:i/>
      <w:color w:val="60A0B0"/>
    </w:rPr>
  </w:style>
  <w:style w:type="character" w:customStyle="1" w:styleId="57">
    <w:name w:val="DocumentationTok"/>
    <w:qFormat/>
    <w:uiPriority w:val="0"/>
    <w:rPr>
      <w:i/>
      <w:color w:val="BA2121"/>
    </w:rPr>
  </w:style>
  <w:style w:type="character" w:customStyle="1" w:styleId="58">
    <w:name w:val="AnnotationTok"/>
    <w:qFormat/>
    <w:uiPriority w:val="0"/>
    <w:rPr>
      <w:b/>
      <w:i/>
      <w:color w:val="60A0B0"/>
    </w:rPr>
  </w:style>
  <w:style w:type="character" w:customStyle="1" w:styleId="59">
    <w:name w:val="CommentVarTok"/>
    <w:qFormat/>
    <w:uiPriority w:val="0"/>
    <w:rPr>
      <w:b/>
      <w:i/>
      <w:color w:val="60A0B0"/>
    </w:rPr>
  </w:style>
  <w:style w:type="character" w:customStyle="1" w:styleId="60">
    <w:name w:val="OtherTok"/>
    <w:qFormat/>
    <w:uiPriority w:val="0"/>
    <w:rPr>
      <w:color w:val="007020"/>
    </w:rPr>
  </w:style>
  <w:style w:type="character" w:customStyle="1" w:styleId="61">
    <w:name w:val="FunctionTok"/>
    <w:qFormat/>
    <w:uiPriority w:val="0"/>
    <w:rPr>
      <w:color w:val="06287E"/>
    </w:rPr>
  </w:style>
  <w:style w:type="character" w:customStyle="1" w:styleId="62">
    <w:name w:val="VariableTok"/>
    <w:qFormat/>
    <w:uiPriority w:val="0"/>
    <w:rPr>
      <w:color w:val="19177C"/>
    </w:rPr>
  </w:style>
  <w:style w:type="character" w:customStyle="1" w:styleId="63">
    <w:name w:val="ControlFlowTok"/>
    <w:qFormat/>
    <w:uiPriority w:val="0"/>
    <w:rPr>
      <w:b/>
      <w:color w:val="007020"/>
    </w:rPr>
  </w:style>
  <w:style w:type="character" w:customStyle="1" w:styleId="64">
    <w:name w:val="OperatorTok"/>
    <w:qFormat/>
    <w:uiPriority w:val="0"/>
    <w:rPr>
      <w:color w:val="666666"/>
    </w:rPr>
  </w:style>
  <w:style w:type="character" w:customStyle="1" w:styleId="65">
    <w:name w:val="BuiltInTok"/>
    <w:qFormat/>
    <w:uiPriority w:val="0"/>
    <w:rPr>
      <w:color w:val="008000"/>
    </w:rPr>
  </w:style>
  <w:style w:type="character" w:customStyle="1" w:styleId="66">
    <w:name w:val="ExtensionTok"/>
    <w:qFormat/>
    <w:uiPriority w:val="0"/>
  </w:style>
  <w:style w:type="character" w:customStyle="1" w:styleId="67">
    <w:name w:val="PreprocessorTok"/>
    <w:qFormat/>
    <w:uiPriority w:val="0"/>
    <w:rPr>
      <w:color w:val="BC7A00"/>
    </w:rPr>
  </w:style>
  <w:style w:type="character" w:customStyle="1" w:styleId="68">
    <w:name w:val="AttributeTok"/>
    <w:qFormat/>
    <w:uiPriority w:val="0"/>
    <w:rPr>
      <w:color w:val="7D9029"/>
    </w:rPr>
  </w:style>
  <w:style w:type="character" w:customStyle="1" w:styleId="69">
    <w:name w:val="RegionMarkerTok"/>
    <w:qFormat/>
    <w:uiPriority w:val="0"/>
  </w:style>
  <w:style w:type="character" w:customStyle="1" w:styleId="70">
    <w:name w:val="InformationTok"/>
    <w:qFormat/>
    <w:uiPriority w:val="0"/>
    <w:rPr>
      <w:b/>
      <w:i/>
      <w:color w:val="60A0B0"/>
    </w:rPr>
  </w:style>
  <w:style w:type="character" w:customStyle="1" w:styleId="71">
    <w:name w:val="WarningTok"/>
    <w:qFormat/>
    <w:uiPriority w:val="0"/>
    <w:rPr>
      <w:b/>
      <w:i/>
      <w:color w:val="60A0B0"/>
    </w:rPr>
  </w:style>
  <w:style w:type="character" w:customStyle="1" w:styleId="72">
    <w:name w:val="AlertTok"/>
    <w:qFormat/>
    <w:uiPriority w:val="0"/>
    <w:rPr>
      <w:b/>
      <w:color w:val="FF0000"/>
    </w:rPr>
  </w:style>
  <w:style w:type="character" w:customStyle="1" w:styleId="73">
    <w:name w:val="ErrorTok"/>
    <w:qFormat/>
    <w:uiPriority w:val="0"/>
    <w:rPr>
      <w:b/>
      <w:color w:val="FF0000"/>
    </w:rPr>
  </w:style>
  <w:style w:type="character" w:customStyle="1" w:styleId="74">
    <w:name w:val="NormalTok"/>
    <w:qFormat/>
    <w:uiPriority w:val="0"/>
  </w:style>
  <w:style w:type="paragraph" w:customStyle="1" w:styleId="75">
    <w:name w:val="强调标题"/>
    <w:next w:val="1"/>
    <w:qFormat/>
    <w:uiPriority w:val="0"/>
    <w:pPr>
      <w:spacing w:before="240" w:after="120" w:line="360" w:lineRule="auto"/>
      <w:ind w:firstLine="600" w:firstLineChars="200"/>
      <w:jc w:val="left"/>
      <w:outlineLvl w:val="0"/>
    </w:pPr>
    <w:rPr>
      <w:rFonts w:ascii="Times New Roman" w:hAnsi="Times New Roman" w:eastAsia="宋体" w:cs="Times New Roman"/>
      <w:b/>
      <w:sz w:val="24"/>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Pages>
  <Words>2078</Words>
  <Characters>2178</Characters>
  <Paragraphs>46</Paragraphs>
  <TotalTime>0</TotalTime>
  <ScaleCrop>false</ScaleCrop>
  <LinksUpToDate>false</LinksUpToDate>
  <CharactersWithSpaces>2296</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2024-11-14T15:05:00Z</dcterms:created>
  <dc:creator>bowen</dc:creator>
  <cp:lastModifiedBy> 我是七秒钟的小可爱</cp:lastModifiedBy>
  <dcterms:modified xsi:type="dcterms:W3CDTF">2025-10-01T11:18:05Z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3D440B3656984B2985098F461F2BA383_13</vt:lpwstr>
  </property>
  <property fmtid="{D5CDD505-2E9C-101B-9397-08002B2CF9AE}" pid="4" name="KSOTemplateDocerSaveRecord">
    <vt:lpwstr>eyJoZGlkIjoiMzEwNTM5NzYwMDRjMzkwZTVkZjY2ODkwMGIxNGU0OTUiLCJ1c2VySWQiOiIzNzAwNzIwMTgifQ==</vt:lpwstr>
  </property>
</Properties>
</file>