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3767E2">
      <w:pPr>
        <w:keepNext w:val="0"/>
        <w:keepLines w:val="0"/>
        <w:pageBreakBefore w:val="0"/>
        <w:widowControl w:val="0"/>
        <w:kinsoku/>
        <w:wordWrap/>
        <w:overflowPunct/>
        <w:topLinePunct w:val="0"/>
        <w:autoSpaceDE/>
        <w:autoSpaceDN/>
        <w:bidi w:val="0"/>
        <w:adjustRightInd/>
        <w:snapToGrid/>
        <w:spacing w:line="480" w:lineRule="exact"/>
        <w:ind w:firstLine="723" w:firstLineChars="200"/>
        <w:jc w:val="center"/>
        <w:textAlignment w:val="auto"/>
        <w:rPr>
          <w:rFonts w:ascii="仿宋" w:hAnsi="仿宋" w:eastAsia="仿宋" w:cs="宋体"/>
          <w:b/>
          <w:bCs/>
          <w:color w:val="auto"/>
          <w:sz w:val="36"/>
          <w:szCs w:val="36"/>
        </w:rPr>
      </w:pPr>
      <w:r>
        <w:rPr>
          <w:rFonts w:hint="eastAsia" w:ascii="仿宋" w:hAnsi="仿宋" w:eastAsia="仿宋" w:cs="宋体"/>
          <w:b/>
          <w:bCs/>
          <w:color w:val="auto"/>
          <w:sz w:val="36"/>
          <w:szCs w:val="36"/>
          <w:lang w:val="en-US" w:eastAsia="zh-CN"/>
        </w:rPr>
        <w:t>郴州皇驰汽车销售有限公司破产</w:t>
      </w:r>
      <w:r>
        <w:rPr>
          <w:rFonts w:ascii="仿宋" w:hAnsi="仿宋" w:eastAsia="仿宋" w:cs="宋体"/>
          <w:b/>
          <w:bCs/>
          <w:color w:val="auto"/>
          <w:sz w:val="36"/>
          <w:szCs w:val="36"/>
        </w:rPr>
        <w:t>管理人</w:t>
      </w:r>
    </w:p>
    <w:p w14:paraId="54979AB1">
      <w:pPr>
        <w:keepNext w:val="0"/>
        <w:keepLines w:val="0"/>
        <w:pageBreakBefore w:val="0"/>
        <w:widowControl w:val="0"/>
        <w:kinsoku/>
        <w:wordWrap/>
        <w:overflowPunct/>
        <w:topLinePunct w:val="0"/>
        <w:autoSpaceDE/>
        <w:autoSpaceDN/>
        <w:bidi w:val="0"/>
        <w:adjustRightInd/>
        <w:snapToGrid/>
        <w:spacing w:after="313" w:afterLines="100" w:line="480" w:lineRule="exact"/>
        <w:jc w:val="center"/>
        <w:textAlignment w:val="auto"/>
        <w:rPr>
          <w:rFonts w:hint="eastAsia" w:ascii="方正公文小标宋" w:hAnsi="方正公文小标宋" w:eastAsia="方正公文小标宋" w:cs="方正公文小标宋"/>
          <w:b/>
          <w:bCs/>
          <w:sz w:val="36"/>
          <w:szCs w:val="36"/>
          <w:lang w:val="en-US" w:eastAsia="zh-CN"/>
        </w:rPr>
      </w:pPr>
      <w:r>
        <w:rPr>
          <w:rFonts w:hint="eastAsia" w:ascii="方正公文小标宋" w:hAnsi="方正公文小标宋" w:eastAsia="方正公文小标宋" w:cs="方正公文小标宋"/>
          <w:b/>
          <w:bCs/>
          <w:sz w:val="36"/>
          <w:szCs w:val="36"/>
          <w:lang w:val="en-US" w:eastAsia="zh-CN"/>
        </w:rPr>
        <w:t>公   告</w:t>
      </w:r>
    </w:p>
    <w:p w14:paraId="5F588F5E">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left"/>
        <w:textAlignment w:val="auto"/>
        <w:rPr>
          <w:rFonts w:hint="default" w:ascii="仿宋" w:hAnsi="仿宋" w:eastAsia="仿宋" w:cs="宋体"/>
          <w:color w:val="auto"/>
          <w:sz w:val="28"/>
          <w:szCs w:val="28"/>
          <w:lang w:val="en-US" w:eastAsia="zh-CN"/>
        </w:rPr>
      </w:pPr>
      <w:r>
        <w:rPr>
          <w:rFonts w:hint="eastAsia" w:ascii="仿宋" w:hAnsi="仿宋" w:eastAsia="仿宋" w:cs="宋体"/>
          <w:color w:val="auto"/>
          <w:sz w:val="28"/>
          <w:szCs w:val="28"/>
          <w:lang w:val="en-US" w:eastAsia="zh-CN"/>
        </w:rPr>
        <w:t>2025年9月8日，湖南省郴州市北湖区人民法院以（2025）湘1002破申11号民事裁定书，裁定受理中国工商银行股份有限公司郴州北湖支行对郴州皇驰汽车销售有限公司（以下称皇驰公司）提出的破产清算申请，并于2025年10月15日以（2025）湘1002破11号决定书，指定湖南银光律师事务所担任皇驰公司破产管理人。</w:t>
      </w:r>
    </w:p>
    <w:p w14:paraId="374D88AF">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left"/>
        <w:textAlignment w:val="auto"/>
        <w:rPr>
          <w:rFonts w:hint="eastAsia"/>
          <w:color w:val="auto"/>
          <w:sz w:val="28"/>
          <w:szCs w:val="28"/>
          <w:lang w:val="en-US" w:eastAsia="zh-CN"/>
        </w:rPr>
      </w:pPr>
      <w:r>
        <w:rPr>
          <w:rFonts w:hint="eastAsia" w:ascii="仿宋" w:hAnsi="仿宋" w:eastAsia="仿宋" w:cs="宋体"/>
          <w:color w:val="auto"/>
          <w:sz w:val="28"/>
          <w:szCs w:val="28"/>
          <w:lang w:val="en-US" w:eastAsia="zh-CN"/>
        </w:rPr>
        <w:t>皇驰公司的债权人应在</w:t>
      </w:r>
      <w:r>
        <w:rPr>
          <w:rFonts w:hint="eastAsia" w:ascii="仿宋" w:hAnsi="仿宋" w:eastAsia="仿宋" w:cs="宋体"/>
          <w:b/>
          <w:bCs/>
          <w:color w:val="auto"/>
          <w:sz w:val="28"/>
          <w:szCs w:val="28"/>
          <w:lang w:val="en-US" w:eastAsia="zh-CN"/>
        </w:rPr>
        <w:t>2025年11月15日前</w:t>
      </w:r>
      <w:r>
        <w:rPr>
          <w:rFonts w:hint="eastAsia" w:ascii="仿宋" w:hAnsi="仿宋" w:eastAsia="仿宋" w:cs="宋体"/>
          <w:color w:val="auto"/>
          <w:sz w:val="28"/>
          <w:szCs w:val="28"/>
          <w:lang w:val="en-US" w:eastAsia="zh-CN"/>
        </w:rPr>
        <w:t>，向皇驰公司破产管理人申报债权。申报地址：湖南省郴州市苏仙区郴江路温福特公寓18楼湖南银光律师事务所，邮政编码：423000；联系人：姚丽萍，联系电话：18973550196；联系人：吴海龙，联系电话：13762566962。未在上述期限内申报债权的，可</w:t>
      </w:r>
      <w:r>
        <w:rPr>
          <w:rFonts w:hint="default" w:ascii="仿宋" w:hAnsi="仿宋" w:eastAsia="仿宋" w:cs="宋体"/>
          <w:color w:val="auto"/>
          <w:sz w:val="28"/>
          <w:szCs w:val="28"/>
          <w:lang w:val="en-US" w:eastAsia="zh-CN"/>
        </w:rPr>
        <w:t>以在破产财产分配方案提交债权人会议讨论前补充申报，但对此前已进行的分配无权要求补充分配，同时要承担为审查和确认补充申报债权所产生的费用。未申报债权的，不得依照《中华人民共和国企业破产法》规定的程序行使权利。</w:t>
      </w:r>
      <w:r>
        <w:rPr>
          <w:rFonts w:hint="eastAsia" w:ascii="仿宋" w:hAnsi="仿宋" w:eastAsia="仿宋" w:cs="宋体"/>
          <w:color w:val="auto"/>
          <w:sz w:val="28"/>
          <w:szCs w:val="28"/>
          <w:lang w:val="en-US" w:eastAsia="zh-CN"/>
        </w:rPr>
        <w:t>皇驰公司</w:t>
      </w:r>
      <w:r>
        <w:rPr>
          <w:rFonts w:hint="default" w:ascii="仿宋" w:hAnsi="仿宋" w:eastAsia="仿宋" w:cs="宋体"/>
          <w:color w:val="auto"/>
          <w:sz w:val="28"/>
          <w:szCs w:val="28"/>
          <w:lang w:val="en-US" w:eastAsia="zh-CN"/>
        </w:rPr>
        <w:t>的债务人或者财产持有人应当向</w:t>
      </w:r>
      <w:r>
        <w:rPr>
          <w:rFonts w:hint="eastAsia" w:ascii="仿宋" w:hAnsi="仿宋" w:eastAsia="仿宋" w:cs="宋体"/>
          <w:color w:val="auto"/>
          <w:sz w:val="28"/>
          <w:szCs w:val="28"/>
          <w:lang w:val="en-US" w:eastAsia="zh-CN"/>
        </w:rPr>
        <w:t>破产</w:t>
      </w:r>
      <w:r>
        <w:rPr>
          <w:rFonts w:hint="default" w:ascii="仿宋" w:hAnsi="仿宋" w:eastAsia="仿宋" w:cs="宋体"/>
          <w:color w:val="auto"/>
          <w:sz w:val="28"/>
          <w:szCs w:val="28"/>
          <w:lang w:val="en-US" w:eastAsia="zh-CN"/>
        </w:rPr>
        <w:t>管理人清偿债务或交付财产。</w:t>
      </w:r>
    </w:p>
    <w:p w14:paraId="4E5D74B4">
      <w:pPr>
        <w:keepNext w:val="0"/>
        <w:keepLines w:val="0"/>
        <w:pageBreakBefore w:val="0"/>
        <w:widowControl w:val="0"/>
        <w:kinsoku/>
        <w:wordWrap/>
        <w:overflowPunct/>
        <w:topLinePunct w:val="0"/>
        <w:autoSpaceDE/>
        <w:autoSpaceDN/>
        <w:bidi w:val="0"/>
        <w:adjustRightInd/>
        <w:snapToGrid/>
        <w:spacing w:line="480" w:lineRule="exact"/>
        <w:ind w:firstLine="562" w:firstLineChars="200"/>
        <w:jc w:val="left"/>
        <w:textAlignment w:val="auto"/>
        <w:rPr>
          <w:rFonts w:hint="default" w:ascii="仿宋" w:hAnsi="仿宋" w:eastAsia="仿宋" w:cs="宋体"/>
          <w:color w:val="auto"/>
          <w:sz w:val="28"/>
          <w:szCs w:val="28"/>
          <w:lang w:val="en-US" w:eastAsia="zh-CN"/>
        </w:rPr>
      </w:pPr>
      <w:r>
        <w:rPr>
          <w:rFonts w:hint="default" w:ascii="仿宋" w:hAnsi="仿宋" w:eastAsia="仿宋" w:cs="宋体"/>
          <w:b/>
          <w:bCs/>
          <w:color w:val="auto"/>
          <w:sz w:val="28"/>
          <w:szCs w:val="28"/>
          <w:lang w:val="en-US" w:eastAsia="zh-CN"/>
        </w:rPr>
        <w:t>第一次债权人会议</w:t>
      </w:r>
      <w:r>
        <w:rPr>
          <w:rFonts w:hint="eastAsia" w:ascii="仿宋" w:hAnsi="仿宋" w:eastAsia="仿宋" w:cs="宋体"/>
          <w:b/>
          <w:bCs/>
          <w:color w:val="auto"/>
          <w:sz w:val="28"/>
          <w:szCs w:val="28"/>
          <w:lang w:val="en-US" w:eastAsia="zh-CN"/>
        </w:rPr>
        <w:t>将于</w:t>
      </w:r>
      <w:r>
        <w:rPr>
          <w:rFonts w:hint="default" w:ascii="仿宋" w:hAnsi="仿宋" w:eastAsia="仿宋" w:cs="宋体"/>
          <w:b/>
          <w:bCs/>
          <w:color w:val="auto"/>
          <w:sz w:val="28"/>
          <w:szCs w:val="28"/>
          <w:lang w:val="en-US" w:eastAsia="zh-CN"/>
        </w:rPr>
        <w:t>202</w:t>
      </w:r>
      <w:r>
        <w:rPr>
          <w:rFonts w:hint="eastAsia" w:ascii="仿宋" w:hAnsi="仿宋" w:eastAsia="仿宋" w:cs="宋体"/>
          <w:b/>
          <w:bCs/>
          <w:color w:val="auto"/>
          <w:sz w:val="28"/>
          <w:szCs w:val="28"/>
          <w:lang w:val="en-US" w:eastAsia="zh-CN"/>
        </w:rPr>
        <w:t>5</w:t>
      </w:r>
      <w:r>
        <w:rPr>
          <w:rFonts w:hint="default" w:ascii="仿宋" w:hAnsi="仿宋" w:eastAsia="仿宋" w:cs="宋体"/>
          <w:b/>
          <w:bCs/>
          <w:color w:val="auto"/>
          <w:sz w:val="28"/>
          <w:szCs w:val="28"/>
          <w:lang w:val="en-US" w:eastAsia="zh-CN"/>
        </w:rPr>
        <w:t>年</w:t>
      </w:r>
      <w:r>
        <w:rPr>
          <w:rFonts w:hint="eastAsia" w:ascii="仿宋" w:hAnsi="仿宋" w:eastAsia="仿宋" w:cs="宋体"/>
          <w:b/>
          <w:bCs/>
          <w:color w:val="auto"/>
          <w:sz w:val="28"/>
          <w:szCs w:val="28"/>
          <w:lang w:val="en-US" w:eastAsia="zh-CN"/>
        </w:rPr>
        <w:t>11</w:t>
      </w:r>
      <w:r>
        <w:rPr>
          <w:rFonts w:hint="default" w:ascii="仿宋" w:hAnsi="仿宋" w:eastAsia="仿宋" w:cs="宋体"/>
          <w:b/>
          <w:bCs/>
          <w:color w:val="auto"/>
          <w:sz w:val="28"/>
          <w:szCs w:val="28"/>
          <w:lang w:val="en-US" w:eastAsia="zh-CN"/>
        </w:rPr>
        <w:t>月</w:t>
      </w:r>
      <w:r>
        <w:rPr>
          <w:rFonts w:hint="eastAsia" w:ascii="仿宋" w:hAnsi="仿宋" w:eastAsia="仿宋" w:cs="宋体"/>
          <w:b/>
          <w:bCs/>
          <w:color w:val="auto"/>
          <w:sz w:val="28"/>
          <w:szCs w:val="28"/>
          <w:lang w:val="en-US" w:eastAsia="zh-CN"/>
        </w:rPr>
        <w:t>17</w:t>
      </w:r>
      <w:r>
        <w:rPr>
          <w:rFonts w:hint="default" w:ascii="仿宋" w:hAnsi="仿宋" w:eastAsia="仿宋" w:cs="宋体"/>
          <w:b/>
          <w:bCs/>
          <w:color w:val="auto"/>
          <w:sz w:val="28"/>
          <w:szCs w:val="28"/>
          <w:lang w:val="en-US" w:eastAsia="zh-CN"/>
        </w:rPr>
        <w:t>日</w:t>
      </w:r>
      <w:r>
        <w:rPr>
          <w:rFonts w:hint="eastAsia" w:ascii="仿宋" w:hAnsi="仿宋" w:eastAsia="仿宋" w:cs="宋体"/>
          <w:b/>
          <w:bCs/>
          <w:color w:val="auto"/>
          <w:sz w:val="28"/>
          <w:szCs w:val="28"/>
          <w:lang w:val="en-US" w:eastAsia="zh-CN"/>
        </w:rPr>
        <w:t>下午14时30分在郴州市北湖区人民法院第十二审判庭</w:t>
      </w:r>
      <w:r>
        <w:rPr>
          <w:rFonts w:hint="default" w:ascii="仿宋" w:hAnsi="仿宋" w:eastAsia="仿宋" w:cs="宋体"/>
          <w:b/>
          <w:bCs/>
          <w:color w:val="auto"/>
          <w:sz w:val="28"/>
          <w:szCs w:val="28"/>
          <w:lang w:val="en-US" w:eastAsia="zh-CN"/>
        </w:rPr>
        <w:t>召开。</w:t>
      </w:r>
      <w:r>
        <w:rPr>
          <w:rFonts w:hint="eastAsia" w:ascii="仿宋" w:hAnsi="仿宋" w:eastAsia="仿宋" w:cs="宋体"/>
          <w:color w:val="auto"/>
          <w:sz w:val="28"/>
          <w:szCs w:val="28"/>
          <w:lang w:val="en-US" w:eastAsia="zh-CN"/>
        </w:rPr>
        <w:t>依法申报债权的债权人有权参加债权人会议，参加会议的</w:t>
      </w:r>
      <w:r>
        <w:rPr>
          <w:rFonts w:hint="default" w:ascii="仿宋" w:hAnsi="仿宋" w:eastAsia="仿宋" w:cs="宋体"/>
          <w:color w:val="auto"/>
          <w:sz w:val="28"/>
          <w:szCs w:val="28"/>
          <w:lang w:val="en-US" w:eastAsia="zh-CN"/>
        </w:rPr>
        <w:t>债权人系法人或其他组织的，应提交营业执照、法定代表人或负责人身份证明书，如委托代理人出席会议，应提交特别授权委托书、委托代理人的身份证件或律师执业证，委托代理人是律师的还应提交律师事务所的指派函。参加会议的债权人系自然人的，应提交个人身份证明，如委托代理人出席会议，应提交特别授权委托书、委托代理人的身份证件或律师执业证，委托代理人是律师的还应提交律师事务所的指派函。</w:t>
      </w:r>
    </w:p>
    <w:p w14:paraId="6C683C01">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left"/>
        <w:textAlignment w:val="auto"/>
        <w:rPr>
          <w:rFonts w:ascii="仿宋" w:hAnsi="仿宋" w:eastAsia="仿宋" w:cs="宋体"/>
          <w:color w:val="auto"/>
          <w:sz w:val="28"/>
          <w:szCs w:val="28"/>
        </w:rPr>
      </w:pPr>
      <w:r>
        <w:rPr>
          <w:rFonts w:ascii="仿宋" w:hAnsi="仿宋" w:eastAsia="仿宋" w:cs="宋体"/>
          <w:color w:val="auto"/>
          <w:sz w:val="28"/>
          <w:szCs w:val="28"/>
        </w:rPr>
        <w:t>特此公告</w:t>
      </w:r>
    </w:p>
    <w:p w14:paraId="23BC8126">
      <w:pPr>
        <w:keepNext w:val="0"/>
        <w:keepLines w:val="0"/>
        <w:pageBreakBefore w:val="0"/>
        <w:widowControl w:val="0"/>
        <w:kinsoku/>
        <w:wordWrap/>
        <w:overflowPunct/>
        <w:topLinePunct w:val="0"/>
        <w:autoSpaceDE/>
        <w:autoSpaceDN/>
        <w:bidi w:val="0"/>
        <w:adjustRightInd/>
        <w:snapToGrid/>
        <w:spacing w:line="480" w:lineRule="exact"/>
        <w:ind w:firstLine="3360" w:firstLineChars="1200"/>
        <w:jc w:val="both"/>
        <w:textAlignment w:val="auto"/>
        <w:rPr>
          <w:rFonts w:hint="eastAsia" w:ascii="仿宋" w:hAnsi="仿宋" w:eastAsia="仿宋" w:cs="宋体"/>
          <w:color w:val="auto"/>
          <w:sz w:val="28"/>
          <w:szCs w:val="28"/>
          <w:lang w:val="en-US" w:eastAsia="zh-CN"/>
        </w:rPr>
      </w:pPr>
      <w:r>
        <w:rPr>
          <w:rFonts w:hint="eastAsia" w:ascii="仿宋" w:hAnsi="仿宋" w:eastAsia="仿宋" w:cs="宋体"/>
          <w:color w:val="auto"/>
          <w:sz w:val="28"/>
          <w:szCs w:val="28"/>
          <w:lang w:val="en-US" w:eastAsia="zh-CN"/>
        </w:rPr>
        <w:t>郴州皇驰汽车销售有限公司破产</w:t>
      </w:r>
      <w:r>
        <w:rPr>
          <w:rFonts w:ascii="仿宋" w:hAnsi="仿宋" w:eastAsia="仿宋" w:cs="宋体"/>
          <w:color w:val="auto"/>
          <w:sz w:val="28"/>
          <w:szCs w:val="28"/>
        </w:rPr>
        <w:t>管理</w:t>
      </w:r>
      <w:r>
        <w:rPr>
          <w:rFonts w:hint="eastAsia" w:ascii="仿宋" w:hAnsi="仿宋" w:eastAsia="仿宋" w:cs="宋体"/>
          <w:color w:val="auto"/>
          <w:sz w:val="28"/>
          <w:szCs w:val="28"/>
          <w:lang w:val="en-US" w:eastAsia="zh-CN"/>
        </w:rPr>
        <w:t>人</w:t>
      </w:r>
    </w:p>
    <w:p w14:paraId="1A0319EE">
      <w:pPr>
        <w:keepNext w:val="0"/>
        <w:keepLines w:val="0"/>
        <w:pageBreakBefore w:val="0"/>
        <w:widowControl w:val="0"/>
        <w:kinsoku/>
        <w:wordWrap/>
        <w:overflowPunct/>
        <w:topLinePunct w:val="0"/>
        <w:autoSpaceDE/>
        <w:autoSpaceDN/>
        <w:bidi w:val="0"/>
        <w:adjustRightInd/>
        <w:snapToGrid/>
        <w:spacing w:line="480" w:lineRule="exact"/>
        <w:ind w:firstLine="5040" w:firstLineChars="1800"/>
        <w:jc w:val="both"/>
        <w:textAlignment w:val="auto"/>
        <w:rPr>
          <w:rFonts w:hint="default"/>
          <w:lang w:val="en-US" w:eastAsia="zh-CN"/>
        </w:rPr>
      </w:pPr>
      <w:r>
        <w:rPr>
          <w:rFonts w:hint="eastAsia" w:ascii="仿宋" w:hAnsi="仿宋" w:eastAsia="仿宋" w:cs="宋体"/>
          <w:color w:val="auto"/>
          <w:sz w:val="28"/>
          <w:szCs w:val="28"/>
        </w:rPr>
        <w:t>20</w:t>
      </w:r>
      <w:r>
        <w:rPr>
          <w:rFonts w:hint="eastAsia" w:ascii="仿宋" w:hAnsi="仿宋" w:eastAsia="仿宋" w:cs="宋体"/>
          <w:color w:val="auto"/>
          <w:sz w:val="28"/>
          <w:szCs w:val="28"/>
          <w:lang w:val="en-US" w:eastAsia="zh-CN"/>
        </w:rPr>
        <w:t>25</w:t>
      </w:r>
      <w:r>
        <w:rPr>
          <w:rFonts w:hint="eastAsia" w:ascii="仿宋" w:hAnsi="仿宋" w:eastAsia="仿宋" w:cs="宋体"/>
          <w:color w:val="auto"/>
          <w:sz w:val="28"/>
          <w:szCs w:val="28"/>
        </w:rPr>
        <w:t>年</w:t>
      </w:r>
      <w:r>
        <w:rPr>
          <w:rFonts w:hint="eastAsia" w:ascii="仿宋" w:hAnsi="仿宋" w:eastAsia="仿宋" w:cs="宋体"/>
          <w:color w:val="auto"/>
          <w:sz w:val="28"/>
          <w:szCs w:val="28"/>
          <w:lang w:val="en-US" w:eastAsia="zh-CN"/>
        </w:rPr>
        <w:t>10</w:t>
      </w:r>
      <w:r>
        <w:rPr>
          <w:rFonts w:hint="eastAsia" w:ascii="仿宋" w:hAnsi="仿宋" w:eastAsia="仿宋" w:cs="宋体"/>
          <w:color w:val="auto"/>
          <w:sz w:val="28"/>
          <w:szCs w:val="28"/>
        </w:rPr>
        <w:t>月</w:t>
      </w:r>
      <w:r>
        <w:rPr>
          <w:rFonts w:hint="eastAsia" w:ascii="仿宋" w:hAnsi="仿宋" w:eastAsia="仿宋" w:cs="宋体"/>
          <w:color w:val="auto"/>
          <w:sz w:val="28"/>
          <w:szCs w:val="28"/>
          <w:lang w:val="en-US" w:eastAsia="zh-CN"/>
        </w:rPr>
        <w:t>16</w:t>
      </w:r>
      <w:bookmarkStart w:id="0" w:name="_GoBack"/>
      <w:bookmarkEnd w:id="0"/>
      <w:r>
        <w:rPr>
          <w:rFonts w:hint="eastAsia" w:ascii="仿宋" w:hAnsi="仿宋" w:eastAsia="仿宋" w:cs="宋体"/>
          <w:color w:val="auto"/>
          <w:sz w:val="28"/>
          <w:szCs w:val="28"/>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embedRegular r:id="rId1" w:fontKey="{A6A1D090-8759-43E4-99FD-BFA2D247CA11}"/>
  </w:font>
  <w:font w:name="方正公文小标宋">
    <w:panose1 w:val="02000500000000000000"/>
    <w:charset w:val="86"/>
    <w:family w:val="auto"/>
    <w:pitch w:val="default"/>
    <w:sig w:usb0="A00002BF" w:usb1="38CF7CFA" w:usb2="00000016" w:usb3="00000000" w:csb0="00040001" w:csb1="00000000"/>
    <w:embedRegular r:id="rId2" w:fontKey="{E1B01640-3A79-4BE5-85D8-0D6394015336}"/>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Q1OTFiNmQwMzk1NDliZmE1ODBjMWZmMDJiMmY2MWQifQ=="/>
  </w:docVars>
  <w:rsids>
    <w:rsidRoot w:val="31122F20"/>
    <w:rsid w:val="04971CD8"/>
    <w:rsid w:val="05EE0FC1"/>
    <w:rsid w:val="05F477B7"/>
    <w:rsid w:val="061439B5"/>
    <w:rsid w:val="07140111"/>
    <w:rsid w:val="0A121F66"/>
    <w:rsid w:val="0F2B55F6"/>
    <w:rsid w:val="132C0451"/>
    <w:rsid w:val="181C7574"/>
    <w:rsid w:val="1CA76EDA"/>
    <w:rsid w:val="1EEB6873"/>
    <w:rsid w:val="27D85854"/>
    <w:rsid w:val="290302AB"/>
    <w:rsid w:val="30DF0B29"/>
    <w:rsid w:val="31122F20"/>
    <w:rsid w:val="319475D5"/>
    <w:rsid w:val="324E3C27"/>
    <w:rsid w:val="34784E15"/>
    <w:rsid w:val="39D67B30"/>
    <w:rsid w:val="3A621377"/>
    <w:rsid w:val="3E217639"/>
    <w:rsid w:val="44E64193"/>
    <w:rsid w:val="454D5150"/>
    <w:rsid w:val="48027536"/>
    <w:rsid w:val="4925762B"/>
    <w:rsid w:val="49AB7C09"/>
    <w:rsid w:val="4BF161BD"/>
    <w:rsid w:val="512D2D88"/>
    <w:rsid w:val="54802CFF"/>
    <w:rsid w:val="56A874FB"/>
    <w:rsid w:val="593C75CA"/>
    <w:rsid w:val="60803213"/>
    <w:rsid w:val="62A019CE"/>
    <w:rsid w:val="65C503A1"/>
    <w:rsid w:val="691647F8"/>
    <w:rsid w:val="696A4AE4"/>
    <w:rsid w:val="6BE97F42"/>
    <w:rsid w:val="7ACD4E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685</Words>
  <Characters>749</Characters>
  <Lines>0</Lines>
  <Paragraphs>0</Paragraphs>
  <TotalTime>25</TotalTime>
  <ScaleCrop>false</ScaleCrop>
  <LinksUpToDate>false</LinksUpToDate>
  <CharactersWithSpaces>752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2023-01-03T03:06:00Z</dcterms:created>
  <dc:creator>星河李丽</dc:creator>
  <cp:lastModifiedBy>Cc</cp:lastModifiedBy>
  <cp:lastPrinted>2023-11-01T12:58:00Z</cp:lastPrinted>
  <dcterms:modified xsi:type="dcterms:W3CDTF">2025-10-23T06:30:59Z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593ECD17EE0C4A548ABE7484316FC7C9_13</vt:lpwstr>
  </property>
  <property fmtid="{D5CDD505-2E9C-101B-9397-08002B2CF9AE}" pid="4" name="KSOTemplateDocerSaveRecord">
    <vt:lpwstr>eyJoZGlkIjoiNjQ1OTFiNmQwMzk1NDliZmE1ODBjMWZmMDJiMmY2MWQiLCJ1c2VySWQiOiIyMzEyMTk0NjYifQ==</vt:lpwstr>
  </property>
</Properties>
</file>