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0D0E9D">
      <w:pPr>
        <w:pStyle w:val="19"/>
        <w:spacing w:before="289" w:beforeLines="50" w:after="289" w:afterLines="50" w:line="240" w:lineRule="auto"/>
        <w:jc w:val="center"/>
        <w:rPr>
          <w:rFonts w:hint="eastAsia" w:ascii="楷体_GB2312" w:hAnsi="楷体_GB2312" w:eastAsia="楷体_GB2312" w:cs="楷体_GB2312"/>
          <w:b/>
          <w:sz w:val="36"/>
          <w:szCs w:val="36"/>
          <w:highlight w:val="none"/>
          <w:lang w:eastAsia="zh-CN"/>
        </w:rPr>
      </w:pPr>
      <w:bookmarkStart w:id="0" w:name="_Hlk174994673"/>
      <w:r>
        <w:rPr>
          <w:rFonts w:hint="eastAsia" w:ascii="楷体_GB2312" w:hAnsi="楷体_GB2312" w:eastAsia="楷体_GB2312" w:cs="楷体_GB2312"/>
          <w:b/>
          <w:sz w:val="36"/>
          <w:szCs w:val="36"/>
          <w:highlight w:val="none"/>
          <w:lang w:eastAsia="zh-CN"/>
        </w:rPr>
        <w:t>北京太都国际投资咨询有限公司强制清算案</w:t>
      </w:r>
    </w:p>
    <w:p w14:paraId="103A18BA">
      <w:pPr>
        <w:pStyle w:val="19"/>
        <w:spacing w:before="289" w:beforeLines="50" w:after="289" w:afterLines="50" w:line="240" w:lineRule="auto"/>
        <w:jc w:val="center"/>
        <w:rPr>
          <w:rFonts w:hint="eastAsia" w:ascii="楷体_GB2312" w:hAnsi="楷体_GB2312" w:eastAsia="楷体_GB2312" w:cs="楷体_GB2312"/>
          <w:b/>
          <w:sz w:val="36"/>
          <w:szCs w:val="36"/>
          <w:highlight w:val="none"/>
          <w:lang w:eastAsia="zh-CN"/>
        </w:rPr>
      </w:pPr>
      <w:r>
        <w:rPr>
          <w:rFonts w:hint="eastAsia" w:ascii="楷体_GB2312" w:hAnsi="楷体_GB2312" w:eastAsia="楷体_GB2312" w:cs="楷体_GB2312"/>
          <w:b/>
          <w:sz w:val="36"/>
          <w:szCs w:val="36"/>
          <w:highlight w:val="none"/>
          <w:lang w:eastAsia="zh-CN"/>
        </w:rPr>
        <w:t>清算报告</w:t>
      </w:r>
    </w:p>
    <w:bookmarkEnd w:id="0"/>
    <w:p w14:paraId="7A3866B2">
      <w:pPr>
        <w:pStyle w:val="21"/>
        <w:spacing w:before="289" w:beforeLines="50" w:after="289" w:afterLines="50"/>
        <w:ind w:left="0" w:firstLine="0"/>
        <w:outlineLvl w:val="0"/>
        <w:rPr>
          <w:rFonts w:hint="eastAsia" w:ascii="楷体_GB2312" w:hAnsi="楷体_GB2312" w:eastAsia="楷体_GB2312" w:cs="楷体_GB2312"/>
          <w:b/>
          <w:bCs/>
          <w:w w:val="105"/>
          <w:sz w:val="24"/>
          <w:szCs w:val="24"/>
          <w:highlight w:val="none"/>
          <w:lang w:eastAsia="zh-CN"/>
        </w:rPr>
      </w:pPr>
      <w:r>
        <w:rPr>
          <w:rFonts w:hint="eastAsia" w:ascii="楷体_GB2312" w:hAnsi="楷体_GB2312" w:eastAsia="楷体_GB2312" w:cs="楷体_GB2312"/>
          <w:b/>
          <w:bCs/>
          <w:w w:val="105"/>
          <w:sz w:val="24"/>
          <w:szCs w:val="24"/>
          <w:highlight w:val="none"/>
          <w:lang w:eastAsia="zh-CN"/>
        </w:rPr>
        <w:t>1 公司基本情况</w:t>
      </w:r>
    </w:p>
    <w:p w14:paraId="290F4CCB">
      <w:pPr>
        <w:pStyle w:val="21"/>
        <w:spacing w:before="0" w:after="289" w:afterLines="50" w:line="360" w:lineRule="auto"/>
        <w:ind w:left="0" w:firstLine="0"/>
        <w:outlineLvl w:val="1"/>
        <w:rPr>
          <w:rFonts w:hint="eastAsia" w:ascii="楷体_GB2312" w:hAnsi="楷体_GB2312" w:eastAsia="楷体_GB2312" w:cs="楷体_GB2312"/>
          <w:b/>
          <w:bCs/>
          <w:w w:val="105"/>
          <w:highlight w:val="none"/>
          <w:lang w:eastAsia="zh-CN"/>
        </w:rPr>
      </w:pPr>
      <w:r>
        <w:rPr>
          <w:rFonts w:hint="eastAsia" w:ascii="楷体_GB2312" w:hAnsi="楷体_GB2312" w:eastAsia="楷体_GB2312" w:cs="楷体_GB2312"/>
          <w:b/>
          <w:bCs/>
          <w:w w:val="105"/>
          <w:sz w:val="24"/>
          <w:szCs w:val="24"/>
          <w:highlight w:val="none"/>
          <w:lang w:eastAsia="zh-CN"/>
        </w:rPr>
        <w:t>1.1 设立情况及现状</w:t>
      </w:r>
    </w:p>
    <w:tbl>
      <w:tblPr>
        <w:tblStyle w:val="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09"/>
        <w:gridCol w:w="6047"/>
      </w:tblGrid>
      <w:tr w14:paraId="40398566">
        <w:trPr>
          <w:cantSplit/>
          <w:trHeight w:val="575" w:hRule="atLeast"/>
          <w:jc w:val="center"/>
        </w:trPr>
        <w:tc>
          <w:tcPr>
            <w:tcW w:w="1661" w:type="pct"/>
            <w:tcBorders>
              <w:top w:val="single" w:color="000000" w:sz="8" w:space="0"/>
              <w:left w:val="single" w:color="000000" w:sz="8" w:space="0"/>
              <w:bottom w:val="single" w:color="000000" w:sz="8" w:space="0"/>
              <w:right w:val="single" w:color="000000" w:sz="8" w:space="0"/>
            </w:tcBorders>
            <w:vAlign w:val="center"/>
          </w:tcPr>
          <w:p w14:paraId="2FF6D0F4">
            <w:pPr>
              <w:spacing w:line="400" w:lineRule="exact"/>
              <w:jc w:val="center"/>
              <w:rPr>
                <w:rFonts w:hint="eastAsia" w:ascii="楷体_GB2312" w:hAnsi="楷体_GB2312" w:eastAsia="楷体_GB2312" w:cs="楷体_GB2312"/>
                <w:b/>
                <w:color w:val="000000"/>
                <w:sz w:val="22"/>
                <w:highlight w:val="none"/>
              </w:rPr>
            </w:pPr>
            <w:r>
              <w:rPr>
                <w:rFonts w:hint="eastAsia" w:ascii="楷体_GB2312" w:hAnsi="楷体_GB2312" w:eastAsia="楷体_GB2312" w:cs="楷体_GB2312"/>
                <w:b/>
                <w:color w:val="000000"/>
                <w:sz w:val="22"/>
                <w:highlight w:val="none"/>
              </w:rPr>
              <w:t>企业名称</w:t>
            </w:r>
          </w:p>
        </w:tc>
        <w:tc>
          <w:tcPr>
            <w:tcW w:w="3338" w:type="pct"/>
            <w:tcBorders>
              <w:top w:val="single" w:color="000000" w:sz="8" w:space="0"/>
              <w:left w:val="single" w:color="000000" w:sz="8" w:space="0"/>
              <w:bottom w:val="single" w:color="000000" w:sz="8" w:space="0"/>
              <w:right w:val="single" w:color="000000" w:sz="8" w:space="0"/>
            </w:tcBorders>
            <w:vAlign w:val="center"/>
          </w:tcPr>
          <w:p w14:paraId="266D6121">
            <w:pPr>
              <w:spacing w:line="400" w:lineRule="exact"/>
              <w:jc w:val="center"/>
              <w:rPr>
                <w:rFonts w:hint="eastAsia" w:ascii="楷体_GB2312" w:hAnsi="楷体_GB2312" w:eastAsia="楷体_GB2312" w:cs="楷体_GB2312"/>
                <w:bCs/>
                <w:color w:val="000000"/>
                <w:sz w:val="22"/>
                <w:highlight w:val="none"/>
                <w:lang w:eastAsia="zh-CN"/>
              </w:rPr>
            </w:pPr>
            <w:r>
              <w:rPr>
                <w:rFonts w:hint="eastAsia" w:ascii="楷体_GB2312" w:hAnsi="楷体_GB2312" w:eastAsia="楷体_GB2312" w:cs="楷体_GB2312"/>
                <w:bCs/>
                <w:color w:val="000000"/>
                <w:sz w:val="22"/>
                <w:highlight w:val="none"/>
                <w:lang w:eastAsia="zh-CN"/>
              </w:rPr>
              <w:t>北京太都国际投资咨询有限公司</w:t>
            </w:r>
          </w:p>
        </w:tc>
      </w:tr>
      <w:tr w14:paraId="06DF4DE5">
        <w:trPr>
          <w:cantSplit/>
          <w:trHeight w:val="454" w:hRule="atLeast"/>
          <w:jc w:val="center"/>
        </w:trPr>
        <w:tc>
          <w:tcPr>
            <w:tcW w:w="1661" w:type="pct"/>
            <w:tcBorders>
              <w:top w:val="single" w:color="000000" w:sz="8" w:space="0"/>
              <w:left w:val="single" w:color="000000" w:sz="8" w:space="0"/>
              <w:bottom w:val="single" w:color="000000" w:sz="8" w:space="0"/>
              <w:right w:val="single" w:color="000000" w:sz="8" w:space="0"/>
            </w:tcBorders>
            <w:vAlign w:val="center"/>
          </w:tcPr>
          <w:p w14:paraId="15F3816C">
            <w:pPr>
              <w:spacing w:line="400" w:lineRule="exact"/>
              <w:jc w:val="center"/>
              <w:rPr>
                <w:rFonts w:hint="eastAsia" w:ascii="楷体_GB2312" w:hAnsi="楷体_GB2312" w:eastAsia="楷体_GB2312" w:cs="楷体_GB2312"/>
                <w:b/>
                <w:color w:val="000000"/>
                <w:sz w:val="22"/>
                <w:highlight w:val="none"/>
              </w:rPr>
            </w:pPr>
            <w:r>
              <w:rPr>
                <w:rFonts w:hint="eastAsia" w:ascii="楷体_GB2312" w:hAnsi="楷体_GB2312" w:eastAsia="楷体_GB2312" w:cs="楷体_GB2312"/>
                <w:b/>
                <w:color w:val="000000"/>
                <w:sz w:val="22"/>
                <w:highlight w:val="none"/>
              </w:rPr>
              <w:t>统一社会信用代码</w:t>
            </w:r>
          </w:p>
        </w:tc>
        <w:tc>
          <w:tcPr>
            <w:tcW w:w="3338" w:type="pct"/>
            <w:tcBorders>
              <w:top w:val="single" w:color="000000" w:sz="8" w:space="0"/>
              <w:left w:val="single" w:color="000000" w:sz="8" w:space="0"/>
              <w:bottom w:val="single" w:color="000000" w:sz="8" w:space="0"/>
              <w:right w:val="single" w:color="000000" w:sz="8" w:space="0"/>
            </w:tcBorders>
            <w:vAlign w:val="center"/>
          </w:tcPr>
          <w:p w14:paraId="679074C0">
            <w:pPr>
              <w:spacing w:line="400" w:lineRule="exact"/>
              <w:jc w:val="center"/>
              <w:rPr>
                <w:rFonts w:hint="eastAsia" w:ascii="楷体_GB2312" w:hAnsi="楷体_GB2312" w:eastAsia="楷体_GB2312" w:cs="楷体_GB2312"/>
                <w:bCs/>
                <w:color w:val="000000"/>
                <w:sz w:val="22"/>
                <w:highlight w:val="none"/>
                <w:lang w:eastAsia="zh-CN"/>
              </w:rPr>
            </w:pPr>
            <w:r>
              <w:rPr>
                <w:rFonts w:hint="eastAsia" w:ascii="楷体_GB2312" w:hAnsi="楷体_GB2312" w:eastAsia="楷体_GB2312" w:cs="楷体_GB2312"/>
                <w:bCs/>
                <w:color w:val="000000"/>
                <w:sz w:val="22"/>
                <w:highlight w:val="none"/>
                <w:lang w:val="en-US" w:eastAsia="zh-CN"/>
              </w:rPr>
              <w:t>未公开</w:t>
            </w:r>
          </w:p>
        </w:tc>
      </w:tr>
      <w:tr w14:paraId="596C9EB3">
        <w:trPr>
          <w:cantSplit/>
          <w:trHeight w:val="454" w:hRule="atLeast"/>
          <w:jc w:val="center"/>
        </w:trPr>
        <w:tc>
          <w:tcPr>
            <w:tcW w:w="1661" w:type="pct"/>
            <w:tcBorders>
              <w:top w:val="single" w:color="000000" w:sz="8" w:space="0"/>
              <w:left w:val="single" w:color="000000" w:sz="8" w:space="0"/>
              <w:bottom w:val="single" w:color="000000" w:sz="8" w:space="0"/>
              <w:right w:val="single" w:color="000000" w:sz="8" w:space="0"/>
            </w:tcBorders>
            <w:vAlign w:val="center"/>
          </w:tcPr>
          <w:p w14:paraId="0EF5167B">
            <w:pPr>
              <w:spacing w:line="400" w:lineRule="exact"/>
              <w:jc w:val="center"/>
              <w:rPr>
                <w:rFonts w:hint="eastAsia" w:ascii="楷体_GB2312" w:hAnsi="楷体_GB2312" w:eastAsia="楷体_GB2312" w:cs="楷体_GB2312"/>
                <w:b/>
                <w:color w:val="000000"/>
                <w:sz w:val="22"/>
                <w:highlight w:val="none"/>
              </w:rPr>
            </w:pPr>
            <w:r>
              <w:rPr>
                <w:rFonts w:hint="eastAsia" w:ascii="楷体_GB2312" w:hAnsi="楷体_GB2312" w:eastAsia="楷体_GB2312" w:cs="楷体_GB2312"/>
                <w:b/>
                <w:color w:val="000000"/>
                <w:sz w:val="22"/>
                <w:highlight w:val="none"/>
              </w:rPr>
              <w:t>法定代表人</w:t>
            </w:r>
          </w:p>
        </w:tc>
        <w:tc>
          <w:tcPr>
            <w:tcW w:w="3338" w:type="pct"/>
            <w:tcBorders>
              <w:top w:val="single" w:color="000000" w:sz="8" w:space="0"/>
              <w:left w:val="single" w:color="000000" w:sz="8" w:space="0"/>
              <w:bottom w:val="single" w:color="000000" w:sz="8" w:space="0"/>
              <w:right w:val="single" w:color="000000" w:sz="8" w:space="0"/>
            </w:tcBorders>
            <w:vAlign w:val="center"/>
          </w:tcPr>
          <w:p w14:paraId="7E314232">
            <w:pPr>
              <w:spacing w:line="400" w:lineRule="exact"/>
              <w:jc w:val="center"/>
              <w:rPr>
                <w:rFonts w:hint="default" w:ascii="楷体_GB2312" w:hAnsi="楷体_GB2312" w:eastAsia="楷体_GB2312" w:cs="楷体_GB2312"/>
                <w:bCs/>
                <w:color w:val="000000"/>
                <w:sz w:val="22"/>
                <w:highlight w:val="none"/>
                <w:lang w:val="en-US" w:eastAsia="zh-CN"/>
              </w:rPr>
            </w:pPr>
            <w:r>
              <w:rPr>
                <w:rFonts w:hint="eastAsia" w:ascii="楷体_GB2312" w:hAnsi="楷体_GB2312" w:eastAsia="楷体_GB2312" w:cs="楷体_GB2312"/>
                <w:bCs/>
                <w:color w:val="000000"/>
                <w:sz w:val="22"/>
                <w:highlight w:val="none"/>
                <w:lang w:val="en-US" w:eastAsia="zh-CN"/>
              </w:rPr>
              <w:t>闫星</w:t>
            </w:r>
          </w:p>
        </w:tc>
      </w:tr>
      <w:tr w14:paraId="52FC7C64">
        <w:trPr>
          <w:cantSplit/>
          <w:trHeight w:val="454" w:hRule="atLeast"/>
          <w:jc w:val="center"/>
        </w:trPr>
        <w:tc>
          <w:tcPr>
            <w:tcW w:w="1661" w:type="pct"/>
            <w:tcBorders>
              <w:top w:val="single" w:color="000000" w:sz="8" w:space="0"/>
              <w:left w:val="single" w:color="000000" w:sz="8" w:space="0"/>
              <w:bottom w:val="single" w:color="000000" w:sz="8" w:space="0"/>
              <w:right w:val="single" w:color="000000" w:sz="8" w:space="0"/>
            </w:tcBorders>
            <w:vAlign w:val="center"/>
          </w:tcPr>
          <w:p w14:paraId="18E48963">
            <w:pPr>
              <w:spacing w:line="400" w:lineRule="exact"/>
              <w:jc w:val="center"/>
              <w:rPr>
                <w:rFonts w:hint="eastAsia" w:ascii="楷体_GB2312" w:hAnsi="楷体_GB2312" w:eastAsia="楷体_GB2312" w:cs="楷体_GB2312"/>
                <w:b/>
                <w:color w:val="000000"/>
                <w:sz w:val="22"/>
                <w:highlight w:val="none"/>
              </w:rPr>
            </w:pPr>
            <w:r>
              <w:rPr>
                <w:rFonts w:hint="eastAsia" w:ascii="楷体_GB2312" w:hAnsi="楷体_GB2312" w:eastAsia="楷体_GB2312" w:cs="楷体_GB2312"/>
                <w:b/>
                <w:color w:val="000000"/>
                <w:sz w:val="22"/>
                <w:highlight w:val="none"/>
              </w:rPr>
              <w:t>成立日期</w:t>
            </w:r>
          </w:p>
        </w:tc>
        <w:tc>
          <w:tcPr>
            <w:tcW w:w="3338" w:type="pct"/>
            <w:tcBorders>
              <w:top w:val="single" w:color="000000" w:sz="8" w:space="0"/>
              <w:left w:val="single" w:color="000000" w:sz="8" w:space="0"/>
              <w:bottom w:val="single" w:color="000000" w:sz="8" w:space="0"/>
              <w:right w:val="single" w:color="000000" w:sz="8" w:space="0"/>
            </w:tcBorders>
            <w:vAlign w:val="center"/>
          </w:tcPr>
          <w:p w14:paraId="0D4638B0">
            <w:pPr>
              <w:spacing w:line="400" w:lineRule="exact"/>
              <w:jc w:val="center"/>
              <w:rPr>
                <w:rFonts w:hint="default" w:ascii="楷体_GB2312" w:hAnsi="楷体_GB2312" w:eastAsia="楷体_GB2312" w:cs="楷体_GB2312"/>
                <w:bCs/>
                <w:color w:val="000000"/>
                <w:sz w:val="22"/>
                <w:highlight w:val="none"/>
                <w:lang w:val="en-US" w:eastAsia="zh-CN"/>
              </w:rPr>
            </w:pPr>
            <w:r>
              <w:rPr>
                <w:rFonts w:hint="eastAsia" w:ascii="楷体_GB2312" w:hAnsi="楷体_GB2312" w:eastAsia="楷体_GB2312" w:cs="楷体_GB2312"/>
                <w:bCs/>
                <w:color w:val="000000"/>
                <w:sz w:val="22"/>
                <w:highlight w:val="none"/>
                <w:lang w:val="en-US" w:eastAsia="zh-CN"/>
              </w:rPr>
              <w:t>1993</w:t>
            </w:r>
            <w:r>
              <w:rPr>
                <w:rFonts w:hint="eastAsia" w:ascii="楷体_GB2312" w:hAnsi="楷体_GB2312" w:eastAsia="楷体_GB2312" w:cs="楷体_GB2312"/>
                <w:bCs/>
                <w:color w:val="000000"/>
                <w:sz w:val="22"/>
                <w:highlight w:val="none"/>
              </w:rPr>
              <w:t>-</w:t>
            </w:r>
            <w:r>
              <w:rPr>
                <w:rFonts w:hint="eastAsia" w:ascii="楷体_GB2312" w:hAnsi="楷体_GB2312" w:eastAsia="楷体_GB2312" w:cs="楷体_GB2312"/>
                <w:bCs/>
                <w:color w:val="000000"/>
                <w:sz w:val="22"/>
                <w:highlight w:val="none"/>
                <w:lang w:val="en-US" w:eastAsia="zh-CN"/>
              </w:rPr>
              <w:t>12</w:t>
            </w:r>
            <w:r>
              <w:rPr>
                <w:rFonts w:hint="eastAsia" w:ascii="楷体_GB2312" w:hAnsi="楷体_GB2312" w:eastAsia="楷体_GB2312" w:cs="楷体_GB2312"/>
                <w:bCs/>
                <w:color w:val="000000"/>
                <w:sz w:val="22"/>
                <w:highlight w:val="none"/>
              </w:rPr>
              <w:t>-</w:t>
            </w:r>
            <w:r>
              <w:rPr>
                <w:rFonts w:hint="eastAsia" w:ascii="楷体_GB2312" w:hAnsi="楷体_GB2312" w:eastAsia="楷体_GB2312" w:cs="楷体_GB2312"/>
                <w:bCs/>
                <w:color w:val="000000"/>
                <w:sz w:val="22"/>
                <w:highlight w:val="none"/>
                <w:lang w:val="en-US" w:eastAsia="zh-CN"/>
              </w:rPr>
              <w:t>17</w:t>
            </w:r>
          </w:p>
        </w:tc>
      </w:tr>
      <w:tr w14:paraId="57BE3950">
        <w:trPr>
          <w:cantSplit/>
          <w:trHeight w:val="454" w:hRule="atLeast"/>
          <w:jc w:val="center"/>
        </w:trPr>
        <w:tc>
          <w:tcPr>
            <w:tcW w:w="1661" w:type="pct"/>
            <w:tcBorders>
              <w:top w:val="single" w:color="000000" w:sz="8" w:space="0"/>
              <w:left w:val="single" w:color="000000" w:sz="8" w:space="0"/>
              <w:bottom w:val="single" w:color="000000" w:sz="8" w:space="0"/>
              <w:right w:val="single" w:color="000000" w:sz="8" w:space="0"/>
            </w:tcBorders>
            <w:vAlign w:val="center"/>
          </w:tcPr>
          <w:p w14:paraId="0D09D286">
            <w:pPr>
              <w:spacing w:line="400" w:lineRule="exact"/>
              <w:jc w:val="center"/>
              <w:rPr>
                <w:rFonts w:hint="eastAsia" w:ascii="楷体_GB2312" w:hAnsi="楷体_GB2312" w:eastAsia="楷体_GB2312" w:cs="楷体_GB2312"/>
                <w:b/>
                <w:color w:val="000000"/>
                <w:sz w:val="22"/>
                <w:highlight w:val="none"/>
              </w:rPr>
            </w:pPr>
            <w:r>
              <w:rPr>
                <w:rFonts w:hint="eastAsia" w:ascii="楷体_GB2312" w:hAnsi="楷体_GB2312" w:eastAsia="楷体_GB2312" w:cs="楷体_GB2312"/>
                <w:b/>
                <w:color w:val="000000"/>
                <w:sz w:val="22"/>
                <w:highlight w:val="none"/>
              </w:rPr>
              <w:t>注册资本</w:t>
            </w:r>
          </w:p>
        </w:tc>
        <w:tc>
          <w:tcPr>
            <w:tcW w:w="3338" w:type="pct"/>
            <w:tcBorders>
              <w:top w:val="single" w:color="000000" w:sz="8" w:space="0"/>
              <w:left w:val="single" w:color="000000" w:sz="8" w:space="0"/>
              <w:bottom w:val="single" w:color="000000" w:sz="8" w:space="0"/>
              <w:right w:val="single" w:color="000000" w:sz="8" w:space="0"/>
            </w:tcBorders>
            <w:vAlign w:val="center"/>
          </w:tcPr>
          <w:p w14:paraId="6D081F3E">
            <w:pPr>
              <w:spacing w:line="400" w:lineRule="exact"/>
              <w:jc w:val="center"/>
              <w:rPr>
                <w:rFonts w:hint="eastAsia" w:ascii="楷体_GB2312" w:hAnsi="楷体_GB2312" w:eastAsia="楷体_GB2312" w:cs="楷体_GB2312"/>
                <w:bCs/>
                <w:color w:val="000000"/>
                <w:sz w:val="22"/>
                <w:highlight w:val="none"/>
              </w:rPr>
            </w:pPr>
            <w:r>
              <w:rPr>
                <w:rFonts w:hint="eastAsia" w:ascii="楷体_GB2312" w:hAnsi="楷体_GB2312" w:eastAsia="楷体_GB2312" w:cs="楷体_GB2312"/>
                <w:bCs/>
                <w:color w:val="000000"/>
                <w:sz w:val="22"/>
                <w:highlight w:val="none"/>
                <w:lang w:val="en-US" w:eastAsia="zh-CN"/>
              </w:rPr>
              <w:t>20</w:t>
            </w:r>
            <w:r>
              <w:rPr>
                <w:rFonts w:hint="eastAsia" w:ascii="楷体_GB2312" w:hAnsi="楷体_GB2312" w:eastAsia="楷体_GB2312" w:cs="楷体_GB2312"/>
                <w:bCs/>
                <w:color w:val="000000"/>
                <w:sz w:val="22"/>
                <w:highlight w:val="none"/>
              </w:rPr>
              <w:t>万</w:t>
            </w:r>
            <w:r>
              <w:rPr>
                <w:rFonts w:hint="eastAsia" w:ascii="楷体_GB2312" w:hAnsi="楷体_GB2312" w:eastAsia="楷体_GB2312" w:cs="楷体_GB2312"/>
                <w:bCs/>
                <w:color w:val="000000"/>
                <w:sz w:val="22"/>
                <w:highlight w:val="none"/>
                <w:lang w:val="en-US" w:eastAsia="zh-CN"/>
              </w:rPr>
              <w:t>美</w:t>
            </w:r>
            <w:r>
              <w:rPr>
                <w:rFonts w:hint="eastAsia" w:ascii="楷体_GB2312" w:hAnsi="楷体_GB2312" w:eastAsia="楷体_GB2312" w:cs="楷体_GB2312"/>
                <w:bCs/>
                <w:color w:val="000000"/>
                <w:sz w:val="22"/>
                <w:highlight w:val="none"/>
              </w:rPr>
              <w:t>元</w:t>
            </w:r>
          </w:p>
        </w:tc>
      </w:tr>
      <w:tr w14:paraId="4FE43A46">
        <w:trPr>
          <w:cantSplit/>
          <w:trHeight w:val="454" w:hRule="atLeast"/>
          <w:jc w:val="center"/>
        </w:trPr>
        <w:tc>
          <w:tcPr>
            <w:tcW w:w="1661" w:type="pct"/>
            <w:tcBorders>
              <w:top w:val="single" w:color="000000" w:sz="8" w:space="0"/>
              <w:left w:val="single" w:color="000000" w:sz="8" w:space="0"/>
              <w:bottom w:val="single" w:color="000000" w:sz="8" w:space="0"/>
              <w:right w:val="single" w:color="000000" w:sz="8" w:space="0"/>
            </w:tcBorders>
            <w:vAlign w:val="center"/>
          </w:tcPr>
          <w:p w14:paraId="64F93CAF">
            <w:pPr>
              <w:spacing w:line="400" w:lineRule="exact"/>
              <w:jc w:val="center"/>
              <w:rPr>
                <w:rFonts w:hint="eastAsia" w:ascii="楷体_GB2312" w:hAnsi="楷体_GB2312" w:eastAsia="楷体_GB2312" w:cs="楷体_GB2312"/>
                <w:b/>
                <w:color w:val="000000"/>
                <w:sz w:val="22"/>
                <w:highlight w:val="none"/>
              </w:rPr>
            </w:pPr>
            <w:r>
              <w:rPr>
                <w:rFonts w:hint="eastAsia" w:ascii="楷体_GB2312" w:hAnsi="楷体_GB2312" w:eastAsia="楷体_GB2312" w:cs="楷体_GB2312"/>
                <w:b/>
                <w:color w:val="000000"/>
                <w:sz w:val="22"/>
                <w:highlight w:val="none"/>
              </w:rPr>
              <w:t>类型</w:t>
            </w:r>
          </w:p>
        </w:tc>
        <w:tc>
          <w:tcPr>
            <w:tcW w:w="3338" w:type="pct"/>
            <w:tcBorders>
              <w:top w:val="single" w:color="000000" w:sz="8" w:space="0"/>
              <w:left w:val="single" w:color="000000" w:sz="8" w:space="0"/>
              <w:bottom w:val="single" w:color="000000" w:sz="8" w:space="0"/>
              <w:right w:val="single" w:color="000000" w:sz="8" w:space="0"/>
            </w:tcBorders>
            <w:vAlign w:val="center"/>
          </w:tcPr>
          <w:p w14:paraId="143ABC43">
            <w:pPr>
              <w:spacing w:line="400" w:lineRule="exact"/>
              <w:jc w:val="center"/>
              <w:rPr>
                <w:rFonts w:hint="eastAsia" w:ascii="楷体_GB2312" w:hAnsi="楷体_GB2312" w:eastAsia="楷体_GB2312" w:cs="楷体_GB2312"/>
                <w:bCs/>
                <w:color w:val="000000"/>
                <w:sz w:val="22"/>
                <w:highlight w:val="none"/>
              </w:rPr>
            </w:pPr>
            <w:r>
              <w:rPr>
                <w:rFonts w:hint="eastAsia" w:ascii="楷体_GB2312" w:hAnsi="楷体_GB2312" w:eastAsia="楷体_GB2312" w:cs="楷体_GB2312"/>
                <w:bCs/>
                <w:color w:val="000000"/>
                <w:sz w:val="22"/>
                <w:highlight w:val="none"/>
              </w:rPr>
              <w:t>有限责任公司(</w:t>
            </w:r>
            <w:r>
              <w:rPr>
                <w:rFonts w:hint="eastAsia" w:ascii="楷体_GB2312" w:hAnsi="楷体_GB2312" w:eastAsia="楷体_GB2312" w:cs="楷体_GB2312"/>
                <w:bCs/>
                <w:color w:val="000000"/>
                <w:sz w:val="22"/>
                <w:highlight w:val="none"/>
                <w:lang w:val="en-US" w:eastAsia="zh-CN"/>
              </w:rPr>
              <w:t>中外</w:t>
            </w:r>
            <w:r>
              <w:rPr>
                <w:rFonts w:hint="eastAsia" w:ascii="楷体_GB2312" w:hAnsi="楷体_GB2312" w:eastAsia="楷体_GB2312" w:cs="楷体_GB2312"/>
                <w:bCs/>
                <w:color w:val="000000"/>
                <w:sz w:val="22"/>
                <w:highlight w:val="none"/>
              </w:rPr>
              <w:t>合资)</w:t>
            </w:r>
          </w:p>
        </w:tc>
      </w:tr>
      <w:tr w14:paraId="5E83BDEA">
        <w:trPr>
          <w:cantSplit/>
          <w:trHeight w:val="454" w:hRule="atLeast"/>
          <w:jc w:val="center"/>
        </w:trPr>
        <w:tc>
          <w:tcPr>
            <w:tcW w:w="1661" w:type="pct"/>
            <w:tcBorders>
              <w:top w:val="single" w:color="000000" w:sz="8" w:space="0"/>
              <w:left w:val="single" w:color="000000" w:sz="8" w:space="0"/>
              <w:bottom w:val="single" w:color="000000" w:sz="8" w:space="0"/>
              <w:right w:val="single" w:color="000000" w:sz="8" w:space="0"/>
            </w:tcBorders>
            <w:vAlign w:val="center"/>
          </w:tcPr>
          <w:p w14:paraId="6D4F63A3">
            <w:pPr>
              <w:spacing w:line="400" w:lineRule="exact"/>
              <w:jc w:val="center"/>
              <w:rPr>
                <w:rFonts w:hint="eastAsia" w:ascii="楷体_GB2312" w:hAnsi="楷体_GB2312" w:eastAsia="楷体_GB2312" w:cs="楷体_GB2312"/>
                <w:b/>
                <w:color w:val="000000"/>
                <w:sz w:val="22"/>
                <w:highlight w:val="none"/>
              </w:rPr>
            </w:pPr>
            <w:r>
              <w:rPr>
                <w:rFonts w:hint="eastAsia" w:ascii="楷体_GB2312" w:hAnsi="楷体_GB2312" w:eastAsia="楷体_GB2312" w:cs="楷体_GB2312"/>
                <w:b/>
                <w:color w:val="000000"/>
                <w:sz w:val="22"/>
                <w:highlight w:val="none"/>
              </w:rPr>
              <w:t>住所</w:t>
            </w:r>
          </w:p>
        </w:tc>
        <w:tc>
          <w:tcPr>
            <w:tcW w:w="3338" w:type="pct"/>
            <w:tcBorders>
              <w:top w:val="single" w:color="000000" w:sz="8" w:space="0"/>
              <w:left w:val="single" w:color="000000" w:sz="8" w:space="0"/>
              <w:bottom w:val="single" w:color="000000" w:sz="8" w:space="0"/>
              <w:right w:val="single" w:color="000000" w:sz="8" w:space="0"/>
            </w:tcBorders>
            <w:vAlign w:val="center"/>
          </w:tcPr>
          <w:p w14:paraId="56C4BD3E">
            <w:pPr>
              <w:spacing w:line="400" w:lineRule="exact"/>
              <w:jc w:val="center"/>
              <w:rPr>
                <w:rFonts w:hint="eastAsia" w:ascii="楷体_GB2312" w:hAnsi="楷体_GB2312" w:eastAsia="楷体_GB2312" w:cs="楷体_GB2312"/>
                <w:bCs/>
                <w:color w:val="000000"/>
                <w:sz w:val="22"/>
                <w:highlight w:val="none"/>
              </w:rPr>
            </w:pPr>
            <w:r>
              <w:rPr>
                <w:rFonts w:hint="eastAsia" w:ascii="楷体_GB2312" w:hAnsi="楷体_GB2312" w:eastAsia="楷体_GB2312" w:cs="楷体_GB2312"/>
                <w:bCs/>
                <w:color w:val="000000"/>
                <w:sz w:val="22"/>
                <w:highlight w:val="none"/>
              </w:rPr>
              <w:t>北京市东城区灯市口大街14号</w:t>
            </w:r>
          </w:p>
        </w:tc>
      </w:tr>
      <w:tr w14:paraId="7F770374">
        <w:trPr>
          <w:cantSplit/>
          <w:trHeight w:val="454" w:hRule="atLeast"/>
          <w:jc w:val="center"/>
        </w:trPr>
        <w:tc>
          <w:tcPr>
            <w:tcW w:w="1661" w:type="pct"/>
            <w:tcBorders>
              <w:top w:val="single" w:color="000000" w:sz="8" w:space="0"/>
              <w:left w:val="single" w:color="000000" w:sz="8" w:space="0"/>
              <w:bottom w:val="single" w:color="000000" w:sz="8" w:space="0"/>
              <w:right w:val="single" w:color="000000" w:sz="8" w:space="0"/>
            </w:tcBorders>
            <w:vAlign w:val="center"/>
          </w:tcPr>
          <w:p w14:paraId="2A6910AF">
            <w:pPr>
              <w:spacing w:line="400" w:lineRule="exact"/>
              <w:jc w:val="center"/>
              <w:rPr>
                <w:rFonts w:hint="eastAsia" w:ascii="楷体_GB2312" w:hAnsi="楷体_GB2312" w:eastAsia="楷体_GB2312" w:cs="楷体_GB2312"/>
                <w:b/>
                <w:color w:val="000000"/>
                <w:sz w:val="22"/>
                <w:highlight w:val="none"/>
              </w:rPr>
            </w:pPr>
            <w:bookmarkStart w:id="1" w:name="_Hlk193548964"/>
            <w:r>
              <w:rPr>
                <w:rFonts w:hint="eastAsia" w:ascii="楷体_GB2312" w:hAnsi="楷体_GB2312" w:eastAsia="楷体_GB2312" w:cs="楷体_GB2312"/>
                <w:b/>
                <w:color w:val="000000"/>
                <w:sz w:val="22"/>
                <w:highlight w:val="none"/>
              </w:rPr>
              <w:t>经营范围</w:t>
            </w:r>
          </w:p>
        </w:tc>
        <w:tc>
          <w:tcPr>
            <w:tcW w:w="3338" w:type="pct"/>
            <w:tcBorders>
              <w:top w:val="single" w:color="000000" w:sz="8" w:space="0"/>
              <w:left w:val="single" w:color="000000" w:sz="8" w:space="0"/>
              <w:bottom w:val="single" w:color="000000" w:sz="8" w:space="0"/>
              <w:right w:val="single" w:color="000000" w:sz="8" w:space="0"/>
            </w:tcBorders>
            <w:vAlign w:val="center"/>
          </w:tcPr>
          <w:p w14:paraId="19DE5B9A">
            <w:pPr>
              <w:spacing w:line="400" w:lineRule="exact"/>
              <w:jc w:val="center"/>
              <w:rPr>
                <w:rFonts w:hint="eastAsia" w:ascii="楷体_GB2312" w:hAnsi="楷体_GB2312" w:eastAsia="楷体_GB2312" w:cs="楷体_GB2312"/>
                <w:bCs/>
                <w:color w:val="000000"/>
                <w:sz w:val="22"/>
                <w:highlight w:val="none"/>
                <w:lang w:eastAsia="zh-CN"/>
              </w:rPr>
            </w:pPr>
            <w:r>
              <w:rPr>
                <w:rFonts w:hint="eastAsia" w:ascii="楷体_GB2312" w:hAnsi="楷体_GB2312" w:eastAsia="楷体_GB2312" w:cs="楷体_GB2312"/>
                <w:bCs/>
                <w:color w:val="000000"/>
                <w:sz w:val="22"/>
                <w:highlight w:val="none"/>
              </w:rPr>
              <w:t>投资咨询、商务贸易的咨询服务。</w:t>
            </w:r>
          </w:p>
        </w:tc>
      </w:tr>
      <w:bookmarkEnd w:id="1"/>
      <w:tr w14:paraId="311FB50F">
        <w:trPr>
          <w:cantSplit/>
          <w:trHeight w:val="454" w:hRule="atLeast"/>
          <w:jc w:val="center"/>
        </w:trPr>
        <w:tc>
          <w:tcPr>
            <w:tcW w:w="1661" w:type="pct"/>
            <w:tcBorders>
              <w:top w:val="single" w:color="000000" w:sz="8" w:space="0"/>
              <w:left w:val="single" w:color="000000" w:sz="8" w:space="0"/>
              <w:bottom w:val="single" w:color="000000" w:sz="8" w:space="0"/>
              <w:right w:val="single" w:color="000000" w:sz="8" w:space="0"/>
            </w:tcBorders>
            <w:vAlign w:val="center"/>
          </w:tcPr>
          <w:p w14:paraId="6C4EDC86">
            <w:pPr>
              <w:spacing w:line="400" w:lineRule="exact"/>
              <w:jc w:val="center"/>
              <w:rPr>
                <w:rFonts w:hint="eastAsia" w:ascii="楷体_GB2312" w:hAnsi="楷体_GB2312" w:eastAsia="楷体_GB2312" w:cs="楷体_GB2312"/>
                <w:b/>
                <w:color w:val="000000"/>
                <w:sz w:val="22"/>
                <w:highlight w:val="none"/>
              </w:rPr>
            </w:pPr>
            <w:r>
              <w:rPr>
                <w:rFonts w:hint="eastAsia" w:ascii="楷体_GB2312" w:hAnsi="楷体_GB2312" w:eastAsia="楷体_GB2312" w:cs="楷体_GB2312"/>
                <w:b/>
                <w:color w:val="000000"/>
                <w:sz w:val="22"/>
                <w:highlight w:val="none"/>
              </w:rPr>
              <w:t>登记机关</w:t>
            </w:r>
          </w:p>
        </w:tc>
        <w:tc>
          <w:tcPr>
            <w:tcW w:w="3338" w:type="pct"/>
            <w:tcBorders>
              <w:top w:val="single" w:color="000000" w:sz="8" w:space="0"/>
              <w:left w:val="single" w:color="000000" w:sz="8" w:space="0"/>
              <w:bottom w:val="single" w:color="000000" w:sz="8" w:space="0"/>
              <w:right w:val="single" w:color="000000" w:sz="8" w:space="0"/>
            </w:tcBorders>
            <w:vAlign w:val="center"/>
          </w:tcPr>
          <w:p w14:paraId="1EB4B7E4">
            <w:pPr>
              <w:spacing w:line="400" w:lineRule="exact"/>
              <w:jc w:val="center"/>
              <w:rPr>
                <w:rFonts w:hint="eastAsia" w:ascii="楷体_GB2312" w:hAnsi="楷体_GB2312" w:eastAsia="楷体_GB2312" w:cs="楷体_GB2312"/>
                <w:bCs/>
                <w:color w:val="000000"/>
                <w:sz w:val="22"/>
                <w:highlight w:val="none"/>
                <w:lang w:val="en-US" w:eastAsia="zh-CN"/>
              </w:rPr>
            </w:pPr>
            <w:r>
              <w:rPr>
                <w:rFonts w:hint="eastAsia" w:ascii="楷体_GB2312" w:hAnsi="楷体_GB2312" w:eastAsia="楷体_GB2312" w:cs="楷体_GB2312"/>
                <w:bCs/>
                <w:color w:val="000000"/>
                <w:sz w:val="22"/>
                <w:highlight w:val="none"/>
              </w:rPr>
              <w:t>北京市</w:t>
            </w:r>
            <w:r>
              <w:rPr>
                <w:rFonts w:hint="eastAsia" w:ascii="楷体_GB2312" w:hAnsi="楷体_GB2312" w:eastAsia="楷体_GB2312" w:cs="楷体_GB2312"/>
                <w:bCs/>
                <w:color w:val="000000"/>
                <w:sz w:val="22"/>
                <w:highlight w:val="none"/>
                <w:lang w:val="en-US" w:eastAsia="zh-CN"/>
              </w:rPr>
              <w:t>工商行政管理局</w:t>
            </w:r>
          </w:p>
          <w:p w14:paraId="4C97ABB2">
            <w:pPr>
              <w:spacing w:line="400" w:lineRule="exact"/>
              <w:jc w:val="center"/>
              <w:rPr>
                <w:rFonts w:hint="eastAsia" w:ascii="楷体_GB2312" w:hAnsi="楷体_GB2312" w:eastAsia="楷体_GB2312" w:cs="楷体_GB2312"/>
                <w:bCs/>
                <w:color w:val="000000"/>
                <w:sz w:val="22"/>
                <w:highlight w:val="none"/>
              </w:rPr>
            </w:pPr>
            <w:r>
              <w:rPr>
                <w:rFonts w:hint="eastAsia" w:ascii="楷体_GB2312" w:hAnsi="楷体_GB2312" w:eastAsia="楷体_GB2312" w:cs="楷体_GB2312"/>
                <w:bCs/>
                <w:color w:val="000000"/>
                <w:sz w:val="22"/>
                <w:highlight w:val="none"/>
                <w:lang w:val="en-US" w:eastAsia="zh-CN"/>
              </w:rPr>
              <w:t>（已于2019年3月整合至</w:t>
            </w:r>
            <w:r>
              <w:rPr>
                <w:rFonts w:hint="eastAsia" w:ascii="楷体_GB2312" w:hAnsi="楷体_GB2312" w:eastAsia="楷体_GB2312" w:cs="楷体_GB2312"/>
                <w:bCs/>
                <w:color w:val="000000"/>
                <w:sz w:val="22"/>
                <w:highlight w:val="none"/>
              </w:rPr>
              <w:t>朝阳区市场监督管理局</w:t>
            </w:r>
            <w:r>
              <w:rPr>
                <w:rFonts w:hint="eastAsia" w:ascii="楷体_GB2312" w:hAnsi="楷体_GB2312" w:eastAsia="楷体_GB2312" w:cs="楷体_GB2312"/>
                <w:bCs/>
                <w:color w:val="000000"/>
                <w:sz w:val="22"/>
                <w:highlight w:val="none"/>
                <w:lang w:eastAsia="zh-CN"/>
              </w:rPr>
              <w:t>）</w:t>
            </w:r>
          </w:p>
        </w:tc>
      </w:tr>
      <w:tr w14:paraId="1F8E8E73">
        <w:trPr>
          <w:cantSplit/>
          <w:trHeight w:val="454" w:hRule="atLeast"/>
          <w:jc w:val="center"/>
        </w:trPr>
        <w:tc>
          <w:tcPr>
            <w:tcW w:w="1661" w:type="pct"/>
            <w:tcBorders>
              <w:top w:val="single" w:color="000000" w:sz="8" w:space="0"/>
              <w:left w:val="single" w:color="000000" w:sz="8" w:space="0"/>
              <w:bottom w:val="single" w:color="000000" w:sz="8" w:space="0"/>
              <w:right w:val="single" w:color="000000" w:sz="8" w:space="0"/>
            </w:tcBorders>
            <w:vAlign w:val="center"/>
          </w:tcPr>
          <w:p w14:paraId="6E43B931">
            <w:pPr>
              <w:spacing w:line="400" w:lineRule="exact"/>
              <w:jc w:val="center"/>
              <w:rPr>
                <w:rFonts w:hint="eastAsia" w:ascii="楷体_GB2312" w:hAnsi="楷体_GB2312" w:eastAsia="楷体_GB2312" w:cs="楷体_GB2312"/>
                <w:b/>
                <w:color w:val="000000"/>
                <w:sz w:val="22"/>
                <w:highlight w:val="none"/>
              </w:rPr>
            </w:pPr>
            <w:r>
              <w:rPr>
                <w:rFonts w:hint="eastAsia" w:ascii="楷体_GB2312" w:hAnsi="楷体_GB2312" w:eastAsia="楷体_GB2312" w:cs="楷体_GB2312"/>
                <w:b/>
                <w:color w:val="000000"/>
                <w:sz w:val="22"/>
                <w:highlight w:val="none"/>
              </w:rPr>
              <w:t>营业期限</w:t>
            </w:r>
          </w:p>
        </w:tc>
        <w:tc>
          <w:tcPr>
            <w:tcW w:w="3338" w:type="pct"/>
            <w:tcBorders>
              <w:top w:val="single" w:color="000000" w:sz="8" w:space="0"/>
              <w:left w:val="single" w:color="000000" w:sz="8" w:space="0"/>
              <w:bottom w:val="single" w:color="000000" w:sz="8" w:space="0"/>
              <w:right w:val="single" w:color="000000" w:sz="8" w:space="0"/>
            </w:tcBorders>
            <w:vAlign w:val="center"/>
          </w:tcPr>
          <w:p w14:paraId="5AF946C8">
            <w:pPr>
              <w:spacing w:line="400" w:lineRule="exact"/>
              <w:jc w:val="center"/>
              <w:rPr>
                <w:rFonts w:hint="default" w:ascii="楷体_GB2312" w:hAnsi="楷体_GB2312" w:eastAsia="楷体_GB2312" w:cs="楷体_GB2312"/>
                <w:bCs/>
                <w:color w:val="000000"/>
                <w:sz w:val="22"/>
                <w:highlight w:val="none"/>
                <w:lang w:val="en-US" w:eastAsia="zh-CN"/>
              </w:rPr>
            </w:pPr>
            <w:r>
              <w:rPr>
                <w:rFonts w:hint="eastAsia" w:ascii="楷体_GB2312" w:hAnsi="楷体_GB2312" w:eastAsia="楷体_GB2312" w:cs="楷体_GB2312"/>
                <w:bCs/>
                <w:color w:val="000000"/>
                <w:sz w:val="22"/>
                <w:highlight w:val="none"/>
                <w:lang w:val="en-US" w:eastAsia="zh-CN"/>
              </w:rPr>
              <w:t>1993</w:t>
            </w:r>
            <w:r>
              <w:rPr>
                <w:rFonts w:hint="eastAsia" w:ascii="楷体_GB2312" w:hAnsi="楷体_GB2312" w:eastAsia="楷体_GB2312" w:cs="楷体_GB2312"/>
                <w:bCs/>
                <w:color w:val="000000"/>
                <w:sz w:val="22"/>
                <w:highlight w:val="none"/>
              </w:rPr>
              <w:t>-</w:t>
            </w:r>
            <w:r>
              <w:rPr>
                <w:rFonts w:hint="eastAsia" w:ascii="楷体_GB2312" w:hAnsi="楷体_GB2312" w:eastAsia="楷体_GB2312" w:cs="楷体_GB2312"/>
                <w:bCs/>
                <w:color w:val="000000"/>
                <w:sz w:val="22"/>
                <w:highlight w:val="none"/>
                <w:lang w:val="en-US" w:eastAsia="zh-CN"/>
              </w:rPr>
              <w:t>12</w:t>
            </w:r>
            <w:r>
              <w:rPr>
                <w:rFonts w:hint="eastAsia" w:ascii="楷体_GB2312" w:hAnsi="楷体_GB2312" w:eastAsia="楷体_GB2312" w:cs="楷体_GB2312"/>
                <w:bCs/>
                <w:color w:val="000000"/>
                <w:sz w:val="22"/>
                <w:highlight w:val="none"/>
              </w:rPr>
              <w:t>-</w:t>
            </w:r>
            <w:r>
              <w:rPr>
                <w:rFonts w:hint="eastAsia" w:ascii="楷体_GB2312" w:hAnsi="楷体_GB2312" w:eastAsia="楷体_GB2312" w:cs="楷体_GB2312"/>
                <w:bCs/>
                <w:color w:val="000000"/>
                <w:sz w:val="22"/>
                <w:highlight w:val="none"/>
                <w:lang w:val="en-US" w:eastAsia="zh-CN"/>
              </w:rPr>
              <w:t>17</w:t>
            </w:r>
            <w:r>
              <w:rPr>
                <w:rFonts w:hint="eastAsia" w:ascii="楷体_GB2312" w:hAnsi="楷体_GB2312" w:eastAsia="楷体_GB2312" w:cs="楷体_GB2312"/>
                <w:bCs/>
                <w:color w:val="000000"/>
                <w:sz w:val="22"/>
                <w:highlight w:val="none"/>
              </w:rPr>
              <w:t xml:space="preserve"> 至 </w:t>
            </w:r>
            <w:r>
              <w:rPr>
                <w:rFonts w:hint="eastAsia" w:ascii="楷体_GB2312" w:hAnsi="楷体_GB2312" w:eastAsia="楷体_GB2312" w:cs="楷体_GB2312"/>
                <w:bCs/>
                <w:color w:val="000000"/>
                <w:sz w:val="22"/>
                <w:highlight w:val="none"/>
                <w:lang w:val="en-US" w:eastAsia="zh-CN"/>
              </w:rPr>
              <w:t>2003年12月8日</w:t>
            </w:r>
          </w:p>
        </w:tc>
      </w:tr>
      <w:tr w14:paraId="474D076D">
        <w:trPr>
          <w:cantSplit/>
          <w:trHeight w:val="454" w:hRule="atLeast"/>
          <w:jc w:val="center"/>
        </w:trPr>
        <w:tc>
          <w:tcPr>
            <w:tcW w:w="1661" w:type="pct"/>
            <w:tcBorders>
              <w:top w:val="single" w:color="000000" w:sz="8" w:space="0"/>
              <w:left w:val="single" w:color="000000" w:sz="8" w:space="0"/>
              <w:bottom w:val="single" w:color="000000" w:sz="8" w:space="0"/>
              <w:right w:val="single" w:color="000000" w:sz="8" w:space="0"/>
            </w:tcBorders>
            <w:vAlign w:val="center"/>
          </w:tcPr>
          <w:p w14:paraId="36357595">
            <w:pPr>
              <w:spacing w:line="400" w:lineRule="exact"/>
              <w:jc w:val="center"/>
              <w:rPr>
                <w:rFonts w:hint="eastAsia" w:ascii="楷体_GB2312" w:hAnsi="楷体_GB2312" w:eastAsia="楷体_GB2312" w:cs="楷体_GB2312"/>
                <w:b/>
                <w:color w:val="000000"/>
                <w:sz w:val="22"/>
                <w:highlight w:val="none"/>
              </w:rPr>
            </w:pPr>
            <w:r>
              <w:rPr>
                <w:rFonts w:hint="eastAsia" w:ascii="楷体_GB2312" w:hAnsi="楷体_GB2312" w:eastAsia="楷体_GB2312" w:cs="楷体_GB2312"/>
                <w:b/>
                <w:color w:val="000000"/>
                <w:sz w:val="22"/>
                <w:highlight w:val="none"/>
              </w:rPr>
              <w:t>状态</w:t>
            </w:r>
          </w:p>
        </w:tc>
        <w:tc>
          <w:tcPr>
            <w:tcW w:w="3338" w:type="pct"/>
            <w:tcBorders>
              <w:top w:val="single" w:color="000000" w:sz="8" w:space="0"/>
              <w:left w:val="single" w:color="000000" w:sz="8" w:space="0"/>
              <w:bottom w:val="single" w:color="000000" w:sz="8" w:space="0"/>
              <w:right w:val="single" w:color="000000" w:sz="8" w:space="0"/>
            </w:tcBorders>
            <w:vAlign w:val="center"/>
          </w:tcPr>
          <w:p w14:paraId="24DC92A9">
            <w:pPr>
              <w:spacing w:line="400" w:lineRule="exact"/>
              <w:jc w:val="center"/>
              <w:rPr>
                <w:rFonts w:hint="eastAsia" w:ascii="楷体_GB2312" w:hAnsi="楷体_GB2312" w:eastAsia="楷体_GB2312" w:cs="楷体_GB2312"/>
                <w:bCs/>
                <w:color w:val="000000"/>
                <w:sz w:val="22"/>
                <w:highlight w:val="none"/>
              </w:rPr>
            </w:pPr>
            <w:r>
              <w:rPr>
                <w:rFonts w:hint="eastAsia" w:ascii="楷体_GB2312" w:hAnsi="楷体_GB2312" w:eastAsia="楷体_GB2312" w:cs="楷体_GB2312"/>
                <w:bCs/>
                <w:color w:val="000000"/>
                <w:sz w:val="22"/>
                <w:highlight w:val="none"/>
              </w:rPr>
              <w:t>吊销，未注销</w:t>
            </w:r>
          </w:p>
        </w:tc>
      </w:tr>
      <w:tr w14:paraId="75EE017A">
        <w:trPr>
          <w:cantSplit/>
          <w:trHeight w:val="454" w:hRule="atLeast"/>
          <w:jc w:val="center"/>
        </w:trPr>
        <w:tc>
          <w:tcPr>
            <w:tcW w:w="1661" w:type="pct"/>
            <w:tcBorders>
              <w:top w:val="single" w:color="000000" w:sz="8" w:space="0"/>
              <w:left w:val="single" w:color="000000" w:sz="8" w:space="0"/>
              <w:bottom w:val="single" w:color="000000" w:sz="8" w:space="0"/>
              <w:right w:val="single" w:color="000000" w:sz="8" w:space="0"/>
            </w:tcBorders>
            <w:vAlign w:val="center"/>
          </w:tcPr>
          <w:p w14:paraId="0536E985">
            <w:pPr>
              <w:spacing w:line="400" w:lineRule="exact"/>
              <w:jc w:val="center"/>
              <w:rPr>
                <w:rFonts w:hint="eastAsia" w:ascii="楷体_GB2312" w:hAnsi="楷体_GB2312" w:eastAsia="楷体_GB2312" w:cs="楷体_GB2312"/>
                <w:b/>
                <w:color w:val="000000"/>
                <w:sz w:val="22"/>
                <w:highlight w:val="none"/>
              </w:rPr>
            </w:pPr>
            <w:r>
              <w:rPr>
                <w:rFonts w:hint="eastAsia" w:ascii="楷体_GB2312" w:hAnsi="楷体_GB2312" w:eastAsia="楷体_GB2312" w:cs="楷体_GB2312"/>
                <w:b/>
                <w:color w:val="000000"/>
                <w:sz w:val="22"/>
                <w:highlight w:val="none"/>
              </w:rPr>
              <w:t>股东名称</w:t>
            </w:r>
          </w:p>
        </w:tc>
        <w:tc>
          <w:tcPr>
            <w:tcW w:w="3338" w:type="pct"/>
            <w:tcBorders>
              <w:top w:val="single" w:color="000000" w:sz="8" w:space="0"/>
              <w:left w:val="single" w:color="000000" w:sz="8" w:space="0"/>
              <w:bottom w:val="single" w:color="000000" w:sz="8" w:space="0"/>
              <w:right w:val="single" w:color="000000" w:sz="8" w:space="0"/>
            </w:tcBorders>
            <w:vAlign w:val="center"/>
          </w:tcPr>
          <w:p w14:paraId="57959C62">
            <w:pPr>
              <w:spacing w:line="400" w:lineRule="exact"/>
              <w:jc w:val="center"/>
              <w:rPr>
                <w:rFonts w:hint="default" w:ascii="楷体_GB2312" w:hAnsi="楷体_GB2312" w:eastAsia="楷体_GB2312" w:cs="楷体_GB2312"/>
                <w:bCs/>
                <w:color w:val="000000"/>
                <w:sz w:val="22"/>
                <w:highlight w:val="none"/>
                <w:lang w:val="en-US" w:eastAsia="zh-CN"/>
              </w:rPr>
            </w:pPr>
            <w:r>
              <w:rPr>
                <w:rFonts w:hint="eastAsia" w:ascii="楷体_GB2312" w:hAnsi="楷体_GB2312" w:eastAsia="楷体_GB2312" w:cs="楷体_GB2312"/>
                <w:bCs/>
                <w:color w:val="000000"/>
                <w:sz w:val="22"/>
                <w:highlight w:val="none"/>
                <w:lang w:val="en-US" w:eastAsia="zh-CN"/>
              </w:rPr>
              <w:t>中国南光有限公司（中方企业，认缴出资4万美元，占比20%）、香港培惠发展有限公司（港方企业，认缴出资16万美元，占比80%）</w:t>
            </w:r>
          </w:p>
        </w:tc>
      </w:tr>
    </w:tbl>
    <w:p w14:paraId="616FDD3B">
      <w:pPr>
        <w:pStyle w:val="21"/>
        <w:spacing w:before="289" w:beforeLines="50" w:after="289" w:afterLines="50"/>
        <w:ind w:left="0" w:firstLine="0"/>
        <w:outlineLvl w:val="1"/>
        <w:rPr>
          <w:rFonts w:hint="eastAsia" w:ascii="楷体_GB2312" w:hAnsi="楷体_GB2312" w:eastAsia="楷体_GB2312" w:cs="楷体_GB2312"/>
          <w:b/>
          <w:bCs/>
          <w:w w:val="105"/>
          <w:sz w:val="24"/>
          <w:szCs w:val="24"/>
          <w:highlight w:val="none"/>
          <w:lang w:eastAsia="zh-CN"/>
        </w:rPr>
      </w:pPr>
      <w:r>
        <w:rPr>
          <w:rFonts w:hint="eastAsia" w:ascii="楷体_GB2312" w:hAnsi="楷体_GB2312" w:eastAsia="楷体_GB2312" w:cs="楷体_GB2312"/>
          <w:b/>
          <w:bCs/>
          <w:w w:val="105"/>
          <w:sz w:val="24"/>
          <w:szCs w:val="24"/>
          <w:highlight w:val="none"/>
          <w:lang w:eastAsia="zh-CN"/>
        </w:rPr>
        <w:t>1.2 注册资本缴纳情况</w:t>
      </w:r>
    </w:p>
    <w:p w14:paraId="3A303020">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根据清算组调取的</w:t>
      </w:r>
      <w:r>
        <w:rPr>
          <w:rFonts w:hint="eastAsia" w:ascii="楷体_GB2312" w:hAnsi="楷体_GB2312" w:eastAsia="楷体_GB2312" w:cs="楷体_GB2312"/>
          <w:spacing w:val="-3"/>
          <w:sz w:val="24"/>
          <w:szCs w:val="24"/>
          <w:highlight w:val="none"/>
          <w:lang w:val="en-US" w:eastAsia="zh-CN"/>
        </w:rPr>
        <w:t>1995年</w:t>
      </w:r>
      <w:r>
        <w:rPr>
          <w:rFonts w:hint="eastAsia" w:ascii="楷体_GB2312" w:hAnsi="楷体_GB2312" w:eastAsia="楷体_GB2312" w:cs="楷体_GB2312"/>
          <w:spacing w:val="-3"/>
          <w:sz w:val="24"/>
          <w:szCs w:val="24"/>
          <w:highlight w:val="none"/>
          <w:lang w:eastAsia="zh-CN"/>
        </w:rPr>
        <w:t>工商档案</w:t>
      </w:r>
      <w:r>
        <w:rPr>
          <w:rFonts w:hint="eastAsia" w:ascii="楷体_GB2312" w:hAnsi="楷体_GB2312" w:eastAsia="楷体_GB2312" w:cs="楷体_GB2312"/>
          <w:spacing w:val="-3"/>
          <w:sz w:val="24"/>
          <w:szCs w:val="24"/>
          <w:highlight w:val="none"/>
          <w:lang w:val="en-US" w:eastAsia="zh-CN"/>
        </w:rPr>
        <w:t>所示</w:t>
      </w:r>
      <w:r>
        <w:rPr>
          <w:rFonts w:hint="eastAsia" w:ascii="楷体_GB2312" w:hAnsi="楷体_GB2312" w:eastAsia="楷体_GB2312" w:cs="楷体_GB2312"/>
          <w:spacing w:val="-3"/>
          <w:sz w:val="24"/>
          <w:szCs w:val="24"/>
          <w:highlight w:val="none"/>
          <w:lang w:eastAsia="zh-CN"/>
        </w:rPr>
        <w:t>，</w:t>
      </w:r>
      <w:r>
        <w:rPr>
          <w:rFonts w:hint="eastAsia" w:ascii="楷体_GB2312" w:hAnsi="楷体_GB2312" w:eastAsia="楷体_GB2312" w:cs="楷体_GB2312"/>
          <w:spacing w:val="-3"/>
          <w:sz w:val="24"/>
          <w:szCs w:val="24"/>
          <w:highlight w:val="none"/>
          <w:lang w:val="en-US" w:eastAsia="zh-CN"/>
        </w:rPr>
        <w:t>因港方股东撤资，太都国际公司两股东均未如期缴足注册资本</w:t>
      </w:r>
      <w:r>
        <w:rPr>
          <w:rFonts w:hint="eastAsia" w:ascii="楷体_GB2312" w:hAnsi="楷体_GB2312" w:eastAsia="楷体_GB2312" w:cs="楷体_GB2312"/>
          <w:spacing w:val="-3"/>
          <w:sz w:val="24"/>
          <w:szCs w:val="24"/>
          <w:highlight w:val="none"/>
          <w:lang w:eastAsia="zh-CN"/>
        </w:rPr>
        <w:t>。</w:t>
      </w:r>
    </w:p>
    <w:p w14:paraId="13DDD2E4">
      <w:pPr>
        <w:pStyle w:val="21"/>
        <w:spacing w:before="289" w:beforeLines="50" w:after="289" w:afterLines="50"/>
        <w:ind w:left="0" w:firstLine="0"/>
        <w:outlineLvl w:val="1"/>
        <w:rPr>
          <w:rFonts w:hint="eastAsia" w:ascii="楷体_GB2312" w:hAnsi="楷体_GB2312" w:eastAsia="楷体_GB2312" w:cs="楷体_GB2312"/>
          <w:b/>
          <w:bCs/>
          <w:w w:val="105"/>
          <w:sz w:val="24"/>
          <w:szCs w:val="24"/>
          <w:highlight w:val="none"/>
          <w:lang w:eastAsia="zh-CN"/>
        </w:rPr>
      </w:pPr>
      <w:r>
        <w:rPr>
          <w:rFonts w:hint="eastAsia" w:ascii="楷体_GB2312" w:hAnsi="楷体_GB2312" w:eastAsia="楷体_GB2312" w:cs="楷体_GB2312"/>
          <w:b/>
          <w:bCs/>
          <w:w w:val="105"/>
          <w:sz w:val="24"/>
          <w:szCs w:val="24"/>
          <w:highlight w:val="none"/>
          <w:lang w:eastAsia="zh-CN"/>
        </w:rPr>
        <w:t>1.3 分支机构情况</w:t>
      </w:r>
    </w:p>
    <w:p w14:paraId="643C415D">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根据企查查等网站公示信息显示，</w:t>
      </w:r>
      <w:r>
        <w:rPr>
          <w:rFonts w:hint="eastAsia" w:ascii="楷体_GB2312" w:hAnsi="楷体_GB2312" w:eastAsia="楷体_GB2312" w:cs="楷体_GB2312"/>
          <w:spacing w:val="-3"/>
          <w:sz w:val="24"/>
          <w:szCs w:val="24"/>
          <w:highlight w:val="none"/>
          <w:lang w:val="en-US" w:eastAsia="zh-CN"/>
        </w:rPr>
        <w:t>太都国际公司</w:t>
      </w:r>
      <w:r>
        <w:rPr>
          <w:rFonts w:hint="eastAsia" w:ascii="楷体_GB2312" w:hAnsi="楷体_GB2312" w:eastAsia="楷体_GB2312" w:cs="楷体_GB2312"/>
          <w:spacing w:val="-3"/>
          <w:sz w:val="24"/>
          <w:szCs w:val="24"/>
          <w:highlight w:val="none"/>
          <w:lang w:eastAsia="zh-CN"/>
        </w:rPr>
        <w:t>无分支机构</w:t>
      </w:r>
      <w:r>
        <w:rPr>
          <w:rFonts w:hint="eastAsia" w:ascii="楷体_GB2312" w:hAnsi="楷体_GB2312" w:eastAsia="楷体_GB2312" w:cs="楷体_GB2312"/>
          <w:spacing w:val="-3"/>
          <w:sz w:val="24"/>
          <w:szCs w:val="24"/>
          <w:highlight w:val="none"/>
          <w:lang w:val="en-US" w:eastAsia="zh-CN"/>
        </w:rPr>
        <w:t>或对外投资</w:t>
      </w:r>
      <w:r>
        <w:rPr>
          <w:rFonts w:hint="eastAsia" w:ascii="楷体_GB2312" w:hAnsi="楷体_GB2312" w:eastAsia="楷体_GB2312" w:cs="楷体_GB2312"/>
          <w:spacing w:val="-3"/>
          <w:sz w:val="24"/>
          <w:szCs w:val="24"/>
          <w:highlight w:val="none"/>
          <w:lang w:eastAsia="zh-CN"/>
        </w:rPr>
        <w:t>。</w:t>
      </w:r>
    </w:p>
    <w:p w14:paraId="32358F35">
      <w:pPr>
        <w:pStyle w:val="21"/>
        <w:spacing w:before="289" w:beforeLines="50" w:after="289" w:afterLines="50"/>
        <w:ind w:left="0" w:firstLine="0"/>
        <w:outlineLvl w:val="0"/>
        <w:rPr>
          <w:rFonts w:hint="eastAsia" w:ascii="楷体_GB2312" w:hAnsi="楷体_GB2312" w:eastAsia="楷体_GB2312" w:cs="楷体_GB2312"/>
          <w:b/>
          <w:bCs/>
          <w:w w:val="105"/>
          <w:sz w:val="24"/>
          <w:szCs w:val="24"/>
          <w:highlight w:val="none"/>
          <w:lang w:eastAsia="zh-CN"/>
        </w:rPr>
      </w:pPr>
      <w:r>
        <w:rPr>
          <w:rFonts w:hint="eastAsia" w:ascii="楷体_GB2312" w:hAnsi="楷体_GB2312" w:eastAsia="楷体_GB2312" w:cs="楷体_GB2312"/>
          <w:b/>
          <w:bCs/>
          <w:w w:val="105"/>
          <w:sz w:val="24"/>
          <w:szCs w:val="24"/>
          <w:highlight w:val="none"/>
          <w:lang w:eastAsia="zh-CN"/>
        </w:rPr>
        <w:t>2 清算组执行职务的具体情况</w:t>
      </w:r>
    </w:p>
    <w:p w14:paraId="67DAC84A">
      <w:pPr>
        <w:pStyle w:val="21"/>
        <w:spacing w:before="289" w:beforeLines="50" w:after="289" w:afterLines="50"/>
        <w:ind w:left="0" w:firstLine="0"/>
        <w:outlineLvl w:val="1"/>
        <w:rPr>
          <w:rFonts w:hint="eastAsia" w:ascii="楷体_GB2312" w:hAnsi="楷体_GB2312" w:eastAsia="楷体_GB2312" w:cs="楷体_GB2312"/>
          <w:b/>
          <w:bCs/>
          <w:w w:val="105"/>
          <w:sz w:val="24"/>
          <w:szCs w:val="24"/>
          <w:highlight w:val="none"/>
          <w:lang w:eastAsia="zh-CN"/>
        </w:rPr>
      </w:pPr>
      <w:r>
        <w:rPr>
          <w:rFonts w:hint="eastAsia" w:ascii="楷体_GB2312" w:hAnsi="楷体_GB2312" w:eastAsia="楷体_GB2312" w:cs="楷体_GB2312"/>
          <w:b/>
          <w:bCs/>
          <w:w w:val="105"/>
          <w:sz w:val="24"/>
          <w:szCs w:val="24"/>
          <w:highlight w:val="none"/>
          <w:lang w:eastAsia="zh-CN"/>
        </w:rPr>
        <w:t>2.1 建章立制及工作会议</w:t>
      </w:r>
    </w:p>
    <w:p w14:paraId="3FB84E3A">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2.1.1 建章立制</w:t>
      </w:r>
    </w:p>
    <w:p w14:paraId="491DE690">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清算组接受指定后，立即依据（2025）京01强清</w:t>
      </w:r>
      <w:r>
        <w:rPr>
          <w:rFonts w:hint="eastAsia" w:ascii="楷体_GB2312" w:hAnsi="楷体_GB2312" w:eastAsia="楷体_GB2312" w:cs="楷体_GB2312"/>
          <w:spacing w:val="-3"/>
          <w:sz w:val="24"/>
          <w:szCs w:val="24"/>
          <w:highlight w:val="none"/>
          <w:lang w:val="en-US" w:eastAsia="zh-CN"/>
        </w:rPr>
        <w:t>218</w:t>
      </w:r>
      <w:r>
        <w:rPr>
          <w:rFonts w:hint="eastAsia" w:ascii="楷体_GB2312" w:hAnsi="楷体_GB2312" w:eastAsia="楷体_GB2312" w:cs="楷体_GB2312"/>
          <w:spacing w:val="-3"/>
          <w:sz w:val="24"/>
          <w:szCs w:val="24"/>
          <w:highlight w:val="none"/>
          <w:lang w:eastAsia="zh-CN"/>
        </w:rPr>
        <w:t>号决定书及北京市第一中级人民法院函刻制清算组印章。清算组公章及财务专用章均已刻制完成。同时，为依法、高效开展工作，清算组结合过往项目经验并按照本案的实际需要制定了严格的工作制度，包括但不限于《清算组工作规程》《会议议事规则》《财务收支管理制度》《证照和印章管理制度》《档案管理制度》《保密制度》和《清算组处理突发重大事件的应急预案》等。</w:t>
      </w:r>
    </w:p>
    <w:p w14:paraId="47B87C77">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2.1.2 工作会议</w:t>
      </w:r>
    </w:p>
    <w:p w14:paraId="1A106DB9">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为确保清算工作的稳步推进，清算组还定期召开内部工作会议，通报工作进展，总结经验，发现问题，提出意见，并部署下一步的具体工作。</w:t>
      </w:r>
    </w:p>
    <w:p w14:paraId="007D1C37">
      <w:pPr>
        <w:pStyle w:val="21"/>
        <w:spacing w:before="289" w:beforeLines="50" w:after="289" w:afterLines="50"/>
        <w:ind w:left="0" w:firstLine="0"/>
        <w:outlineLvl w:val="1"/>
        <w:rPr>
          <w:rFonts w:hint="eastAsia" w:ascii="楷体_GB2312" w:hAnsi="楷体_GB2312" w:eastAsia="楷体_GB2312" w:cs="楷体_GB2312"/>
          <w:b/>
          <w:bCs/>
          <w:w w:val="105"/>
          <w:sz w:val="24"/>
          <w:szCs w:val="24"/>
          <w:highlight w:val="none"/>
          <w:lang w:eastAsia="zh-CN"/>
        </w:rPr>
      </w:pPr>
      <w:r>
        <w:rPr>
          <w:rFonts w:hint="eastAsia" w:ascii="楷体_GB2312" w:hAnsi="楷体_GB2312" w:eastAsia="楷体_GB2312" w:cs="楷体_GB2312"/>
          <w:b/>
          <w:bCs/>
          <w:w w:val="105"/>
          <w:sz w:val="24"/>
          <w:szCs w:val="24"/>
          <w:highlight w:val="none"/>
          <w:lang w:eastAsia="zh-CN"/>
        </w:rPr>
        <w:t>2.2 接管工作</w:t>
      </w:r>
    </w:p>
    <w:p w14:paraId="0B1818B6">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2.2.1 联系有关人员并通知其移交财产和资料</w:t>
      </w:r>
    </w:p>
    <w:p w14:paraId="4221A1B7">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2.2.1.1 联系情况</w:t>
      </w:r>
    </w:p>
    <w:p w14:paraId="56739198">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bookmarkStart w:id="2" w:name="OLE_LINK13"/>
      <w:r>
        <w:rPr>
          <w:rFonts w:hint="eastAsia" w:ascii="楷体_GB2312" w:hAnsi="楷体_GB2312" w:eastAsia="楷体_GB2312" w:cs="楷体_GB2312"/>
          <w:spacing w:val="-3"/>
          <w:sz w:val="24"/>
          <w:szCs w:val="24"/>
          <w:highlight w:val="none"/>
          <w:lang w:eastAsia="zh-CN"/>
        </w:rPr>
        <w:t>2025年</w:t>
      </w:r>
      <w:r>
        <w:rPr>
          <w:rFonts w:hint="eastAsia" w:ascii="楷体_GB2312" w:hAnsi="楷体_GB2312" w:eastAsia="楷体_GB2312" w:cs="楷体_GB2312"/>
          <w:spacing w:val="-3"/>
          <w:sz w:val="24"/>
          <w:szCs w:val="24"/>
          <w:highlight w:val="none"/>
          <w:lang w:val="en-US" w:eastAsia="zh-CN"/>
        </w:rPr>
        <w:t>10</w:t>
      </w:r>
      <w:r>
        <w:rPr>
          <w:rFonts w:hint="eastAsia" w:ascii="楷体_GB2312" w:hAnsi="楷体_GB2312" w:eastAsia="楷体_GB2312" w:cs="楷体_GB2312"/>
          <w:spacing w:val="-3"/>
          <w:sz w:val="24"/>
          <w:szCs w:val="24"/>
          <w:highlight w:val="none"/>
          <w:lang w:eastAsia="zh-CN"/>
        </w:rPr>
        <w:t>月</w:t>
      </w:r>
      <w:r>
        <w:rPr>
          <w:rFonts w:hint="eastAsia" w:ascii="楷体_GB2312" w:hAnsi="楷体_GB2312" w:eastAsia="楷体_GB2312" w:cs="楷体_GB2312"/>
          <w:spacing w:val="-3"/>
          <w:sz w:val="24"/>
          <w:szCs w:val="24"/>
          <w:highlight w:val="none"/>
          <w:lang w:val="en-US" w:eastAsia="zh-CN"/>
        </w:rPr>
        <w:t>10</w:t>
      </w:r>
      <w:r>
        <w:rPr>
          <w:rFonts w:hint="eastAsia" w:ascii="楷体_GB2312" w:hAnsi="楷体_GB2312" w:eastAsia="楷体_GB2312" w:cs="楷体_GB2312"/>
          <w:spacing w:val="-3"/>
          <w:sz w:val="24"/>
          <w:szCs w:val="24"/>
          <w:highlight w:val="none"/>
          <w:lang w:eastAsia="zh-CN"/>
        </w:rPr>
        <w:t>日，清算组与本案申请人</w:t>
      </w:r>
      <w:bookmarkStart w:id="3" w:name="OLE_LINK9"/>
      <w:r>
        <w:rPr>
          <w:rFonts w:hint="eastAsia" w:ascii="楷体_GB2312" w:hAnsi="楷体_GB2312" w:eastAsia="楷体_GB2312" w:cs="楷体_GB2312"/>
          <w:spacing w:val="-3"/>
          <w:sz w:val="24"/>
          <w:szCs w:val="24"/>
          <w:highlight w:val="none"/>
          <w:lang w:eastAsia="zh-CN"/>
        </w:rPr>
        <w:t>暨</w:t>
      </w:r>
      <w:r>
        <w:rPr>
          <w:rFonts w:hint="eastAsia" w:ascii="楷体_GB2312" w:hAnsi="楷体_GB2312" w:eastAsia="楷体_GB2312" w:cs="楷体_GB2312"/>
          <w:spacing w:val="-3"/>
          <w:sz w:val="24"/>
          <w:szCs w:val="24"/>
          <w:highlight w:val="none"/>
          <w:lang w:val="en-US" w:eastAsia="zh-CN"/>
        </w:rPr>
        <w:t>太都国际公司</w:t>
      </w:r>
      <w:r>
        <w:rPr>
          <w:rFonts w:hint="eastAsia" w:ascii="楷体_GB2312" w:hAnsi="楷体_GB2312" w:eastAsia="楷体_GB2312" w:cs="楷体_GB2312"/>
          <w:spacing w:val="-3"/>
          <w:sz w:val="24"/>
          <w:szCs w:val="24"/>
          <w:highlight w:val="none"/>
          <w:lang w:eastAsia="zh-CN"/>
        </w:rPr>
        <w:t>股东</w:t>
      </w:r>
      <w:bookmarkEnd w:id="3"/>
      <w:r>
        <w:rPr>
          <w:rFonts w:hint="eastAsia" w:ascii="楷体_GB2312" w:hAnsi="楷体_GB2312" w:eastAsia="楷体_GB2312" w:cs="楷体_GB2312"/>
          <w:spacing w:val="-3"/>
          <w:sz w:val="24"/>
          <w:szCs w:val="24"/>
          <w:highlight w:val="none"/>
          <w:lang w:val="en-US" w:eastAsia="zh-CN"/>
        </w:rPr>
        <w:t>中国南光进出口总</w:t>
      </w:r>
      <w:r>
        <w:rPr>
          <w:rFonts w:hint="eastAsia" w:ascii="楷体_GB2312" w:hAnsi="楷体_GB2312" w:eastAsia="楷体_GB2312" w:cs="楷体_GB2312"/>
          <w:spacing w:val="-3"/>
          <w:sz w:val="24"/>
          <w:szCs w:val="24"/>
          <w:highlight w:val="none"/>
          <w:lang w:eastAsia="zh-CN"/>
        </w:rPr>
        <w:t>公司（以下简称“</w:t>
      </w:r>
      <w:r>
        <w:rPr>
          <w:rFonts w:hint="eastAsia" w:ascii="楷体_GB2312" w:hAnsi="楷体_GB2312" w:eastAsia="楷体_GB2312" w:cs="楷体_GB2312"/>
          <w:spacing w:val="-3"/>
          <w:sz w:val="24"/>
          <w:szCs w:val="24"/>
          <w:highlight w:val="none"/>
          <w:lang w:val="en-US" w:eastAsia="zh-CN"/>
        </w:rPr>
        <w:t>南光</w:t>
      </w:r>
      <w:r>
        <w:rPr>
          <w:rFonts w:hint="eastAsia" w:ascii="楷体_GB2312" w:hAnsi="楷体_GB2312" w:eastAsia="楷体_GB2312" w:cs="楷体_GB2312"/>
          <w:spacing w:val="-3"/>
          <w:sz w:val="24"/>
          <w:szCs w:val="24"/>
          <w:highlight w:val="none"/>
          <w:lang w:eastAsia="zh-CN"/>
        </w:rPr>
        <w:t>公司”）</w:t>
      </w:r>
      <w:r>
        <w:rPr>
          <w:rFonts w:hint="eastAsia" w:ascii="楷体_GB2312" w:hAnsi="楷体_GB2312" w:eastAsia="楷体_GB2312" w:cs="楷体_GB2312"/>
          <w:spacing w:val="-3"/>
          <w:sz w:val="24"/>
          <w:szCs w:val="24"/>
          <w:highlight w:val="none"/>
          <w:lang w:val="en-US" w:eastAsia="zh-CN"/>
        </w:rPr>
        <w:t>代理律师李奕晖进行电话沟通</w:t>
      </w:r>
      <w:r>
        <w:rPr>
          <w:rFonts w:hint="eastAsia" w:ascii="楷体_GB2312" w:hAnsi="楷体_GB2312" w:eastAsia="楷体_GB2312" w:cs="楷体_GB2312"/>
          <w:spacing w:val="-3"/>
          <w:sz w:val="24"/>
          <w:szCs w:val="24"/>
          <w:highlight w:val="none"/>
          <w:lang w:eastAsia="zh-CN"/>
        </w:rPr>
        <w:t>，</w:t>
      </w:r>
      <w:r>
        <w:rPr>
          <w:rFonts w:hint="eastAsia" w:ascii="楷体_GB2312" w:hAnsi="楷体_GB2312" w:eastAsia="楷体_GB2312" w:cs="楷体_GB2312"/>
          <w:spacing w:val="-3"/>
          <w:sz w:val="24"/>
          <w:szCs w:val="24"/>
          <w:highlight w:val="none"/>
          <w:lang w:val="en-US" w:eastAsia="zh-CN"/>
        </w:rPr>
        <w:t>其表示因港方股东未实际投资，太都国际公司并不存在实际经营，南光公司亦不掌握太都国际公司任何材料或资产</w:t>
      </w:r>
      <w:r>
        <w:rPr>
          <w:rFonts w:hint="eastAsia" w:ascii="楷体_GB2312" w:hAnsi="楷体_GB2312" w:eastAsia="楷体_GB2312" w:cs="楷体_GB2312"/>
          <w:spacing w:val="-3"/>
          <w:sz w:val="24"/>
          <w:szCs w:val="24"/>
          <w:highlight w:val="none"/>
          <w:lang w:eastAsia="zh-CN"/>
        </w:rPr>
        <w:t>。</w:t>
      </w:r>
    </w:p>
    <w:p w14:paraId="56435A40">
      <w:pPr>
        <w:pStyle w:val="4"/>
        <w:spacing w:before="289" w:beforeLines="50" w:after="289" w:afterLines="50"/>
        <w:ind w:left="0"/>
        <w:jc w:val="both"/>
        <w:rPr>
          <w:rFonts w:hint="default" w:ascii="楷体_GB2312" w:hAnsi="楷体_GB2312" w:eastAsia="楷体_GB2312" w:cs="楷体_GB2312"/>
          <w:spacing w:val="-3"/>
          <w:sz w:val="24"/>
          <w:szCs w:val="24"/>
          <w:highlight w:val="none"/>
          <w:lang w:val="en-US" w:eastAsia="zh-CN"/>
        </w:rPr>
      </w:pPr>
      <w:r>
        <w:rPr>
          <w:rFonts w:hint="eastAsia" w:ascii="楷体_GB2312" w:hAnsi="楷体_GB2312" w:eastAsia="楷体_GB2312" w:cs="楷体_GB2312"/>
          <w:spacing w:val="-3"/>
          <w:sz w:val="24"/>
          <w:szCs w:val="24"/>
          <w:highlight w:val="none"/>
          <w:lang w:val="en-US" w:eastAsia="zh-CN"/>
        </w:rPr>
        <w:t>关于另一家股东培惠发展有限公司</w:t>
      </w:r>
      <w:r>
        <w:rPr>
          <w:rFonts w:hint="eastAsia" w:ascii="楷体_GB2312" w:hAnsi="楷体_GB2312" w:eastAsia="楷体_GB2312" w:cs="楷体_GB2312"/>
          <w:spacing w:val="-3"/>
          <w:sz w:val="24"/>
          <w:szCs w:val="24"/>
          <w:highlight w:val="none"/>
          <w:lang w:eastAsia="zh-CN"/>
        </w:rPr>
        <w:t>，</w:t>
      </w:r>
      <w:r>
        <w:rPr>
          <w:rFonts w:hint="eastAsia" w:ascii="楷体_GB2312" w:hAnsi="楷体_GB2312" w:eastAsia="楷体_GB2312" w:cs="楷体_GB2312"/>
          <w:spacing w:val="-3"/>
          <w:sz w:val="24"/>
          <w:szCs w:val="24"/>
          <w:highlight w:val="none"/>
          <w:lang w:val="en-US" w:eastAsia="zh-CN"/>
        </w:rPr>
        <w:t>经企查查等公开渠道查询，该公司早已完成解散注销，暂无法产生有效联系。</w:t>
      </w:r>
    </w:p>
    <w:p w14:paraId="72FD277E">
      <w:pPr>
        <w:spacing w:before="289" w:beforeLines="50" w:after="289" w:afterLines="50"/>
        <w:rPr>
          <w:highlight w:val="none"/>
        </w:rPr>
      </w:pPr>
      <w:r>
        <w:rPr>
          <w:rFonts w:hint="eastAsia" w:ascii="楷体_GB2312" w:hAnsi="楷体_GB2312" w:eastAsia="楷体_GB2312" w:cs="楷体_GB2312"/>
          <w:spacing w:val="-3"/>
          <w:sz w:val="24"/>
          <w:szCs w:val="24"/>
          <w:highlight w:val="none"/>
        </w:rPr>
        <w:t>截至本报告出具之日，清算组</w:t>
      </w:r>
      <w:r>
        <w:rPr>
          <w:rFonts w:hint="eastAsia" w:ascii="楷体_GB2312" w:hAnsi="楷体_GB2312" w:eastAsia="楷体_GB2312" w:cs="楷体_GB2312"/>
          <w:spacing w:val="-3"/>
          <w:sz w:val="24"/>
          <w:szCs w:val="24"/>
          <w:highlight w:val="none"/>
          <w:lang w:val="en-US" w:eastAsia="zh-CN"/>
        </w:rPr>
        <w:t>未接管到太都国际公司任何材料或资产</w:t>
      </w:r>
      <w:r>
        <w:rPr>
          <w:rFonts w:hint="eastAsia" w:ascii="楷体_GB2312" w:hAnsi="楷体_GB2312" w:eastAsia="楷体_GB2312" w:cs="楷体_GB2312"/>
          <w:spacing w:val="-3"/>
          <w:sz w:val="24"/>
          <w:szCs w:val="24"/>
          <w:highlight w:val="none"/>
        </w:rPr>
        <w:t>。</w:t>
      </w:r>
    </w:p>
    <w:p w14:paraId="3518109A">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经清算组核查，</w:t>
      </w:r>
      <w:r>
        <w:rPr>
          <w:rFonts w:hint="eastAsia" w:ascii="楷体_GB2312" w:hAnsi="楷体_GB2312" w:eastAsia="楷体_GB2312" w:cs="楷体_GB2312"/>
          <w:spacing w:val="-3"/>
          <w:sz w:val="24"/>
          <w:szCs w:val="24"/>
          <w:highlight w:val="none"/>
          <w:lang w:val="en-US" w:eastAsia="zh-CN"/>
        </w:rPr>
        <w:t>因太都国际公司注册时间较早，相关人员信息仅有第一代身份证，无法通过任何公开方式查询到相关人员现有联系方式，故清算组仅能通过向身份证登记住所地邮寄文件的方式送达太都国际公司相关人员</w:t>
      </w:r>
      <w:r>
        <w:rPr>
          <w:rFonts w:hint="eastAsia" w:ascii="楷体_GB2312" w:hAnsi="楷体_GB2312" w:eastAsia="楷体_GB2312" w:cs="楷体_GB2312"/>
          <w:spacing w:val="-3"/>
          <w:sz w:val="24"/>
          <w:szCs w:val="24"/>
          <w:highlight w:val="none"/>
          <w:lang w:eastAsia="zh-CN"/>
        </w:rPr>
        <w:t>。</w:t>
      </w:r>
    </w:p>
    <w:bookmarkEnd w:id="2"/>
    <w:p w14:paraId="4E85CD92">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2.2.1.2 交接通知公告及发送情况</w:t>
      </w:r>
    </w:p>
    <w:p w14:paraId="3A5A43E4">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针对上述清算组能够取得联系的</w:t>
      </w:r>
      <w:r>
        <w:rPr>
          <w:rFonts w:hint="eastAsia" w:ascii="楷体_GB2312" w:hAnsi="楷体_GB2312" w:eastAsia="楷体_GB2312" w:cs="楷体_GB2312"/>
          <w:spacing w:val="-3"/>
          <w:sz w:val="24"/>
          <w:szCs w:val="24"/>
          <w:highlight w:val="none"/>
          <w:lang w:val="en-US" w:eastAsia="zh-CN"/>
        </w:rPr>
        <w:t>太都国际公司</w:t>
      </w:r>
      <w:r>
        <w:rPr>
          <w:rFonts w:hint="eastAsia" w:ascii="楷体_GB2312" w:hAnsi="楷体_GB2312" w:eastAsia="楷体_GB2312" w:cs="楷体_GB2312"/>
          <w:spacing w:val="-3"/>
          <w:sz w:val="24"/>
          <w:szCs w:val="24"/>
          <w:highlight w:val="none"/>
          <w:lang w:eastAsia="zh-CN"/>
        </w:rPr>
        <w:t>股东暨申请人</w:t>
      </w:r>
      <w:r>
        <w:rPr>
          <w:rFonts w:hint="eastAsia" w:ascii="楷体_GB2312" w:hAnsi="楷体_GB2312" w:eastAsia="楷体_GB2312" w:cs="楷体_GB2312"/>
          <w:spacing w:val="-3"/>
          <w:sz w:val="24"/>
          <w:szCs w:val="24"/>
          <w:highlight w:val="none"/>
          <w:lang w:val="en-US" w:eastAsia="zh-CN"/>
        </w:rPr>
        <w:t>南光</w:t>
      </w:r>
      <w:r>
        <w:rPr>
          <w:rFonts w:hint="eastAsia" w:ascii="楷体_GB2312" w:hAnsi="楷体_GB2312" w:eastAsia="楷体_GB2312" w:cs="楷体_GB2312"/>
          <w:spacing w:val="-3"/>
          <w:sz w:val="24"/>
          <w:szCs w:val="24"/>
          <w:highlight w:val="none"/>
          <w:lang w:eastAsia="zh-CN"/>
        </w:rPr>
        <w:t>公司，清算组已于2025年</w:t>
      </w:r>
      <w:r>
        <w:rPr>
          <w:rFonts w:hint="eastAsia" w:ascii="楷体_GB2312" w:hAnsi="楷体_GB2312" w:eastAsia="楷体_GB2312" w:cs="楷体_GB2312"/>
          <w:spacing w:val="-3"/>
          <w:sz w:val="24"/>
          <w:szCs w:val="24"/>
          <w:highlight w:val="none"/>
          <w:lang w:val="en-US" w:eastAsia="zh-CN"/>
        </w:rPr>
        <w:t>10</w:t>
      </w:r>
      <w:r>
        <w:rPr>
          <w:rFonts w:hint="eastAsia" w:ascii="楷体_GB2312" w:hAnsi="楷体_GB2312" w:eastAsia="楷体_GB2312" w:cs="楷体_GB2312"/>
          <w:spacing w:val="-3"/>
          <w:sz w:val="24"/>
          <w:szCs w:val="24"/>
          <w:highlight w:val="none"/>
          <w:lang w:eastAsia="zh-CN"/>
        </w:rPr>
        <w:t>月</w:t>
      </w:r>
      <w:r>
        <w:rPr>
          <w:rFonts w:hint="eastAsia" w:ascii="楷体_GB2312" w:hAnsi="楷体_GB2312" w:eastAsia="楷体_GB2312" w:cs="楷体_GB2312"/>
          <w:spacing w:val="-3"/>
          <w:sz w:val="24"/>
          <w:szCs w:val="24"/>
          <w:highlight w:val="none"/>
          <w:lang w:val="en-US" w:eastAsia="zh-CN"/>
        </w:rPr>
        <w:t>10</w:t>
      </w:r>
      <w:r>
        <w:rPr>
          <w:rFonts w:hint="eastAsia" w:ascii="楷体_GB2312" w:hAnsi="楷体_GB2312" w:eastAsia="楷体_GB2312" w:cs="楷体_GB2312"/>
          <w:spacing w:val="-3"/>
          <w:sz w:val="24"/>
          <w:szCs w:val="24"/>
          <w:highlight w:val="none"/>
          <w:lang w:eastAsia="zh-CN"/>
        </w:rPr>
        <w:t>日向其</w:t>
      </w:r>
      <w:r>
        <w:rPr>
          <w:rFonts w:hint="eastAsia" w:ascii="楷体_GB2312" w:hAnsi="楷体_GB2312" w:eastAsia="楷体_GB2312" w:cs="楷体_GB2312"/>
          <w:spacing w:val="-3"/>
          <w:sz w:val="24"/>
          <w:szCs w:val="24"/>
          <w:highlight w:val="none"/>
          <w:lang w:val="en-US" w:eastAsia="zh-CN"/>
        </w:rPr>
        <w:t>电子送达</w:t>
      </w:r>
      <w:r>
        <w:rPr>
          <w:rFonts w:hint="eastAsia" w:ascii="楷体_GB2312" w:hAnsi="楷体_GB2312" w:eastAsia="楷体_GB2312" w:cs="楷体_GB2312"/>
          <w:spacing w:val="-3"/>
          <w:sz w:val="24"/>
          <w:szCs w:val="24"/>
          <w:highlight w:val="none"/>
          <w:lang w:eastAsia="zh-CN"/>
        </w:rPr>
        <w:t>了受理</w:t>
      </w:r>
      <w:r>
        <w:rPr>
          <w:rFonts w:hint="eastAsia" w:ascii="楷体_GB2312" w:hAnsi="楷体_GB2312" w:eastAsia="楷体_GB2312" w:cs="楷体_GB2312"/>
          <w:spacing w:val="-3"/>
          <w:sz w:val="24"/>
          <w:szCs w:val="24"/>
          <w:highlight w:val="none"/>
          <w:lang w:val="en-US" w:eastAsia="zh-CN"/>
        </w:rPr>
        <w:t>太都国际公司</w:t>
      </w:r>
      <w:r>
        <w:rPr>
          <w:rFonts w:hint="eastAsia" w:ascii="楷体_GB2312" w:hAnsi="楷体_GB2312" w:eastAsia="楷体_GB2312" w:cs="楷体_GB2312"/>
          <w:spacing w:val="-3"/>
          <w:sz w:val="24"/>
          <w:szCs w:val="24"/>
          <w:highlight w:val="none"/>
          <w:lang w:eastAsia="zh-CN"/>
        </w:rPr>
        <w:t>强制清算的民事裁定书、指定清算组的决定书等法律文书以及《北京太都国际投资咨询有限公司强制清算案交接通知》及相关附件，</w:t>
      </w:r>
      <w:r>
        <w:rPr>
          <w:rFonts w:hint="eastAsia" w:ascii="楷体_GB2312" w:hAnsi="楷体_GB2312" w:eastAsia="楷体_GB2312" w:cs="楷体_GB2312"/>
          <w:spacing w:val="-3"/>
          <w:sz w:val="24"/>
          <w:szCs w:val="24"/>
          <w:highlight w:val="none"/>
          <w:lang w:val="en-US" w:eastAsia="zh-CN"/>
        </w:rPr>
        <w:t>通过线上会议口头</w:t>
      </w:r>
      <w:r>
        <w:rPr>
          <w:rFonts w:hint="eastAsia" w:ascii="楷体_GB2312" w:hAnsi="楷体_GB2312" w:eastAsia="楷体_GB2312" w:cs="楷体_GB2312"/>
          <w:spacing w:val="-3"/>
          <w:sz w:val="24"/>
          <w:szCs w:val="24"/>
          <w:highlight w:val="none"/>
          <w:lang w:eastAsia="zh-CN"/>
        </w:rPr>
        <w:t>告知其依法应当承担的义务和怠于履行相关义务需要承担的法律责任等，并要求其在2025年</w:t>
      </w:r>
      <w:r>
        <w:rPr>
          <w:rFonts w:hint="eastAsia" w:ascii="楷体_GB2312" w:hAnsi="楷体_GB2312" w:eastAsia="楷体_GB2312" w:cs="楷体_GB2312"/>
          <w:spacing w:val="-3"/>
          <w:sz w:val="24"/>
          <w:szCs w:val="24"/>
          <w:highlight w:val="none"/>
          <w:lang w:val="en-US" w:eastAsia="zh-CN"/>
        </w:rPr>
        <w:t>10</w:t>
      </w:r>
      <w:r>
        <w:rPr>
          <w:rFonts w:hint="eastAsia" w:ascii="楷体_GB2312" w:hAnsi="楷体_GB2312" w:eastAsia="楷体_GB2312" w:cs="楷体_GB2312"/>
          <w:spacing w:val="-3"/>
          <w:sz w:val="24"/>
          <w:szCs w:val="24"/>
          <w:highlight w:val="none"/>
          <w:lang w:eastAsia="zh-CN"/>
        </w:rPr>
        <w:t>月</w:t>
      </w:r>
      <w:r>
        <w:rPr>
          <w:rFonts w:hint="eastAsia" w:ascii="楷体_GB2312" w:hAnsi="楷体_GB2312" w:eastAsia="楷体_GB2312" w:cs="楷体_GB2312"/>
          <w:spacing w:val="-3"/>
          <w:sz w:val="24"/>
          <w:szCs w:val="24"/>
          <w:highlight w:val="none"/>
          <w:lang w:val="en-US" w:eastAsia="zh-CN"/>
        </w:rPr>
        <w:t>30</w:t>
      </w:r>
      <w:r>
        <w:rPr>
          <w:rFonts w:hint="eastAsia" w:ascii="楷体_GB2312" w:hAnsi="楷体_GB2312" w:eastAsia="楷体_GB2312" w:cs="楷体_GB2312"/>
          <w:spacing w:val="-3"/>
          <w:sz w:val="24"/>
          <w:szCs w:val="24"/>
          <w:highlight w:val="none"/>
          <w:lang w:eastAsia="zh-CN"/>
        </w:rPr>
        <w:t>日前依法、据实、完整地向清算组移交</w:t>
      </w:r>
      <w:r>
        <w:rPr>
          <w:rFonts w:hint="eastAsia" w:ascii="楷体_GB2312" w:hAnsi="楷体_GB2312" w:eastAsia="楷体_GB2312" w:cs="楷体_GB2312"/>
          <w:spacing w:val="-3"/>
          <w:sz w:val="24"/>
          <w:szCs w:val="24"/>
          <w:highlight w:val="none"/>
          <w:lang w:val="en-US" w:eastAsia="zh-CN"/>
        </w:rPr>
        <w:t>太都国际公司</w:t>
      </w:r>
      <w:r>
        <w:rPr>
          <w:rFonts w:hint="eastAsia" w:ascii="楷体_GB2312" w:hAnsi="楷体_GB2312" w:eastAsia="楷体_GB2312" w:cs="楷体_GB2312"/>
          <w:spacing w:val="-3"/>
          <w:sz w:val="24"/>
          <w:szCs w:val="24"/>
          <w:highlight w:val="none"/>
          <w:lang w:eastAsia="zh-CN"/>
        </w:rPr>
        <w:t>全部财产、印章和证照、账册、合同、文书等资料。如因客观原因无法交出应交接的财产、印章、账册、文书等资料的，应当向清算组作出书面说明或者提供有关证据与线索。</w:t>
      </w:r>
    </w:p>
    <w:p w14:paraId="25065004">
      <w:pPr>
        <w:pStyle w:val="4"/>
        <w:spacing w:before="289" w:beforeLines="50" w:after="289" w:afterLines="50"/>
        <w:ind w:left="0"/>
        <w:jc w:val="both"/>
        <w:rPr>
          <w:rFonts w:hint="eastAsia" w:ascii="楷体_GB2312" w:hAnsi="楷体_GB2312" w:eastAsia="楷体_GB2312" w:cs="楷体_GB2312"/>
          <w:spacing w:val="-3"/>
          <w:sz w:val="24"/>
          <w:szCs w:val="24"/>
          <w:highlight w:val="none"/>
          <w:lang w:val="en-US" w:eastAsia="zh-CN"/>
        </w:rPr>
      </w:pPr>
      <w:r>
        <w:rPr>
          <w:rFonts w:hint="eastAsia" w:ascii="楷体_GB2312" w:hAnsi="楷体_GB2312" w:eastAsia="楷体_GB2312" w:cs="楷体_GB2312"/>
          <w:spacing w:val="-3"/>
          <w:sz w:val="24"/>
          <w:szCs w:val="24"/>
          <w:highlight w:val="none"/>
          <w:lang w:eastAsia="zh-CN"/>
        </w:rPr>
        <w:t>针对上述未取得联系的</w:t>
      </w:r>
      <w:r>
        <w:rPr>
          <w:rFonts w:hint="eastAsia" w:ascii="楷体_GB2312" w:hAnsi="楷体_GB2312" w:eastAsia="楷体_GB2312" w:cs="楷体_GB2312"/>
          <w:spacing w:val="-3"/>
          <w:sz w:val="24"/>
          <w:szCs w:val="24"/>
          <w:highlight w:val="none"/>
          <w:lang w:val="en-US" w:eastAsia="zh-CN"/>
        </w:rPr>
        <w:t>太都国际公司</w:t>
      </w:r>
      <w:r>
        <w:rPr>
          <w:rFonts w:hint="eastAsia" w:ascii="楷体_GB2312" w:hAnsi="楷体_GB2312" w:eastAsia="楷体_GB2312" w:cs="楷体_GB2312"/>
          <w:spacing w:val="-3"/>
          <w:sz w:val="24"/>
          <w:szCs w:val="24"/>
          <w:highlight w:val="none"/>
          <w:lang w:eastAsia="zh-CN"/>
        </w:rPr>
        <w:t>工商登记的企业股东及有关人员，</w:t>
      </w:r>
      <w:r>
        <w:rPr>
          <w:rFonts w:hint="eastAsia" w:ascii="楷体_GB2312" w:hAnsi="楷体_GB2312" w:eastAsia="楷体_GB2312" w:cs="楷体_GB2312"/>
          <w:spacing w:val="-3"/>
          <w:sz w:val="24"/>
          <w:szCs w:val="24"/>
          <w:highlight w:val="none"/>
          <w:lang w:val="en-US" w:eastAsia="zh-CN"/>
        </w:rPr>
        <w:t>其中包括：</w:t>
      </w:r>
      <w:r>
        <w:rPr>
          <w:rFonts w:hint="eastAsia" w:ascii="楷体_GB2312" w:hAnsi="楷体_GB2312" w:eastAsia="楷体_GB2312" w:cs="楷体_GB2312"/>
          <w:spacing w:val="-3"/>
          <w:sz w:val="24"/>
          <w:szCs w:val="24"/>
          <w:highlight w:val="none"/>
          <w:lang w:eastAsia="zh-CN"/>
        </w:rPr>
        <w:t>法定代表人</w:t>
      </w:r>
      <w:r>
        <w:rPr>
          <w:rFonts w:hint="eastAsia" w:ascii="楷体_GB2312" w:hAnsi="楷体_GB2312" w:eastAsia="楷体_GB2312" w:cs="楷体_GB2312"/>
          <w:spacing w:val="-3"/>
          <w:sz w:val="24"/>
          <w:szCs w:val="24"/>
          <w:highlight w:val="none"/>
          <w:lang w:val="en-US" w:eastAsia="zh-CN"/>
        </w:rPr>
        <w:t>兼董事长闫星、副董事长周卓华、总经理廖嘉、副总经理王波，清算组已按照工商登记中载明的住址邮寄了公司相关人员义务告知书</w:t>
      </w:r>
      <w:r>
        <w:rPr>
          <w:rFonts w:hint="default" w:ascii="楷体_GB2312" w:hAnsi="楷体_GB2312" w:eastAsia="楷体_GB2312" w:cs="楷体_GB2312"/>
          <w:spacing w:val="-3"/>
          <w:sz w:val="24"/>
          <w:szCs w:val="24"/>
          <w:highlight w:val="none"/>
          <w:lang w:val="en-US" w:eastAsia="zh-CN"/>
        </w:rPr>
        <w:t>,</w:t>
      </w:r>
      <w:r>
        <w:rPr>
          <w:rFonts w:hint="eastAsia" w:ascii="楷体_GB2312" w:hAnsi="楷体_GB2312" w:eastAsia="楷体_GB2312" w:cs="楷体_GB2312"/>
          <w:spacing w:val="-3"/>
          <w:sz w:val="24"/>
          <w:szCs w:val="24"/>
          <w:highlight w:val="none"/>
          <w:lang w:val="en-US" w:eastAsia="zh-CN"/>
        </w:rPr>
        <w:t>其中寄至闫星、王波的快件已退回，寄至廖嘉、周卓华的快件因无法寄送至香港地区而退回。</w:t>
      </w:r>
    </w:p>
    <w:p w14:paraId="5BD71E32">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val="en-US" w:eastAsia="zh-CN"/>
        </w:rPr>
        <w:t>综上，截至本报告出具之日，暂未与上述太都国际公司相关人员产生有效联系</w:t>
      </w:r>
      <w:r>
        <w:rPr>
          <w:rFonts w:hint="eastAsia" w:ascii="楷体_GB2312" w:hAnsi="楷体_GB2312" w:eastAsia="楷体_GB2312" w:cs="楷体_GB2312"/>
          <w:spacing w:val="-3"/>
          <w:sz w:val="24"/>
          <w:szCs w:val="24"/>
          <w:highlight w:val="none"/>
          <w:lang w:eastAsia="zh-CN"/>
        </w:rPr>
        <w:t>。</w:t>
      </w:r>
    </w:p>
    <w:p w14:paraId="3286F4DD">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2.2.1.3 实地走访公司注册地址</w:t>
      </w:r>
    </w:p>
    <w:p w14:paraId="456B2214">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2025年</w:t>
      </w:r>
      <w:r>
        <w:rPr>
          <w:rFonts w:hint="eastAsia" w:ascii="楷体_GB2312" w:hAnsi="楷体_GB2312" w:eastAsia="楷体_GB2312" w:cs="楷体_GB2312"/>
          <w:spacing w:val="-3"/>
          <w:sz w:val="24"/>
          <w:szCs w:val="24"/>
          <w:highlight w:val="none"/>
          <w:lang w:val="en-US" w:eastAsia="zh-CN"/>
        </w:rPr>
        <w:t>10</w:t>
      </w:r>
      <w:r>
        <w:rPr>
          <w:rFonts w:hint="eastAsia" w:ascii="楷体_GB2312" w:hAnsi="楷体_GB2312" w:eastAsia="楷体_GB2312" w:cs="楷体_GB2312"/>
          <w:spacing w:val="-3"/>
          <w:sz w:val="24"/>
          <w:szCs w:val="24"/>
          <w:highlight w:val="none"/>
          <w:lang w:eastAsia="zh-CN"/>
        </w:rPr>
        <w:t>月</w:t>
      </w:r>
      <w:r>
        <w:rPr>
          <w:rFonts w:hint="eastAsia" w:ascii="楷体_GB2312" w:hAnsi="楷体_GB2312" w:eastAsia="楷体_GB2312" w:cs="楷体_GB2312"/>
          <w:spacing w:val="-3"/>
          <w:sz w:val="24"/>
          <w:szCs w:val="24"/>
          <w:highlight w:val="none"/>
          <w:lang w:val="en-US" w:eastAsia="zh-CN"/>
        </w:rPr>
        <w:t>14</w:t>
      </w:r>
      <w:r>
        <w:rPr>
          <w:rFonts w:hint="eastAsia" w:ascii="楷体_GB2312" w:hAnsi="楷体_GB2312" w:eastAsia="楷体_GB2312" w:cs="楷体_GB2312"/>
          <w:spacing w:val="-3"/>
          <w:sz w:val="24"/>
          <w:szCs w:val="24"/>
          <w:highlight w:val="none"/>
          <w:lang w:eastAsia="zh-CN"/>
        </w:rPr>
        <w:t>日，清算组前往被申请人的住所地：北京市东城区灯市口大街14号。经走访调查，</w:t>
      </w:r>
      <w:r>
        <w:rPr>
          <w:rFonts w:hint="eastAsia" w:ascii="楷体_GB2312" w:hAnsi="楷体_GB2312" w:eastAsia="楷体_GB2312" w:cs="楷体_GB2312"/>
          <w:spacing w:val="-3"/>
          <w:sz w:val="24"/>
          <w:szCs w:val="24"/>
          <w:highlight w:val="none"/>
          <w:lang w:val="en-US" w:eastAsia="zh-CN"/>
        </w:rPr>
        <w:t>该地址早已变更为酒店；经清算组询问，附近居民及酒店工作人员均未听说过太都国际公司</w:t>
      </w:r>
      <w:r>
        <w:rPr>
          <w:rFonts w:hint="eastAsia" w:ascii="楷体_GB2312" w:hAnsi="楷体_GB2312" w:eastAsia="楷体_GB2312" w:cs="楷体_GB2312"/>
          <w:spacing w:val="-3"/>
          <w:sz w:val="24"/>
          <w:szCs w:val="24"/>
          <w:highlight w:val="none"/>
          <w:lang w:eastAsia="zh-CN"/>
        </w:rPr>
        <w:t>。</w:t>
      </w:r>
    </w:p>
    <w:p w14:paraId="49B892D3">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综上，清算组在被申请人住所地并未查询到任何</w:t>
      </w:r>
      <w:r>
        <w:rPr>
          <w:rFonts w:hint="eastAsia" w:ascii="楷体_GB2312" w:hAnsi="楷体_GB2312" w:eastAsia="楷体_GB2312" w:cs="楷体_GB2312"/>
          <w:spacing w:val="-3"/>
          <w:sz w:val="24"/>
          <w:szCs w:val="24"/>
          <w:highlight w:val="none"/>
          <w:lang w:val="en-US" w:eastAsia="zh-CN"/>
        </w:rPr>
        <w:t>太都国际公司</w:t>
      </w:r>
      <w:r>
        <w:rPr>
          <w:rFonts w:hint="eastAsia" w:ascii="楷体_GB2312" w:hAnsi="楷体_GB2312" w:eastAsia="楷体_GB2312" w:cs="楷体_GB2312"/>
          <w:spacing w:val="-3"/>
          <w:sz w:val="24"/>
          <w:szCs w:val="24"/>
          <w:highlight w:val="none"/>
          <w:lang w:eastAsia="zh-CN"/>
        </w:rPr>
        <w:t>的资产或其他信息。</w:t>
      </w:r>
    </w:p>
    <w:p w14:paraId="785AA6B1">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 xml:space="preserve">2.2.2 </w:t>
      </w:r>
      <w:r>
        <w:rPr>
          <w:rFonts w:hint="eastAsia" w:ascii="楷体_GB2312" w:hAnsi="楷体_GB2312" w:eastAsia="楷体_GB2312" w:cs="楷体_GB2312"/>
          <w:w w:val="105"/>
          <w:sz w:val="24"/>
          <w:szCs w:val="24"/>
          <w:highlight w:val="none"/>
          <w:lang w:val="en-US" w:eastAsia="zh-CN"/>
        </w:rPr>
        <w:t>太都国际公司</w:t>
      </w:r>
      <w:r>
        <w:rPr>
          <w:rFonts w:hint="eastAsia" w:ascii="楷体_GB2312" w:hAnsi="楷体_GB2312" w:eastAsia="楷体_GB2312" w:cs="楷体_GB2312"/>
          <w:w w:val="105"/>
          <w:sz w:val="24"/>
          <w:szCs w:val="24"/>
          <w:highlight w:val="none"/>
        </w:rPr>
        <w:t>财产及资料的接管情况</w:t>
      </w:r>
    </w:p>
    <w:p w14:paraId="0BAD0B04">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在清算组</w:t>
      </w:r>
      <w:r>
        <w:rPr>
          <w:rFonts w:hint="eastAsia" w:ascii="楷体_GB2312" w:hAnsi="楷体_GB2312" w:eastAsia="楷体_GB2312" w:cs="楷体_GB2312"/>
          <w:spacing w:val="-3"/>
          <w:sz w:val="24"/>
          <w:szCs w:val="24"/>
          <w:highlight w:val="none"/>
          <w:lang w:val="en-US" w:eastAsia="zh-CN"/>
        </w:rPr>
        <w:t>向太都国际公司及相关人员寄</w:t>
      </w:r>
      <w:r>
        <w:rPr>
          <w:rFonts w:hint="eastAsia" w:ascii="楷体_GB2312" w:hAnsi="楷体_GB2312" w:eastAsia="楷体_GB2312" w:cs="楷体_GB2312"/>
          <w:spacing w:val="-3"/>
          <w:sz w:val="24"/>
          <w:szCs w:val="24"/>
          <w:highlight w:val="none"/>
          <w:lang w:eastAsia="zh-CN"/>
        </w:rPr>
        <w:t>送交接通知材料至今，</w:t>
      </w:r>
      <w:r>
        <w:rPr>
          <w:rFonts w:hint="eastAsia" w:ascii="楷体_GB2312" w:hAnsi="楷体_GB2312" w:eastAsia="楷体_GB2312" w:cs="楷体_GB2312"/>
          <w:spacing w:val="-3"/>
          <w:sz w:val="24"/>
          <w:szCs w:val="24"/>
          <w:highlight w:val="none"/>
          <w:lang w:val="en-US" w:eastAsia="zh-CN"/>
        </w:rPr>
        <w:t>太都国际公司及</w:t>
      </w:r>
      <w:r>
        <w:rPr>
          <w:rFonts w:hint="eastAsia" w:ascii="楷体_GB2312" w:hAnsi="楷体_GB2312" w:eastAsia="楷体_GB2312" w:cs="楷体_GB2312"/>
          <w:spacing w:val="-3"/>
          <w:sz w:val="24"/>
          <w:szCs w:val="24"/>
          <w:highlight w:val="none"/>
          <w:lang w:eastAsia="zh-CN"/>
        </w:rPr>
        <w:t>其法定代表人、股东、董事、</w:t>
      </w:r>
      <w:r>
        <w:rPr>
          <w:rFonts w:hint="eastAsia" w:ascii="楷体_GB2312" w:hAnsi="楷体_GB2312" w:eastAsia="楷体_GB2312" w:cs="楷体_GB2312"/>
          <w:spacing w:val="-3"/>
          <w:sz w:val="24"/>
          <w:szCs w:val="24"/>
          <w:highlight w:val="none"/>
          <w:lang w:val="en-US" w:eastAsia="zh-CN"/>
        </w:rPr>
        <w:t>高级管理人员</w:t>
      </w:r>
      <w:r>
        <w:rPr>
          <w:rFonts w:hint="eastAsia" w:ascii="楷体_GB2312" w:hAnsi="楷体_GB2312" w:eastAsia="楷体_GB2312" w:cs="楷体_GB2312"/>
          <w:spacing w:val="-3"/>
          <w:sz w:val="24"/>
          <w:szCs w:val="24"/>
          <w:highlight w:val="none"/>
          <w:lang w:eastAsia="zh-CN"/>
        </w:rPr>
        <w:t>等有关人员均未向清算组移交</w:t>
      </w:r>
      <w:r>
        <w:rPr>
          <w:rFonts w:hint="eastAsia" w:ascii="楷体_GB2312" w:hAnsi="楷体_GB2312" w:eastAsia="楷体_GB2312" w:cs="楷体_GB2312"/>
          <w:spacing w:val="-3"/>
          <w:sz w:val="24"/>
          <w:szCs w:val="24"/>
          <w:highlight w:val="none"/>
          <w:lang w:val="en-US" w:eastAsia="zh-CN"/>
        </w:rPr>
        <w:t>太都国际公司</w:t>
      </w:r>
      <w:r>
        <w:rPr>
          <w:rFonts w:hint="eastAsia" w:ascii="楷体_GB2312" w:hAnsi="楷体_GB2312" w:eastAsia="楷体_GB2312" w:cs="楷体_GB2312"/>
          <w:spacing w:val="-3"/>
          <w:sz w:val="24"/>
          <w:szCs w:val="24"/>
          <w:highlight w:val="none"/>
          <w:lang w:eastAsia="zh-CN"/>
        </w:rPr>
        <w:t>的任何财产、财务资料、合同、文书等资料，也未提供</w:t>
      </w:r>
      <w:r>
        <w:rPr>
          <w:rFonts w:hint="eastAsia" w:ascii="楷体_GB2312" w:hAnsi="楷体_GB2312" w:eastAsia="楷体_GB2312" w:cs="楷体_GB2312"/>
          <w:spacing w:val="-3"/>
          <w:sz w:val="24"/>
          <w:szCs w:val="24"/>
          <w:highlight w:val="none"/>
          <w:lang w:val="en-US" w:eastAsia="zh-CN"/>
        </w:rPr>
        <w:t>太都国际公司</w:t>
      </w:r>
      <w:r>
        <w:rPr>
          <w:rFonts w:hint="eastAsia" w:ascii="楷体_GB2312" w:hAnsi="楷体_GB2312" w:eastAsia="楷体_GB2312" w:cs="楷体_GB2312"/>
          <w:spacing w:val="-3"/>
          <w:sz w:val="24"/>
          <w:szCs w:val="24"/>
          <w:highlight w:val="none"/>
          <w:lang w:eastAsia="zh-CN"/>
        </w:rPr>
        <w:t>的财产信息和线索。</w:t>
      </w:r>
    </w:p>
    <w:p w14:paraId="2F08E8E7">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综上，清算组未能对</w:t>
      </w:r>
      <w:r>
        <w:rPr>
          <w:rFonts w:hint="eastAsia" w:ascii="楷体_GB2312" w:hAnsi="楷体_GB2312" w:eastAsia="楷体_GB2312" w:cs="楷体_GB2312"/>
          <w:spacing w:val="-3"/>
          <w:sz w:val="24"/>
          <w:szCs w:val="24"/>
          <w:highlight w:val="none"/>
          <w:lang w:val="en-US" w:eastAsia="zh-CN"/>
        </w:rPr>
        <w:t>太都国际公司</w:t>
      </w:r>
      <w:r>
        <w:rPr>
          <w:rFonts w:hint="eastAsia" w:ascii="楷体_GB2312" w:hAnsi="楷体_GB2312" w:eastAsia="楷体_GB2312" w:cs="楷体_GB2312"/>
          <w:spacing w:val="-3"/>
          <w:sz w:val="24"/>
          <w:szCs w:val="24"/>
          <w:highlight w:val="none"/>
          <w:lang w:eastAsia="zh-CN"/>
        </w:rPr>
        <w:t>完成接管。</w:t>
      </w:r>
    </w:p>
    <w:p w14:paraId="740CE202">
      <w:pPr>
        <w:pStyle w:val="21"/>
        <w:spacing w:before="289" w:beforeLines="50" w:after="289" w:afterLines="50"/>
        <w:ind w:left="0" w:firstLine="0"/>
        <w:outlineLvl w:val="1"/>
        <w:rPr>
          <w:rFonts w:hint="eastAsia" w:ascii="楷体_GB2312" w:hAnsi="楷体_GB2312" w:eastAsia="楷体_GB2312" w:cs="楷体_GB2312"/>
          <w:b/>
          <w:bCs/>
          <w:w w:val="105"/>
          <w:sz w:val="24"/>
          <w:szCs w:val="24"/>
          <w:highlight w:val="none"/>
          <w:lang w:eastAsia="zh-CN"/>
        </w:rPr>
      </w:pPr>
      <w:r>
        <w:rPr>
          <w:rFonts w:hint="eastAsia" w:ascii="楷体_GB2312" w:hAnsi="楷体_GB2312" w:eastAsia="楷体_GB2312" w:cs="楷体_GB2312"/>
          <w:b/>
          <w:bCs/>
          <w:w w:val="105"/>
          <w:sz w:val="24"/>
          <w:szCs w:val="24"/>
          <w:highlight w:val="none"/>
          <w:lang w:eastAsia="zh-CN"/>
        </w:rPr>
        <w:t>2.3 财产调查工作</w:t>
      </w:r>
    </w:p>
    <w:p w14:paraId="7B923479">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2.3.1 财产调查的原则</w:t>
      </w:r>
    </w:p>
    <w:p w14:paraId="5CBECA1A">
      <w:pPr>
        <w:pStyle w:val="2"/>
        <w:keepNext w:val="0"/>
        <w:keepLines w:val="0"/>
        <w:spacing w:before="0" w:after="0" w:line="240" w:lineRule="auto"/>
        <w:rPr>
          <w:rFonts w:hint="eastAsia" w:ascii="楷体_GB2312" w:hAnsi="楷体_GB2312" w:eastAsia="楷体_GB2312" w:cs="楷体_GB2312"/>
          <w:b w:val="0"/>
          <w:bCs w:val="0"/>
          <w:w w:val="105"/>
          <w:sz w:val="24"/>
          <w:szCs w:val="24"/>
          <w:highlight w:val="none"/>
        </w:rPr>
      </w:pPr>
      <w:r>
        <w:rPr>
          <w:rFonts w:hint="eastAsia" w:ascii="楷体_GB2312" w:hAnsi="楷体_GB2312" w:eastAsia="楷体_GB2312" w:cs="楷体_GB2312"/>
          <w:b w:val="0"/>
          <w:bCs w:val="0"/>
          <w:w w:val="105"/>
          <w:sz w:val="24"/>
          <w:szCs w:val="24"/>
          <w:highlight w:val="none"/>
        </w:rPr>
        <w:t>（1） 尊重事实原则</w:t>
      </w:r>
    </w:p>
    <w:p w14:paraId="50461F84">
      <w:pPr>
        <w:pStyle w:val="2"/>
        <w:keepNext w:val="0"/>
        <w:keepLines w:val="0"/>
        <w:spacing w:before="0" w:after="0" w:line="240" w:lineRule="auto"/>
        <w:rPr>
          <w:rFonts w:hint="eastAsia" w:ascii="楷体_GB2312" w:hAnsi="楷体_GB2312" w:eastAsia="楷体_GB2312" w:cs="楷体_GB2312"/>
          <w:b w:val="0"/>
          <w:bCs w:val="0"/>
          <w:w w:val="105"/>
          <w:sz w:val="24"/>
          <w:szCs w:val="24"/>
          <w:highlight w:val="none"/>
        </w:rPr>
      </w:pPr>
      <w:r>
        <w:rPr>
          <w:rFonts w:hint="eastAsia" w:ascii="楷体_GB2312" w:hAnsi="楷体_GB2312" w:eastAsia="楷体_GB2312" w:cs="楷体_GB2312"/>
          <w:b w:val="0"/>
          <w:bCs w:val="0"/>
          <w:w w:val="105"/>
          <w:sz w:val="24"/>
          <w:szCs w:val="24"/>
          <w:highlight w:val="none"/>
        </w:rPr>
        <w:t>（2） 合法合规原则</w:t>
      </w:r>
    </w:p>
    <w:p w14:paraId="127CFD88">
      <w:pPr>
        <w:pStyle w:val="2"/>
        <w:keepNext w:val="0"/>
        <w:keepLines w:val="0"/>
        <w:spacing w:before="0" w:after="0" w:line="240" w:lineRule="auto"/>
        <w:rPr>
          <w:rFonts w:hint="eastAsia" w:ascii="楷体_GB2312" w:hAnsi="楷体_GB2312" w:eastAsia="楷体_GB2312" w:cs="楷体_GB2312"/>
          <w:b w:val="0"/>
          <w:bCs w:val="0"/>
          <w:w w:val="105"/>
          <w:sz w:val="24"/>
          <w:szCs w:val="24"/>
          <w:highlight w:val="none"/>
        </w:rPr>
      </w:pPr>
      <w:r>
        <w:rPr>
          <w:rFonts w:hint="eastAsia" w:ascii="楷体_GB2312" w:hAnsi="楷体_GB2312" w:eastAsia="楷体_GB2312" w:cs="楷体_GB2312"/>
          <w:b w:val="0"/>
          <w:bCs w:val="0"/>
          <w:w w:val="105"/>
          <w:sz w:val="24"/>
          <w:szCs w:val="24"/>
          <w:highlight w:val="none"/>
        </w:rPr>
        <w:t>（3） 全面调查原则</w:t>
      </w:r>
    </w:p>
    <w:p w14:paraId="1623BE46">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2.3.2 财产调查方式</w:t>
      </w:r>
    </w:p>
    <w:p w14:paraId="02EA2DB6">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在财产调查基本原则的指导下，清算组启动了财产调查工作。因无法从</w:t>
      </w:r>
      <w:r>
        <w:rPr>
          <w:rFonts w:hint="eastAsia" w:ascii="楷体_GB2312" w:hAnsi="楷体_GB2312" w:eastAsia="楷体_GB2312" w:cs="楷体_GB2312"/>
          <w:spacing w:val="-3"/>
          <w:sz w:val="24"/>
          <w:szCs w:val="24"/>
          <w:highlight w:val="none"/>
          <w:lang w:val="en-US" w:eastAsia="zh-CN"/>
        </w:rPr>
        <w:t>太都国际公司</w:t>
      </w:r>
      <w:r>
        <w:rPr>
          <w:rFonts w:hint="eastAsia" w:ascii="楷体_GB2312" w:hAnsi="楷体_GB2312" w:eastAsia="楷体_GB2312" w:cs="楷体_GB2312"/>
          <w:spacing w:val="-3"/>
          <w:sz w:val="24"/>
          <w:szCs w:val="24"/>
          <w:highlight w:val="none"/>
          <w:lang w:eastAsia="zh-CN"/>
        </w:rPr>
        <w:t>及其法定代表人、股东、董事及监事处获取</w:t>
      </w:r>
      <w:r>
        <w:rPr>
          <w:rFonts w:hint="eastAsia" w:ascii="楷体_GB2312" w:hAnsi="楷体_GB2312" w:eastAsia="楷体_GB2312" w:cs="楷体_GB2312"/>
          <w:spacing w:val="-3"/>
          <w:sz w:val="24"/>
          <w:szCs w:val="24"/>
          <w:highlight w:val="none"/>
          <w:lang w:val="en-US" w:eastAsia="zh-CN"/>
        </w:rPr>
        <w:t>太都国际公司</w:t>
      </w:r>
      <w:r>
        <w:rPr>
          <w:rFonts w:hint="eastAsia" w:ascii="楷体_GB2312" w:hAnsi="楷体_GB2312" w:eastAsia="楷体_GB2312" w:cs="楷体_GB2312"/>
          <w:spacing w:val="-3"/>
          <w:sz w:val="24"/>
          <w:szCs w:val="24"/>
          <w:highlight w:val="none"/>
          <w:lang w:eastAsia="zh-CN"/>
        </w:rPr>
        <w:t>的财产明细、权属证明文件以及全部财务信息等资料，清算组主要从外部调查入手以获取相关证据。</w:t>
      </w:r>
    </w:p>
    <w:p w14:paraId="2905B60A">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清算组通过北京市政务服务中心向工商行政管理部门调取了</w:t>
      </w:r>
      <w:r>
        <w:rPr>
          <w:rFonts w:hint="eastAsia" w:ascii="楷体_GB2312" w:hAnsi="楷体_GB2312" w:eastAsia="楷体_GB2312" w:cs="楷体_GB2312"/>
          <w:spacing w:val="-3"/>
          <w:sz w:val="24"/>
          <w:szCs w:val="24"/>
          <w:highlight w:val="none"/>
          <w:lang w:val="en-US" w:eastAsia="zh-CN"/>
        </w:rPr>
        <w:t>太都国际公司</w:t>
      </w:r>
      <w:r>
        <w:rPr>
          <w:rFonts w:hint="eastAsia" w:ascii="楷体_GB2312" w:hAnsi="楷体_GB2312" w:eastAsia="楷体_GB2312" w:cs="楷体_GB2312"/>
          <w:spacing w:val="-3"/>
          <w:sz w:val="24"/>
          <w:szCs w:val="24"/>
          <w:highlight w:val="none"/>
          <w:lang w:eastAsia="zh-CN"/>
        </w:rPr>
        <w:t>的工商档案资料，向北京市规划和自然资源委员会调取了房屋及土地相关登记信息，向北京市住房和城乡建设委员会调取了房屋交易明细，向北京市公安局公安交通管理局车辆管理所调取了车辆信息，向北京住房公积金管理中心调取了住房公积金信息，向北京市社会保险基金管理中心调取了社保信息，向北京市医疗保险事务管理中心调取了医保信息，向国家税务总局北京市税务局调取了税务信息；前往各银行账户开户机构调取账户信息等；并通过网络信息检索等公开渠道查询资产情况。</w:t>
      </w:r>
    </w:p>
    <w:p w14:paraId="589673B0">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2.3.3 财产调查情况及现状</w:t>
      </w:r>
    </w:p>
    <w:p w14:paraId="0C52507A">
      <w:pPr>
        <w:pStyle w:val="4"/>
        <w:spacing w:before="0" w:after="289" w:afterLines="50" w:line="360" w:lineRule="auto"/>
        <w:ind w:left="0"/>
        <w:jc w:val="both"/>
        <w:rPr>
          <w:rFonts w:hint="eastAsia" w:ascii="楷体_GB2312" w:hAnsi="楷体_GB2312" w:eastAsia="楷体_GB2312" w:cs="楷体_GB2312"/>
          <w:spacing w:val="-3"/>
          <w:sz w:val="21"/>
          <w:szCs w:val="21"/>
          <w:highlight w:val="none"/>
          <w:lang w:eastAsia="zh-CN"/>
        </w:rPr>
      </w:pPr>
      <w:r>
        <w:rPr>
          <w:rFonts w:hint="eastAsia" w:ascii="楷体_GB2312" w:hAnsi="楷体_GB2312" w:eastAsia="楷体_GB2312" w:cs="楷体_GB2312"/>
          <w:spacing w:val="-3"/>
          <w:sz w:val="24"/>
          <w:szCs w:val="24"/>
          <w:highlight w:val="none"/>
          <w:lang w:eastAsia="zh-CN"/>
        </w:rPr>
        <w:t>清算组对太都国际公司的财产调查结果总体如下：</w:t>
      </w:r>
    </w:p>
    <w:tbl>
      <w:tblPr>
        <w:tblStyle w:val="22"/>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7"/>
        <w:gridCol w:w="3450"/>
        <w:gridCol w:w="4521"/>
      </w:tblGrid>
      <w:tr w14:paraId="5C9BCE64">
        <w:trPr>
          <w:trHeight w:val="571" w:hRule="exact"/>
          <w:tblHeader/>
          <w:jc w:val="center"/>
        </w:trPr>
        <w:tc>
          <w:tcPr>
            <w:tcW w:w="1147" w:type="dxa"/>
            <w:tcBorders>
              <w:top w:val="single" w:color="auto" w:sz="4" w:space="0"/>
              <w:left w:val="nil"/>
              <w:bottom w:val="single" w:color="auto" w:sz="4" w:space="0"/>
              <w:right w:val="nil"/>
              <w:insideV w:val="nil"/>
              <w:tl2br w:val="nil"/>
              <w:tr2bl w:val="nil"/>
            </w:tcBorders>
            <w:shd w:val="clear" w:color="auto" w:fill="D7D7D7" w:themeFill="background1" w:themeFillShade="D8"/>
            <w:vAlign w:val="center"/>
          </w:tcPr>
          <w:p w14:paraId="34890AFB">
            <w:pPr>
              <w:pStyle w:val="4"/>
              <w:spacing w:before="0" w:line="400" w:lineRule="exact"/>
              <w:ind w:left="0"/>
              <w:jc w:val="center"/>
              <w:rPr>
                <w:rFonts w:hint="eastAsia" w:ascii="楷体_GB2312" w:hAnsi="楷体_GB2312" w:eastAsia="楷体_GB2312" w:cs="楷体_GB2312"/>
                <w:b/>
                <w:bCs/>
                <w:spacing w:val="-3"/>
                <w:kern w:val="0"/>
                <w:sz w:val="21"/>
                <w:szCs w:val="21"/>
                <w:highlight w:val="none"/>
                <w:lang w:eastAsia="zh-CN"/>
              </w:rPr>
            </w:pPr>
            <w:bookmarkStart w:id="4" w:name="OLE_LINK2"/>
            <w:r>
              <w:rPr>
                <w:rFonts w:hint="eastAsia" w:ascii="楷体_GB2312" w:hAnsi="楷体_GB2312" w:eastAsia="楷体_GB2312" w:cs="楷体_GB2312"/>
                <w:b/>
                <w:bCs/>
                <w:spacing w:val="-3"/>
                <w:kern w:val="0"/>
                <w:sz w:val="21"/>
                <w:szCs w:val="21"/>
                <w:highlight w:val="none"/>
                <w:lang w:eastAsia="zh-CN"/>
              </w:rPr>
              <w:t>序号</w:t>
            </w:r>
          </w:p>
        </w:tc>
        <w:tc>
          <w:tcPr>
            <w:tcW w:w="3450" w:type="dxa"/>
            <w:tcBorders>
              <w:top w:val="single" w:color="auto" w:sz="4" w:space="0"/>
              <w:left w:val="single" w:color="auto" w:sz="4" w:space="0"/>
              <w:bottom w:val="single" w:color="auto" w:sz="4" w:space="0"/>
              <w:right w:val="nil"/>
              <w:insideV w:val="nil"/>
              <w:tl2br w:val="nil"/>
              <w:tr2bl w:val="nil"/>
            </w:tcBorders>
            <w:shd w:val="clear" w:color="auto" w:fill="D7D7D7" w:themeFill="background1" w:themeFillShade="D8"/>
            <w:vAlign w:val="center"/>
          </w:tcPr>
          <w:p w14:paraId="4092C02F">
            <w:pPr>
              <w:pStyle w:val="4"/>
              <w:spacing w:before="0" w:line="400" w:lineRule="exact"/>
              <w:ind w:left="0"/>
              <w:jc w:val="center"/>
              <w:rPr>
                <w:rFonts w:hint="eastAsia" w:ascii="楷体_GB2312" w:hAnsi="楷体_GB2312" w:eastAsia="楷体_GB2312" w:cs="楷体_GB2312"/>
                <w:b/>
                <w:bCs/>
                <w:spacing w:val="-3"/>
                <w:sz w:val="21"/>
                <w:szCs w:val="21"/>
                <w:highlight w:val="none"/>
                <w:lang w:eastAsia="zh-CN"/>
              </w:rPr>
            </w:pPr>
            <w:r>
              <w:rPr>
                <w:rFonts w:hint="eastAsia" w:ascii="楷体_GB2312" w:hAnsi="楷体_GB2312" w:eastAsia="楷体_GB2312" w:cs="楷体_GB2312"/>
                <w:b/>
                <w:bCs/>
                <w:spacing w:val="-3"/>
                <w:sz w:val="21"/>
                <w:szCs w:val="21"/>
                <w:highlight w:val="none"/>
                <w:lang w:eastAsia="zh-CN"/>
              </w:rPr>
              <w:t>资产类别</w:t>
            </w:r>
          </w:p>
        </w:tc>
        <w:tc>
          <w:tcPr>
            <w:tcW w:w="4521" w:type="dxa"/>
            <w:tcBorders>
              <w:top w:val="single" w:color="auto" w:sz="4" w:space="0"/>
              <w:left w:val="single" w:color="auto" w:sz="4" w:space="0"/>
              <w:bottom w:val="single" w:color="auto" w:sz="4" w:space="0"/>
              <w:right w:val="nil"/>
              <w:insideV w:val="nil"/>
              <w:tl2br w:val="nil"/>
              <w:tr2bl w:val="nil"/>
            </w:tcBorders>
            <w:shd w:val="clear" w:color="auto" w:fill="D7D7D7" w:themeFill="background1" w:themeFillShade="D8"/>
            <w:vAlign w:val="center"/>
          </w:tcPr>
          <w:p w14:paraId="68C441AE">
            <w:pPr>
              <w:pStyle w:val="4"/>
              <w:spacing w:before="0" w:line="400" w:lineRule="exact"/>
              <w:ind w:left="0"/>
              <w:jc w:val="center"/>
              <w:rPr>
                <w:rFonts w:hint="eastAsia" w:ascii="楷体_GB2312" w:hAnsi="楷体_GB2312" w:eastAsia="楷体_GB2312" w:cs="楷体_GB2312"/>
                <w:b/>
                <w:bCs/>
                <w:spacing w:val="-3"/>
                <w:sz w:val="21"/>
                <w:szCs w:val="21"/>
                <w:highlight w:val="none"/>
                <w:lang w:eastAsia="zh-CN"/>
              </w:rPr>
            </w:pPr>
            <w:r>
              <w:rPr>
                <w:rFonts w:hint="eastAsia" w:ascii="楷体_GB2312" w:hAnsi="楷体_GB2312" w:eastAsia="楷体_GB2312" w:cs="楷体_GB2312"/>
                <w:b/>
                <w:bCs/>
                <w:spacing w:val="-3"/>
                <w:sz w:val="21"/>
                <w:szCs w:val="21"/>
                <w:highlight w:val="none"/>
                <w:lang w:eastAsia="zh-CN"/>
              </w:rPr>
              <w:t>调查结果</w:t>
            </w:r>
          </w:p>
        </w:tc>
      </w:tr>
      <w:tr w14:paraId="3C0662B1">
        <w:trPr>
          <w:trHeight w:val="548" w:hRule="exact"/>
          <w:jc w:val="center"/>
        </w:trPr>
        <w:tc>
          <w:tcPr>
            <w:tcW w:w="1147" w:type="dxa"/>
            <w:tcBorders>
              <w:top w:val="single" w:color="auto" w:sz="4" w:space="0"/>
            </w:tcBorders>
            <w:vAlign w:val="center"/>
          </w:tcPr>
          <w:p w14:paraId="29B6C283">
            <w:pPr>
              <w:pStyle w:val="4"/>
              <w:spacing w:before="0" w:line="400" w:lineRule="exact"/>
              <w:ind w:left="0"/>
              <w:jc w:val="center"/>
              <w:rPr>
                <w:rFonts w:hint="eastAsia" w:ascii="楷体_GB2312" w:hAnsi="楷体_GB2312" w:eastAsia="楷体_GB2312" w:cs="楷体_GB2312"/>
                <w:b w:val="0"/>
                <w:bCs/>
                <w:spacing w:val="-3"/>
                <w:kern w:val="0"/>
                <w:sz w:val="21"/>
                <w:szCs w:val="21"/>
                <w:highlight w:val="none"/>
                <w:lang w:eastAsia="zh-CN"/>
              </w:rPr>
            </w:pPr>
            <w:r>
              <w:rPr>
                <w:rFonts w:hint="eastAsia" w:ascii="楷体_GB2312" w:hAnsi="楷体_GB2312" w:eastAsia="楷体_GB2312" w:cs="楷体_GB2312"/>
                <w:b w:val="0"/>
                <w:bCs/>
                <w:spacing w:val="-3"/>
                <w:kern w:val="0"/>
                <w:sz w:val="21"/>
                <w:szCs w:val="21"/>
                <w:highlight w:val="none"/>
                <w:lang w:eastAsia="zh-CN"/>
              </w:rPr>
              <w:t>1</w:t>
            </w:r>
          </w:p>
        </w:tc>
        <w:tc>
          <w:tcPr>
            <w:tcW w:w="3450" w:type="dxa"/>
            <w:tcBorders>
              <w:top w:val="single" w:color="auto" w:sz="4" w:space="0"/>
            </w:tcBorders>
            <w:vAlign w:val="center"/>
          </w:tcPr>
          <w:p w14:paraId="4376A39E">
            <w:pPr>
              <w:pStyle w:val="4"/>
              <w:spacing w:before="0" w:line="400" w:lineRule="exact"/>
              <w:ind w:left="0"/>
              <w:jc w:val="center"/>
              <w:rPr>
                <w:rFonts w:hint="eastAsia" w:ascii="楷体_GB2312" w:hAnsi="楷体_GB2312" w:eastAsia="楷体_GB2312" w:cs="楷体_GB2312"/>
                <w:b/>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货币资金</w:t>
            </w:r>
          </w:p>
        </w:tc>
        <w:tc>
          <w:tcPr>
            <w:tcW w:w="4521" w:type="dxa"/>
            <w:tcBorders>
              <w:top w:val="single" w:color="auto" w:sz="4" w:space="0"/>
            </w:tcBorders>
            <w:vAlign w:val="center"/>
          </w:tcPr>
          <w:p w14:paraId="3E9B25DB">
            <w:pPr>
              <w:pStyle w:val="4"/>
              <w:spacing w:before="0" w:line="400" w:lineRule="exact"/>
              <w:ind w:left="0"/>
              <w:jc w:val="center"/>
              <w:rPr>
                <w:rFonts w:hint="eastAsia" w:ascii="楷体_GB2312" w:hAnsi="楷体_GB2312" w:eastAsia="楷体_GB2312" w:cs="楷体_GB2312"/>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无</w:t>
            </w:r>
          </w:p>
        </w:tc>
      </w:tr>
      <w:tr w14:paraId="7066FDF4">
        <w:trPr>
          <w:trHeight w:val="487" w:hRule="exact"/>
          <w:jc w:val="center"/>
        </w:trPr>
        <w:tc>
          <w:tcPr>
            <w:tcW w:w="1147" w:type="dxa"/>
            <w:vAlign w:val="center"/>
          </w:tcPr>
          <w:p w14:paraId="5FEEA9CA">
            <w:pPr>
              <w:pStyle w:val="4"/>
              <w:spacing w:before="0" w:line="400" w:lineRule="exact"/>
              <w:ind w:left="0"/>
              <w:jc w:val="center"/>
              <w:rPr>
                <w:rFonts w:hint="eastAsia" w:ascii="楷体_GB2312" w:hAnsi="楷体_GB2312" w:eastAsia="楷体_GB2312" w:cs="楷体_GB2312"/>
                <w:b w:val="0"/>
                <w:bCs/>
                <w:spacing w:val="-3"/>
                <w:kern w:val="0"/>
                <w:sz w:val="21"/>
                <w:szCs w:val="21"/>
                <w:highlight w:val="none"/>
                <w:lang w:eastAsia="zh-CN"/>
              </w:rPr>
            </w:pPr>
            <w:r>
              <w:rPr>
                <w:rFonts w:hint="eastAsia" w:ascii="楷体_GB2312" w:hAnsi="楷体_GB2312" w:eastAsia="楷体_GB2312" w:cs="楷体_GB2312"/>
                <w:b w:val="0"/>
                <w:bCs/>
                <w:spacing w:val="-3"/>
                <w:kern w:val="0"/>
                <w:sz w:val="21"/>
                <w:szCs w:val="21"/>
                <w:highlight w:val="none"/>
                <w:lang w:eastAsia="zh-CN"/>
              </w:rPr>
              <w:t>2</w:t>
            </w:r>
          </w:p>
        </w:tc>
        <w:tc>
          <w:tcPr>
            <w:tcW w:w="3450" w:type="dxa"/>
            <w:vAlign w:val="center"/>
          </w:tcPr>
          <w:p w14:paraId="5CF614AE">
            <w:pPr>
              <w:pStyle w:val="4"/>
              <w:spacing w:before="0" w:line="400" w:lineRule="exact"/>
              <w:ind w:left="0"/>
              <w:jc w:val="center"/>
              <w:rPr>
                <w:rFonts w:hint="eastAsia" w:ascii="楷体_GB2312" w:hAnsi="楷体_GB2312" w:eastAsia="楷体_GB2312" w:cs="楷体_GB2312"/>
                <w:b/>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房屋及土地</w:t>
            </w:r>
          </w:p>
        </w:tc>
        <w:tc>
          <w:tcPr>
            <w:tcW w:w="4521" w:type="dxa"/>
            <w:vAlign w:val="center"/>
          </w:tcPr>
          <w:p w14:paraId="5F71AD4A">
            <w:pPr>
              <w:pStyle w:val="4"/>
              <w:spacing w:before="0" w:line="400" w:lineRule="exact"/>
              <w:ind w:left="0"/>
              <w:jc w:val="center"/>
              <w:rPr>
                <w:rFonts w:hint="eastAsia" w:ascii="楷体_GB2312" w:hAnsi="楷体_GB2312" w:eastAsia="楷体_GB2312" w:cs="楷体_GB2312"/>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无</w:t>
            </w:r>
          </w:p>
        </w:tc>
      </w:tr>
      <w:tr w14:paraId="11E7CA93">
        <w:trPr>
          <w:trHeight w:val="489" w:hRule="exact"/>
          <w:jc w:val="center"/>
        </w:trPr>
        <w:tc>
          <w:tcPr>
            <w:tcW w:w="1147" w:type="dxa"/>
            <w:vAlign w:val="center"/>
          </w:tcPr>
          <w:p w14:paraId="222CCE88">
            <w:pPr>
              <w:pStyle w:val="4"/>
              <w:spacing w:before="0" w:line="400" w:lineRule="exact"/>
              <w:ind w:left="0"/>
              <w:jc w:val="center"/>
              <w:rPr>
                <w:rFonts w:hint="eastAsia" w:ascii="楷体_GB2312" w:hAnsi="楷体_GB2312" w:eastAsia="楷体_GB2312" w:cs="楷体_GB2312"/>
                <w:b/>
                <w:bCs w:val="0"/>
                <w:spacing w:val="-3"/>
                <w:kern w:val="0"/>
                <w:sz w:val="21"/>
                <w:szCs w:val="21"/>
                <w:highlight w:val="none"/>
                <w:lang w:eastAsia="zh-CN"/>
              </w:rPr>
            </w:pPr>
            <w:r>
              <w:rPr>
                <w:rFonts w:hint="eastAsia" w:ascii="楷体_GB2312" w:hAnsi="楷体_GB2312" w:eastAsia="楷体_GB2312" w:cs="楷体_GB2312"/>
                <w:b w:val="0"/>
                <w:bCs/>
                <w:spacing w:val="-3"/>
                <w:kern w:val="0"/>
                <w:sz w:val="21"/>
                <w:szCs w:val="21"/>
                <w:highlight w:val="none"/>
                <w:lang w:eastAsia="zh-CN"/>
              </w:rPr>
              <w:t>3</w:t>
            </w:r>
          </w:p>
        </w:tc>
        <w:tc>
          <w:tcPr>
            <w:tcW w:w="3450" w:type="dxa"/>
            <w:vAlign w:val="center"/>
          </w:tcPr>
          <w:p w14:paraId="21923BF3">
            <w:pPr>
              <w:pStyle w:val="4"/>
              <w:spacing w:before="0" w:line="400" w:lineRule="exact"/>
              <w:ind w:left="0"/>
              <w:jc w:val="center"/>
              <w:rPr>
                <w:rFonts w:hint="eastAsia" w:ascii="楷体_GB2312" w:hAnsi="楷体_GB2312" w:eastAsia="楷体_GB2312" w:cs="楷体_GB2312"/>
                <w:bCs/>
                <w:spacing w:val="-3"/>
                <w:kern w:val="0"/>
                <w:sz w:val="21"/>
                <w:szCs w:val="21"/>
                <w:highlight w:val="none"/>
                <w:lang w:eastAsia="zh-CN"/>
              </w:rPr>
            </w:pPr>
            <w:r>
              <w:rPr>
                <w:rFonts w:hint="eastAsia" w:ascii="楷体_GB2312" w:hAnsi="楷体_GB2312" w:eastAsia="楷体_GB2312" w:cs="楷体_GB2312"/>
                <w:bCs/>
                <w:spacing w:val="-3"/>
                <w:kern w:val="0"/>
                <w:sz w:val="21"/>
                <w:szCs w:val="21"/>
                <w:highlight w:val="none"/>
                <w:lang w:eastAsia="zh-CN"/>
              </w:rPr>
              <w:t>车辆</w:t>
            </w:r>
          </w:p>
        </w:tc>
        <w:tc>
          <w:tcPr>
            <w:tcW w:w="4521" w:type="dxa"/>
            <w:vAlign w:val="center"/>
          </w:tcPr>
          <w:p w14:paraId="33CA0E37">
            <w:pPr>
              <w:pStyle w:val="4"/>
              <w:spacing w:before="0" w:line="400" w:lineRule="exact"/>
              <w:ind w:left="0"/>
              <w:jc w:val="center"/>
              <w:rPr>
                <w:rFonts w:hint="eastAsia" w:ascii="楷体_GB2312" w:hAnsi="楷体_GB2312" w:eastAsia="楷体_GB2312" w:cs="楷体_GB2312"/>
                <w:bCs/>
                <w:spacing w:val="-3"/>
                <w:kern w:val="0"/>
                <w:sz w:val="21"/>
                <w:szCs w:val="21"/>
                <w:highlight w:val="none"/>
                <w:lang w:eastAsia="zh-CN"/>
              </w:rPr>
            </w:pPr>
            <w:r>
              <w:rPr>
                <w:rFonts w:hint="eastAsia" w:ascii="楷体_GB2312" w:hAnsi="楷体_GB2312" w:eastAsia="楷体_GB2312" w:cs="楷体_GB2312"/>
                <w:bCs/>
                <w:spacing w:val="-3"/>
                <w:kern w:val="0"/>
                <w:sz w:val="21"/>
                <w:szCs w:val="21"/>
                <w:highlight w:val="none"/>
                <w:lang w:val="en-US" w:eastAsia="zh-CN"/>
              </w:rPr>
              <w:t>无</w:t>
            </w:r>
          </w:p>
        </w:tc>
      </w:tr>
      <w:tr w14:paraId="57A8D5B6">
        <w:trPr>
          <w:trHeight w:val="490" w:hRule="exact"/>
          <w:jc w:val="center"/>
        </w:trPr>
        <w:tc>
          <w:tcPr>
            <w:tcW w:w="1147" w:type="dxa"/>
            <w:vAlign w:val="center"/>
          </w:tcPr>
          <w:p w14:paraId="688C7B9D">
            <w:pPr>
              <w:pStyle w:val="4"/>
              <w:spacing w:before="0" w:line="400" w:lineRule="exact"/>
              <w:ind w:left="0"/>
              <w:jc w:val="center"/>
              <w:rPr>
                <w:rFonts w:hint="eastAsia" w:ascii="楷体_GB2312" w:hAnsi="楷体_GB2312" w:eastAsia="楷体_GB2312" w:cs="楷体_GB2312"/>
                <w:b w:val="0"/>
                <w:bCs/>
                <w:spacing w:val="-3"/>
                <w:kern w:val="0"/>
                <w:sz w:val="21"/>
                <w:szCs w:val="21"/>
                <w:highlight w:val="none"/>
                <w:lang w:eastAsia="zh-CN"/>
              </w:rPr>
            </w:pPr>
            <w:r>
              <w:rPr>
                <w:rFonts w:hint="eastAsia" w:ascii="楷体_GB2312" w:hAnsi="楷体_GB2312" w:eastAsia="楷体_GB2312" w:cs="楷体_GB2312"/>
                <w:b w:val="0"/>
                <w:bCs/>
                <w:spacing w:val="-3"/>
                <w:kern w:val="0"/>
                <w:sz w:val="21"/>
                <w:szCs w:val="21"/>
                <w:highlight w:val="none"/>
                <w:lang w:eastAsia="zh-CN"/>
              </w:rPr>
              <w:t>4</w:t>
            </w:r>
          </w:p>
        </w:tc>
        <w:tc>
          <w:tcPr>
            <w:tcW w:w="3450" w:type="dxa"/>
            <w:vAlign w:val="center"/>
          </w:tcPr>
          <w:p w14:paraId="45831D19">
            <w:pPr>
              <w:pStyle w:val="4"/>
              <w:spacing w:before="0" w:line="400" w:lineRule="exact"/>
              <w:ind w:left="0"/>
              <w:jc w:val="center"/>
              <w:rPr>
                <w:rFonts w:hint="eastAsia" w:ascii="楷体_GB2312" w:hAnsi="楷体_GB2312" w:eastAsia="楷体_GB2312" w:cs="楷体_GB2312"/>
                <w:b/>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证券</w:t>
            </w:r>
          </w:p>
        </w:tc>
        <w:tc>
          <w:tcPr>
            <w:tcW w:w="4521" w:type="dxa"/>
            <w:vAlign w:val="center"/>
          </w:tcPr>
          <w:p w14:paraId="089E820F">
            <w:pPr>
              <w:pStyle w:val="4"/>
              <w:spacing w:before="0" w:line="400" w:lineRule="exact"/>
              <w:ind w:left="0"/>
              <w:jc w:val="center"/>
              <w:rPr>
                <w:rFonts w:hint="eastAsia" w:ascii="楷体_GB2312" w:hAnsi="楷体_GB2312" w:eastAsia="楷体_GB2312" w:cs="楷体_GB2312"/>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无</w:t>
            </w:r>
          </w:p>
        </w:tc>
      </w:tr>
      <w:tr w14:paraId="180DD4F3">
        <w:trPr>
          <w:trHeight w:val="513" w:hRule="exact"/>
          <w:jc w:val="center"/>
        </w:trPr>
        <w:tc>
          <w:tcPr>
            <w:tcW w:w="1147" w:type="dxa"/>
            <w:vAlign w:val="center"/>
          </w:tcPr>
          <w:p w14:paraId="10354FC1">
            <w:pPr>
              <w:pStyle w:val="4"/>
              <w:spacing w:before="0" w:line="400" w:lineRule="exact"/>
              <w:ind w:left="0"/>
              <w:jc w:val="center"/>
              <w:rPr>
                <w:rFonts w:hint="eastAsia" w:ascii="楷体_GB2312" w:hAnsi="楷体_GB2312" w:eastAsia="楷体_GB2312" w:cs="楷体_GB2312"/>
                <w:b w:val="0"/>
                <w:bCs/>
                <w:spacing w:val="-3"/>
                <w:kern w:val="0"/>
                <w:sz w:val="21"/>
                <w:szCs w:val="21"/>
                <w:highlight w:val="none"/>
                <w:lang w:eastAsia="zh-CN"/>
              </w:rPr>
            </w:pPr>
            <w:r>
              <w:rPr>
                <w:rFonts w:hint="eastAsia" w:ascii="楷体_GB2312" w:hAnsi="楷体_GB2312" w:eastAsia="楷体_GB2312" w:cs="楷体_GB2312"/>
                <w:b w:val="0"/>
                <w:bCs/>
                <w:spacing w:val="-3"/>
                <w:kern w:val="0"/>
                <w:sz w:val="21"/>
                <w:szCs w:val="21"/>
                <w:highlight w:val="none"/>
                <w:lang w:eastAsia="zh-CN"/>
              </w:rPr>
              <w:t>5</w:t>
            </w:r>
          </w:p>
        </w:tc>
        <w:tc>
          <w:tcPr>
            <w:tcW w:w="3450" w:type="dxa"/>
            <w:vAlign w:val="center"/>
          </w:tcPr>
          <w:p w14:paraId="7FC01E2B">
            <w:pPr>
              <w:pStyle w:val="4"/>
              <w:spacing w:before="0" w:line="400" w:lineRule="exact"/>
              <w:ind w:left="0"/>
              <w:jc w:val="center"/>
              <w:rPr>
                <w:rFonts w:hint="eastAsia" w:ascii="楷体_GB2312" w:hAnsi="楷体_GB2312" w:eastAsia="楷体_GB2312" w:cs="楷体_GB2312"/>
                <w:b/>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应收账款等债权类资产</w:t>
            </w:r>
          </w:p>
        </w:tc>
        <w:tc>
          <w:tcPr>
            <w:tcW w:w="4521" w:type="dxa"/>
            <w:vAlign w:val="center"/>
          </w:tcPr>
          <w:p w14:paraId="6DA613D6">
            <w:pPr>
              <w:pStyle w:val="4"/>
              <w:spacing w:before="0" w:line="400" w:lineRule="exact"/>
              <w:ind w:left="0"/>
              <w:jc w:val="center"/>
              <w:rPr>
                <w:rFonts w:hint="eastAsia" w:ascii="楷体_GB2312" w:hAnsi="楷体_GB2312" w:eastAsia="楷体_GB2312" w:cs="楷体_GB2312"/>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无线索</w:t>
            </w:r>
          </w:p>
        </w:tc>
      </w:tr>
      <w:tr w14:paraId="467000A8">
        <w:trPr>
          <w:trHeight w:val="513" w:hRule="exact"/>
          <w:jc w:val="center"/>
        </w:trPr>
        <w:tc>
          <w:tcPr>
            <w:tcW w:w="1147" w:type="dxa"/>
            <w:vAlign w:val="center"/>
          </w:tcPr>
          <w:p w14:paraId="185E1727">
            <w:pPr>
              <w:pStyle w:val="4"/>
              <w:spacing w:before="0" w:line="400" w:lineRule="exact"/>
              <w:ind w:left="0"/>
              <w:jc w:val="center"/>
              <w:rPr>
                <w:rFonts w:hint="eastAsia" w:ascii="楷体_GB2312" w:hAnsi="楷体_GB2312" w:eastAsia="楷体_GB2312" w:cs="楷体_GB2312"/>
                <w:b w:val="0"/>
                <w:bCs/>
                <w:spacing w:val="-3"/>
                <w:kern w:val="0"/>
                <w:sz w:val="21"/>
                <w:szCs w:val="21"/>
                <w:highlight w:val="none"/>
                <w:lang w:eastAsia="zh-CN"/>
              </w:rPr>
            </w:pPr>
            <w:r>
              <w:rPr>
                <w:rFonts w:hint="eastAsia" w:ascii="楷体_GB2312" w:hAnsi="楷体_GB2312" w:eastAsia="楷体_GB2312" w:cs="楷体_GB2312"/>
                <w:b w:val="0"/>
                <w:bCs/>
                <w:spacing w:val="-3"/>
                <w:kern w:val="0"/>
                <w:sz w:val="21"/>
                <w:szCs w:val="21"/>
                <w:highlight w:val="none"/>
                <w:lang w:eastAsia="zh-CN"/>
              </w:rPr>
              <w:t>6</w:t>
            </w:r>
          </w:p>
        </w:tc>
        <w:tc>
          <w:tcPr>
            <w:tcW w:w="3450" w:type="dxa"/>
            <w:vAlign w:val="center"/>
          </w:tcPr>
          <w:p w14:paraId="3E5CDDBA">
            <w:pPr>
              <w:pStyle w:val="4"/>
              <w:spacing w:before="0" w:line="400" w:lineRule="exact"/>
              <w:ind w:left="0"/>
              <w:jc w:val="center"/>
              <w:rPr>
                <w:rFonts w:hint="eastAsia" w:ascii="楷体_GB2312" w:hAnsi="楷体_GB2312" w:eastAsia="楷体_GB2312" w:cs="楷体_GB2312"/>
                <w:b/>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知识产权类资产</w:t>
            </w:r>
          </w:p>
        </w:tc>
        <w:tc>
          <w:tcPr>
            <w:tcW w:w="4521" w:type="dxa"/>
            <w:vAlign w:val="center"/>
          </w:tcPr>
          <w:p w14:paraId="27295E83">
            <w:pPr>
              <w:pStyle w:val="4"/>
              <w:spacing w:before="0" w:line="400" w:lineRule="exact"/>
              <w:ind w:left="0"/>
              <w:jc w:val="center"/>
              <w:rPr>
                <w:rFonts w:hint="eastAsia" w:ascii="楷体_GB2312" w:hAnsi="楷体_GB2312" w:eastAsia="楷体_GB2312" w:cs="楷体_GB2312"/>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无</w:t>
            </w:r>
          </w:p>
        </w:tc>
      </w:tr>
      <w:tr w14:paraId="5FDD1C56">
        <w:trPr>
          <w:trHeight w:val="583" w:hRule="exact"/>
          <w:jc w:val="center"/>
        </w:trPr>
        <w:tc>
          <w:tcPr>
            <w:tcW w:w="1147" w:type="dxa"/>
            <w:vAlign w:val="center"/>
          </w:tcPr>
          <w:p w14:paraId="612B9E31">
            <w:pPr>
              <w:pStyle w:val="4"/>
              <w:spacing w:before="0" w:line="400" w:lineRule="exact"/>
              <w:ind w:left="0"/>
              <w:jc w:val="center"/>
              <w:rPr>
                <w:rFonts w:hint="eastAsia" w:ascii="楷体_GB2312" w:hAnsi="楷体_GB2312" w:eastAsia="楷体_GB2312" w:cs="楷体_GB2312"/>
                <w:b w:val="0"/>
                <w:bCs/>
                <w:spacing w:val="-3"/>
                <w:kern w:val="0"/>
                <w:sz w:val="21"/>
                <w:szCs w:val="21"/>
                <w:highlight w:val="none"/>
                <w:lang w:eastAsia="zh-CN"/>
              </w:rPr>
            </w:pPr>
            <w:r>
              <w:rPr>
                <w:rFonts w:hint="eastAsia" w:ascii="楷体_GB2312" w:hAnsi="楷体_GB2312" w:eastAsia="楷体_GB2312" w:cs="楷体_GB2312"/>
                <w:b w:val="0"/>
                <w:bCs/>
                <w:spacing w:val="-3"/>
                <w:kern w:val="0"/>
                <w:sz w:val="21"/>
                <w:szCs w:val="21"/>
                <w:highlight w:val="none"/>
                <w:lang w:eastAsia="zh-CN"/>
              </w:rPr>
              <w:t>7</w:t>
            </w:r>
          </w:p>
        </w:tc>
        <w:tc>
          <w:tcPr>
            <w:tcW w:w="3450" w:type="dxa"/>
            <w:vAlign w:val="center"/>
          </w:tcPr>
          <w:p w14:paraId="2B3AA6D7">
            <w:pPr>
              <w:pStyle w:val="4"/>
              <w:spacing w:before="0" w:line="400" w:lineRule="exact"/>
              <w:ind w:left="0"/>
              <w:jc w:val="center"/>
              <w:rPr>
                <w:rFonts w:hint="eastAsia" w:ascii="楷体_GB2312" w:hAnsi="楷体_GB2312" w:eastAsia="楷体_GB2312" w:cs="楷体_GB2312"/>
                <w:b/>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对外长期股权投资类资产</w:t>
            </w:r>
          </w:p>
        </w:tc>
        <w:tc>
          <w:tcPr>
            <w:tcW w:w="4521" w:type="dxa"/>
            <w:vAlign w:val="center"/>
          </w:tcPr>
          <w:p w14:paraId="7EBF1255">
            <w:pPr>
              <w:pStyle w:val="4"/>
              <w:spacing w:before="0" w:line="400" w:lineRule="exact"/>
              <w:ind w:left="0"/>
              <w:jc w:val="center"/>
              <w:rPr>
                <w:rFonts w:hint="eastAsia" w:ascii="楷体_GB2312" w:hAnsi="楷体_GB2312" w:eastAsia="楷体_GB2312" w:cs="楷体_GB2312"/>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无</w:t>
            </w:r>
          </w:p>
        </w:tc>
      </w:tr>
      <w:bookmarkEnd w:id="4"/>
    </w:tbl>
    <w:p w14:paraId="5A69DDD5">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2.3.3.1 银行账户及货币资金</w:t>
      </w:r>
    </w:p>
    <w:p w14:paraId="776F9EEC">
      <w:pPr>
        <w:pStyle w:val="4"/>
        <w:spacing w:before="289" w:beforeLines="50" w:after="289" w:afterLines="50"/>
        <w:ind w:left="0"/>
        <w:jc w:val="both"/>
        <w:rPr>
          <w:rFonts w:hint="default" w:ascii="楷体_GB2312" w:hAnsi="楷体_GB2312" w:eastAsia="楷体_GB2312" w:cs="楷体_GB2312"/>
          <w:spacing w:val="-3"/>
          <w:sz w:val="24"/>
          <w:szCs w:val="24"/>
          <w:highlight w:val="none"/>
          <w:lang w:val="en-US" w:eastAsia="zh-CN"/>
        </w:rPr>
      </w:pPr>
      <w:r>
        <w:rPr>
          <w:rFonts w:hint="eastAsia" w:ascii="楷体_GB2312" w:hAnsi="楷体_GB2312" w:eastAsia="楷体_GB2312" w:cs="楷体_GB2312"/>
          <w:spacing w:val="-3"/>
          <w:sz w:val="24"/>
          <w:szCs w:val="24"/>
          <w:highlight w:val="none"/>
          <w:lang w:val="en-US" w:eastAsia="zh-CN"/>
        </w:rPr>
        <w:t>清算组暂未查询、接管到太都国际公司任何货币资金。</w:t>
      </w:r>
    </w:p>
    <w:p w14:paraId="590F394D">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2.3.3.2 不动产</w:t>
      </w:r>
    </w:p>
    <w:p w14:paraId="63223F45">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根据北京市住房和城乡建设委员会于2025年</w:t>
      </w:r>
      <w:r>
        <w:rPr>
          <w:rFonts w:hint="eastAsia" w:ascii="楷体_GB2312" w:hAnsi="楷体_GB2312" w:eastAsia="楷体_GB2312" w:cs="楷体_GB2312"/>
          <w:spacing w:val="-3"/>
          <w:sz w:val="24"/>
          <w:szCs w:val="24"/>
          <w:highlight w:val="none"/>
          <w:lang w:val="en-US" w:eastAsia="zh-CN"/>
        </w:rPr>
        <w:t>10</w:t>
      </w:r>
      <w:r>
        <w:rPr>
          <w:rFonts w:hint="eastAsia" w:ascii="楷体_GB2312" w:hAnsi="楷体_GB2312" w:eastAsia="楷体_GB2312" w:cs="楷体_GB2312"/>
          <w:spacing w:val="-3"/>
          <w:sz w:val="24"/>
          <w:szCs w:val="24"/>
          <w:highlight w:val="none"/>
          <w:lang w:eastAsia="zh-CN"/>
        </w:rPr>
        <w:t>月</w:t>
      </w:r>
      <w:r>
        <w:rPr>
          <w:rFonts w:hint="eastAsia" w:ascii="楷体_GB2312" w:hAnsi="楷体_GB2312" w:eastAsia="楷体_GB2312" w:cs="楷体_GB2312"/>
          <w:spacing w:val="-3"/>
          <w:sz w:val="24"/>
          <w:szCs w:val="24"/>
          <w:highlight w:val="none"/>
          <w:lang w:val="en-US" w:eastAsia="zh-CN"/>
        </w:rPr>
        <w:t>14</w:t>
      </w:r>
      <w:r>
        <w:rPr>
          <w:rFonts w:hint="eastAsia" w:ascii="楷体_GB2312" w:hAnsi="楷体_GB2312" w:eastAsia="楷体_GB2312" w:cs="楷体_GB2312"/>
          <w:spacing w:val="-3"/>
          <w:sz w:val="24"/>
          <w:szCs w:val="24"/>
          <w:highlight w:val="none"/>
          <w:lang w:eastAsia="zh-CN"/>
        </w:rPr>
        <w:t>日查询的《企业破产房屋交易信息核查结果告知单》显示，太都国际公司无房屋交易网签记录。根据</w:t>
      </w:r>
      <w:bookmarkStart w:id="5" w:name="OLE_LINK7"/>
      <w:r>
        <w:rPr>
          <w:rFonts w:hint="eastAsia" w:ascii="楷体_GB2312" w:hAnsi="楷体_GB2312" w:eastAsia="楷体_GB2312" w:cs="楷体_GB2312"/>
          <w:spacing w:val="-3"/>
          <w:sz w:val="24"/>
          <w:szCs w:val="24"/>
          <w:highlight w:val="none"/>
          <w:lang w:eastAsia="zh-CN"/>
        </w:rPr>
        <w:t>北京市规划和自然资源委员会于2025年</w:t>
      </w:r>
      <w:r>
        <w:rPr>
          <w:rFonts w:hint="eastAsia" w:ascii="楷体_GB2312" w:hAnsi="楷体_GB2312" w:eastAsia="楷体_GB2312" w:cs="楷体_GB2312"/>
          <w:spacing w:val="-3"/>
          <w:sz w:val="24"/>
          <w:szCs w:val="24"/>
          <w:highlight w:val="none"/>
          <w:lang w:val="en-US" w:eastAsia="zh-CN"/>
        </w:rPr>
        <w:t>9</w:t>
      </w:r>
      <w:r>
        <w:rPr>
          <w:rFonts w:hint="eastAsia" w:ascii="楷体_GB2312" w:hAnsi="楷体_GB2312" w:eastAsia="楷体_GB2312" w:cs="楷体_GB2312"/>
          <w:spacing w:val="-3"/>
          <w:sz w:val="24"/>
          <w:szCs w:val="24"/>
          <w:highlight w:val="none"/>
          <w:lang w:eastAsia="zh-CN"/>
        </w:rPr>
        <w:t>月</w:t>
      </w:r>
      <w:r>
        <w:rPr>
          <w:rFonts w:hint="eastAsia" w:ascii="楷体_GB2312" w:hAnsi="楷体_GB2312" w:eastAsia="楷体_GB2312" w:cs="楷体_GB2312"/>
          <w:spacing w:val="-3"/>
          <w:sz w:val="24"/>
          <w:szCs w:val="24"/>
          <w:highlight w:val="none"/>
          <w:lang w:val="en-US" w:eastAsia="zh-CN"/>
        </w:rPr>
        <w:t>18</w:t>
      </w:r>
      <w:r>
        <w:rPr>
          <w:rFonts w:hint="eastAsia" w:ascii="楷体_GB2312" w:hAnsi="楷体_GB2312" w:eastAsia="楷体_GB2312" w:cs="楷体_GB2312"/>
          <w:spacing w:val="-3"/>
          <w:sz w:val="24"/>
          <w:szCs w:val="24"/>
          <w:highlight w:val="none"/>
          <w:lang w:eastAsia="zh-CN"/>
        </w:rPr>
        <w:t>日查询的《不动产登记信息查询结果告知单》</w:t>
      </w:r>
      <w:bookmarkEnd w:id="5"/>
      <w:r>
        <w:rPr>
          <w:rFonts w:hint="eastAsia" w:ascii="楷体_GB2312" w:hAnsi="楷体_GB2312" w:eastAsia="楷体_GB2312" w:cs="楷体_GB2312"/>
          <w:spacing w:val="-3"/>
          <w:sz w:val="24"/>
          <w:szCs w:val="24"/>
          <w:highlight w:val="none"/>
          <w:lang w:eastAsia="zh-CN"/>
        </w:rPr>
        <w:t>显示，太都国际公司名下目前无土地、房产的所有权/使用权登记信息。</w:t>
      </w:r>
    </w:p>
    <w:p w14:paraId="25F0B64F">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2.3.3.3 车辆</w:t>
      </w:r>
    </w:p>
    <w:p w14:paraId="570BB956">
      <w:pPr>
        <w:pStyle w:val="2"/>
        <w:keepNext w:val="0"/>
        <w:keepLines w:val="0"/>
        <w:spacing w:before="289" w:beforeLines="50" w:after="289" w:afterLines="50" w:line="240" w:lineRule="auto"/>
        <w:rPr>
          <w:rFonts w:hint="default" w:ascii="楷体_GB2312" w:hAnsi="楷体_GB2312" w:eastAsia="楷体_GB2312" w:cs="楷体_GB2312"/>
          <w:b w:val="0"/>
          <w:bCs w:val="0"/>
          <w:w w:val="105"/>
          <w:sz w:val="24"/>
          <w:szCs w:val="24"/>
          <w:highlight w:val="none"/>
          <w:lang w:val="en-US"/>
        </w:rPr>
      </w:pPr>
      <w:r>
        <w:rPr>
          <w:rFonts w:hint="eastAsia" w:ascii="楷体_GB2312" w:hAnsi="楷体_GB2312" w:eastAsia="楷体_GB2312" w:cs="楷体_GB2312"/>
          <w:b w:val="0"/>
          <w:bCs w:val="0"/>
          <w:spacing w:val="-3"/>
          <w:sz w:val="24"/>
          <w:szCs w:val="24"/>
          <w:highlight w:val="none"/>
          <w:lang w:eastAsia="zh-CN"/>
        </w:rPr>
        <w:t>根据北京市公安局公安交通管理局车辆管理所于2025年</w:t>
      </w:r>
      <w:r>
        <w:rPr>
          <w:rFonts w:hint="eastAsia" w:ascii="楷体_GB2312" w:hAnsi="楷体_GB2312" w:eastAsia="楷体_GB2312" w:cs="楷体_GB2312"/>
          <w:b w:val="0"/>
          <w:bCs w:val="0"/>
          <w:spacing w:val="-3"/>
          <w:sz w:val="24"/>
          <w:szCs w:val="24"/>
          <w:highlight w:val="none"/>
          <w:lang w:val="en-US" w:eastAsia="zh-CN"/>
        </w:rPr>
        <w:t>10</w:t>
      </w:r>
      <w:r>
        <w:rPr>
          <w:rFonts w:hint="eastAsia" w:ascii="楷体_GB2312" w:hAnsi="楷体_GB2312" w:eastAsia="楷体_GB2312" w:cs="楷体_GB2312"/>
          <w:b w:val="0"/>
          <w:bCs w:val="0"/>
          <w:spacing w:val="-3"/>
          <w:sz w:val="24"/>
          <w:szCs w:val="24"/>
          <w:highlight w:val="none"/>
          <w:lang w:eastAsia="zh-CN"/>
        </w:rPr>
        <w:t>月</w:t>
      </w:r>
      <w:r>
        <w:rPr>
          <w:rFonts w:hint="eastAsia" w:ascii="楷体_GB2312" w:hAnsi="楷体_GB2312" w:eastAsia="楷体_GB2312" w:cs="楷体_GB2312"/>
          <w:b w:val="0"/>
          <w:bCs w:val="0"/>
          <w:spacing w:val="-3"/>
          <w:sz w:val="24"/>
          <w:szCs w:val="24"/>
          <w:highlight w:val="none"/>
          <w:lang w:val="en-US" w:eastAsia="zh-CN"/>
        </w:rPr>
        <w:t>14</w:t>
      </w:r>
      <w:r>
        <w:rPr>
          <w:rFonts w:hint="eastAsia" w:ascii="楷体_GB2312" w:hAnsi="楷体_GB2312" w:eastAsia="楷体_GB2312" w:cs="楷体_GB2312"/>
          <w:b w:val="0"/>
          <w:bCs w:val="0"/>
          <w:spacing w:val="-3"/>
          <w:sz w:val="24"/>
          <w:szCs w:val="24"/>
          <w:highlight w:val="none"/>
          <w:lang w:eastAsia="zh-CN"/>
        </w:rPr>
        <w:t>日出具的《机动车查询结果告知单》显示，太都国际公司名下</w:t>
      </w:r>
      <w:r>
        <w:rPr>
          <w:rFonts w:hint="eastAsia" w:ascii="楷体_GB2312" w:hAnsi="楷体_GB2312" w:eastAsia="楷体_GB2312" w:cs="楷体_GB2312"/>
          <w:b w:val="0"/>
          <w:bCs w:val="0"/>
          <w:spacing w:val="-3"/>
          <w:sz w:val="24"/>
          <w:szCs w:val="24"/>
          <w:highlight w:val="none"/>
          <w:lang w:val="en-US" w:eastAsia="zh-CN"/>
        </w:rPr>
        <w:t>无登记的机动车。</w:t>
      </w:r>
    </w:p>
    <w:p w14:paraId="294ADC9C">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2.3.3.4 应收账款等债权类资产</w:t>
      </w:r>
    </w:p>
    <w:p w14:paraId="10236ABB">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太都国际公司及其有关人员未向清算组移交太都国际公司的财务账册、债权清册等资料，清算组通过网络搜索，截至本清算报告出具之日，未查询到太都国际公司为原告或申请执行人的案件。</w:t>
      </w:r>
    </w:p>
    <w:p w14:paraId="72DB8DC1">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如在后续工作中，清算组经调查发现太都国际公司存在应收债权等债权类资产的，则清算组将在贵院的指导下，综合考虑债权类资产追收的证据是否充足，是否超过诉讼时效、执行时效，债务人的资产情况，追收成本以及获得清偿的可能性等多方面因素后，积极通过发送催款函等方式进行追收。</w:t>
      </w:r>
    </w:p>
    <w:p w14:paraId="21601D86">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2.3.3.5 知识产权类资产</w:t>
      </w:r>
    </w:p>
    <w:p w14:paraId="7D24B132">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清算组通过国家知识产权局官网、中国版权保护中心、ICP/IP地址/域名信息备案管理系统（工业和信息化部）国家企业信用信息公示系统、企查查等公开渠道对太都国际公司名下的知识产权类资产进行了全面调查，未查询到太都国际公司名下存在知识产权类资产。</w:t>
      </w:r>
    </w:p>
    <w:p w14:paraId="1B78EA86">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（1）电信业务经营许可证</w:t>
      </w:r>
    </w:p>
    <w:p w14:paraId="5E730A7E">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根据清算组在中华人民共和国工业和信息化部电信业务市场综合管理信息系统查询的信息，太都国际公司未持有《电信业务经营许可证》。</w:t>
      </w:r>
    </w:p>
    <w:p w14:paraId="5CC9EA46">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（2）商标</w:t>
      </w:r>
    </w:p>
    <w:p w14:paraId="55094504">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根据清算组在国家知识产权局商标局网站查询到的信息，太都国际公司名下无已注册的商标。</w:t>
      </w:r>
    </w:p>
    <w:p w14:paraId="1D4F412F">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（3）专利</w:t>
      </w:r>
    </w:p>
    <w:p w14:paraId="3E5DDDD6">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根据清算组在国家知识产权局网站查询到的信息，太都国际公司名下无任何专利。</w:t>
      </w:r>
    </w:p>
    <w:p w14:paraId="0A68F372">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（4）软件著作权</w:t>
      </w:r>
    </w:p>
    <w:p w14:paraId="55BCB6C7">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根据清算组在中国版权保护中心网站查询到的信息，太都国际公司名下无相关著作权。</w:t>
      </w:r>
    </w:p>
    <w:p w14:paraId="1EE896B7">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（5）域名</w:t>
      </w:r>
    </w:p>
    <w:p w14:paraId="2E681731">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根据清算组在工业和信息化部政务服务平台ICP/IP地址/域名信息备案管理系统的查询，太都国际公司无任何域名。</w:t>
      </w:r>
    </w:p>
    <w:p w14:paraId="25AE9BEE">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2.3.3.6 对外股权投资</w:t>
      </w:r>
    </w:p>
    <w:p w14:paraId="695FEB55">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清算组通过在国家企业信用信息公示系统、企查查等公开信息渠道进行查询，太都国际公司不存在对外投资企业。</w:t>
      </w:r>
    </w:p>
    <w:p w14:paraId="2780E688">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2.3.3.7 其他资产</w:t>
      </w:r>
    </w:p>
    <w:p w14:paraId="373FEC5C">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如后续清算组接管到或查询到太都国际公司名下存有其他资产或财产线索，将及时开展相应调查及接管工作。</w:t>
      </w:r>
    </w:p>
    <w:p w14:paraId="6AB28211">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2.3.4 聘请审计或评估机构情况</w:t>
      </w:r>
    </w:p>
    <w:p w14:paraId="30B2DC02">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因清算组未接管到太都国际公司财产及财务资料，故清算组客观上无法聘请审计、评估机构对太都国际公司的财务状况及资产情况开展审计评估工作并相应编制资产负债表和财产清单。</w:t>
      </w:r>
    </w:p>
    <w:p w14:paraId="32BFF240">
      <w:pPr>
        <w:pStyle w:val="21"/>
        <w:spacing w:before="289" w:beforeLines="50" w:after="289" w:afterLines="50"/>
        <w:ind w:left="0" w:firstLine="0"/>
        <w:outlineLvl w:val="1"/>
        <w:rPr>
          <w:rFonts w:hint="eastAsia" w:ascii="楷体_GB2312" w:hAnsi="楷体_GB2312" w:eastAsia="楷体_GB2312" w:cs="楷体_GB2312"/>
          <w:b/>
          <w:bCs/>
          <w:w w:val="105"/>
          <w:sz w:val="24"/>
          <w:szCs w:val="24"/>
          <w:highlight w:val="none"/>
          <w:lang w:eastAsia="zh-CN"/>
        </w:rPr>
      </w:pPr>
      <w:r>
        <w:rPr>
          <w:rFonts w:hint="eastAsia" w:ascii="楷体_GB2312" w:hAnsi="楷体_GB2312" w:eastAsia="楷体_GB2312" w:cs="楷体_GB2312"/>
          <w:b/>
          <w:bCs/>
          <w:w w:val="105"/>
          <w:sz w:val="24"/>
          <w:szCs w:val="24"/>
          <w:highlight w:val="none"/>
          <w:lang w:eastAsia="zh-CN"/>
        </w:rPr>
        <w:t>2.4 债权申报通知及调查工作</w:t>
      </w:r>
    </w:p>
    <w:p w14:paraId="4FECC076">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在贵院指定清算组后，清算组进行了债权申报通知及调查工作。</w:t>
      </w:r>
    </w:p>
    <w:p w14:paraId="5EB067B9">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2.4.1 债权申报通知情况</w:t>
      </w:r>
    </w:p>
    <w:p w14:paraId="7AE10301">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虽然清算组未接管到公司任何材料，但为确保债权人及时知悉债权申报事项，清算组通过网络搜索等渠道进行公开信息检索，清算组未查询到太都国际公司作为被告、被执行人的案件信息，未检索到可能存在的债权人相关信息。同时，清算组于2025年</w:t>
      </w:r>
      <w:r>
        <w:rPr>
          <w:rFonts w:hint="eastAsia" w:ascii="楷体_GB2312" w:hAnsi="楷体_GB2312" w:eastAsia="楷体_GB2312" w:cs="楷体_GB2312"/>
          <w:spacing w:val="-3"/>
          <w:sz w:val="24"/>
          <w:szCs w:val="24"/>
          <w:highlight w:val="none"/>
          <w:lang w:val="en-US" w:eastAsia="zh-CN"/>
        </w:rPr>
        <w:t>10</w:t>
      </w:r>
      <w:r>
        <w:rPr>
          <w:rFonts w:hint="eastAsia" w:ascii="楷体_GB2312" w:hAnsi="楷体_GB2312" w:eastAsia="楷体_GB2312" w:cs="楷体_GB2312"/>
          <w:spacing w:val="-3"/>
          <w:sz w:val="24"/>
          <w:szCs w:val="24"/>
          <w:highlight w:val="none"/>
          <w:lang w:eastAsia="zh-CN"/>
        </w:rPr>
        <w:t>月1</w:t>
      </w:r>
      <w:r>
        <w:rPr>
          <w:rFonts w:hint="eastAsia" w:ascii="楷体_GB2312" w:hAnsi="楷体_GB2312" w:eastAsia="楷体_GB2312" w:cs="楷体_GB2312"/>
          <w:spacing w:val="-3"/>
          <w:sz w:val="24"/>
          <w:szCs w:val="24"/>
          <w:highlight w:val="none"/>
          <w:lang w:val="en-US" w:eastAsia="zh-CN"/>
        </w:rPr>
        <w:t>7</w:t>
      </w:r>
      <w:r>
        <w:rPr>
          <w:rFonts w:hint="eastAsia" w:ascii="楷体_GB2312" w:hAnsi="楷体_GB2312" w:eastAsia="楷体_GB2312" w:cs="楷体_GB2312"/>
          <w:spacing w:val="-3"/>
          <w:sz w:val="24"/>
          <w:szCs w:val="24"/>
          <w:highlight w:val="none"/>
          <w:lang w:eastAsia="zh-CN"/>
        </w:rPr>
        <w:t>日在全国企业破产重整案件信息网公告了债权申报通知材料。此外，清算组亦在公司注册地张贴了债权申报</w:t>
      </w:r>
      <w:r>
        <w:rPr>
          <w:rFonts w:hint="eastAsia" w:ascii="楷体_GB2312" w:hAnsi="楷体_GB2312" w:eastAsia="楷体_GB2312" w:cs="楷体_GB2312"/>
          <w:spacing w:val="-3"/>
          <w:sz w:val="24"/>
          <w:szCs w:val="24"/>
          <w:highlight w:val="none"/>
          <w:lang w:val="en-US" w:eastAsia="zh-CN"/>
        </w:rPr>
        <w:t>公告</w:t>
      </w:r>
      <w:r>
        <w:rPr>
          <w:rFonts w:hint="eastAsia" w:ascii="楷体_GB2312" w:hAnsi="楷体_GB2312" w:eastAsia="楷体_GB2312" w:cs="楷体_GB2312"/>
          <w:spacing w:val="-3"/>
          <w:sz w:val="24"/>
          <w:szCs w:val="24"/>
          <w:highlight w:val="none"/>
          <w:lang w:eastAsia="zh-CN"/>
        </w:rPr>
        <w:t>。</w:t>
      </w:r>
    </w:p>
    <w:p w14:paraId="54D2D673">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2.4.2 职工债权、社保债权和税款债权的调查与通知</w:t>
      </w:r>
    </w:p>
    <w:p w14:paraId="6BBA84E6">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2.4.2.1 职工债权和社保债权</w:t>
      </w:r>
    </w:p>
    <w:p w14:paraId="5458D1B9">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为进一步调查、核实太都国际公司的职工债权情况，清算组通过</w:t>
      </w:r>
      <w:r>
        <w:rPr>
          <w:rFonts w:hint="eastAsia" w:ascii="楷体_GB2312" w:hAnsi="楷体_GB2312" w:eastAsia="楷体_GB2312" w:cs="楷体_GB2312"/>
          <w:spacing w:val="-3"/>
          <w:sz w:val="24"/>
          <w:szCs w:val="24"/>
          <w:highlight w:val="none"/>
          <w:lang w:val="en-US" w:eastAsia="zh-CN"/>
        </w:rPr>
        <w:t>医保部门、</w:t>
      </w:r>
      <w:r>
        <w:rPr>
          <w:rFonts w:hint="eastAsia" w:ascii="楷体_GB2312" w:hAnsi="楷体_GB2312" w:eastAsia="楷体_GB2312" w:cs="楷体_GB2312"/>
          <w:spacing w:val="-3"/>
          <w:sz w:val="24"/>
          <w:szCs w:val="24"/>
          <w:highlight w:val="none"/>
          <w:lang w:eastAsia="zh-CN"/>
        </w:rPr>
        <w:t>社保部门及公积金部门查询太都国际公司的社保及公积金缴纳情况，具体如下：</w:t>
      </w:r>
    </w:p>
    <w:p w14:paraId="7131DB8B">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根据北京住房公积金管理中心于2025年</w:t>
      </w:r>
      <w:r>
        <w:rPr>
          <w:rFonts w:hint="eastAsia" w:ascii="楷体_GB2312" w:hAnsi="楷体_GB2312" w:eastAsia="楷体_GB2312" w:cs="楷体_GB2312"/>
          <w:spacing w:val="-3"/>
          <w:sz w:val="24"/>
          <w:szCs w:val="24"/>
          <w:highlight w:val="none"/>
          <w:lang w:val="en-US" w:eastAsia="zh-CN"/>
        </w:rPr>
        <w:t>10</w:t>
      </w:r>
      <w:r>
        <w:rPr>
          <w:rFonts w:hint="eastAsia" w:ascii="楷体_GB2312" w:hAnsi="楷体_GB2312" w:eastAsia="楷体_GB2312" w:cs="楷体_GB2312"/>
          <w:spacing w:val="-3"/>
          <w:sz w:val="24"/>
          <w:szCs w:val="24"/>
          <w:highlight w:val="none"/>
          <w:lang w:eastAsia="zh-CN"/>
        </w:rPr>
        <w:t>月</w:t>
      </w:r>
      <w:r>
        <w:rPr>
          <w:rFonts w:hint="eastAsia" w:ascii="楷体_GB2312" w:hAnsi="楷体_GB2312" w:eastAsia="楷体_GB2312" w:cs="楷体_GB2312"/>
          <w:spacing w:val="-3"/>
          <w:sz w:val="24"/>
          <w:szCs w:val="24"/>
          <w:highlight w:val="none"/>
          <w:lang w:val="en-US" w:eastAsia="zh-CN"/>
        </w:rPr>
        <w:t>14</w:t>
      </w:r>
      <w:r>
        <w:rPr>
          <w:rFonts w:hint="eastAsia" w:ascii="楷体_GB2312" w:hAnsi="楷体_GB2312" w:eastAsia="楷体_GB2312" w:cs="楷体_GB2312"/>
          <w:spacing w:val="-3"/>
          <w:sz w:val="24"/>
          <w:szCs w:val="24"/>
          <w:highlight w:val="none"/>
          <w:lang w:eastAsia="zh-CN"/>
        </w:rPr>
        <w:t>日出具的《破产（强制清算）企业住房公积金信息查询结果》，太都国际公司公积金账户信息为无单位登记号、无现缴存人数、无月缴存额、无未缴罚款金额及未缴罚款加处罚金额。</w:t>
      </w:r>
    </w:p>
    <w:p w14:paraId="086CE103">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根据北京市医疗保险事务管理中心于2025年</w:t>
      </w:r>
      <w:r>
        <w:rPr>
          <w:rFonts w:hint="eastAsia" w:ascii="楷体_GB2312" w:hAnsi="楷体_GB2312" w:eastAsia="楷体_GB2312" w:cs="楷体_GB2312"/>
          <w:spacing w:val="-3"/>
          <w:sz w:val="24"/>
          <w:szCs w:val="24"/>
          <w:highlight w:val="none"/>
          <w:lang w:val="en-US" w:eastAsia="zh-CN"/>
        </w:rPr>
        <w:t>10</w:t>
      </w:r>
      <w:r>
        <w:rPr>
          <w:rFonts w:hint="eastAsia" w:ascii="楷体_GB2312" w:hAnsi="楷体_GB2312" w:eastAsia="楷体_GB2312" w:cs="楷体_GB2312"/>
          <w:spacing w:val="-3"/>
          <w:sz w:val="24"/>
          <w:szCs w:val="24"/>
          <w:highlight w:val="none"/>
          <w:lang w:eastAsia="zh-CN"/>
        </w:rPr>
        <w:t>月</w:t>
      </w:r>
      <w:r>
        <w:rPr>
          <w:rFonts w:hint="eastAsia" w:ascii="楷体_GB2312" w:hAnsi="楷体_GB2312" w:eastAsia="楷体_GB2312" w:cs="楷体_GB2312"/>
          <w:spacing w:val="-3"/>
          <w:sz w:val="24"/>
          <w:szCs w:val="24"/>
          <w:highlight w:val="none"/>
          <w:lang w:val="en-US" w:eastAsia="zh-CN"/>
        </w:rPr>
        <w:t>14</w:t>
      </w:r>
      <w:r>
        <w:rPr>
          <w:rFonts w:hint="eastAsia" w:ascii="楷体_GB2312" w:hAnsi="楷体_GB2312" w:eastAsia="楷体_GB2312" w:cs="楷体_GB2312"/>
          <w:spacing w:val="-3"/>
          <w:sz w:val="24"/>
          <w:szCs w:val="24"/>
          <w:highlight w:val="none"/>
          <w:lang w:eastAsia="zh-CN"/>
        </w:rPr>
        <w:t>日出具的《北京市企业破产信息核查无单位告知书》显示，</w:t>
      </w:r>
      <w:r>
        <w:rPr>
          <w:rFonts w:hint="eastAsia" w:ascii="楷体_GB2312" w:hAnsi="楷体_GB2312" w:eastAsia="楷体_GB2312" w:cs="楷体_GB2312"/>
          <w:spacing w:val="-3"/>
          <w:sz w:val="24"/>
          <w:szCs w:val="24"/>
          <w:highlight w:val="none"/>
          <w:lang w:val="en-US" w:eastAsia="zh-CN"/>
        </w:rPr>
        <w:t>未能在医保系统中查询到太都国际公司，无法提供医保相关信息</w:t>
      </w:r>
      <w:r>
        <w:rPr>
          <w:rFonts w:hint="eastAsia" w:ascii="楷体_GB2312" w:hAnsi="楷体_GB2312" w:eastAsia="楷体_GB2312" w:cs="楷体_GB2312"/>
          <w:spacing w:val="-3"/>
          <w:sz w:val="24"/>
          <w:szCs w:val="24"/>
          <w:highlight w:val="none"/>
          <w:lang w:eastAsia="zh-CN"/>
        </w:rPr>
        <w:t>。</w:t>
      </w:r>
    </w:p>
    <w:p w14:paraId="7F5DA785">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根据北京市社会保险基金管理中心</w:t>
      </w:r>
      <w:bookmarkStart w:id="6" w:name="OLE_LINK3"/>
      <w:bookmarkStart w:id="7" w:name="OLE_LINK11"/>
      <w:r>
        <w:rPr>
          <w:rFonts w:hint="eastAsia" w:ascii="楷体_GB2312" w:hAnsi="楷体_GB2312" w:eastAsia="楷体_GB2312" w:cs="楷体_GB2312"/>
          <w:spacing w:val="-3"/>
          <w:sz w:val="24"/>
          <w:szCs w:val="24"/>
          <w:highlight w:val="none"/>
          <w:lang w:eastAsia="zh-CN"/>
        </w:rPr>
        <w:t>于2025年</w:t>
      </w:r>
      <w:r>
        <w:rPr>
          <w:rFonts w:hint="eastAsia" w:ascii="楷体_GB2312" w:hAnsi="楷体_GB2312" w:eastAsia="楷体_GB2312" w:cs="楷体_GB2312"/>
          <w:spacing w:val="-3"/>
          <w:sz w:val="24"/>
          <w:szCs w:val="24"/>
          <w:highlight w:val="none"/>
          <w:lang w:val="en-US" w:eastAsia="zh-CN"/>
        </w:rPr>
        <w:t>10</w:t>
      </w:r>
      <w:r>
        <w:rPr>
          <w:rFonts w:hint="eastAsia" w:ascii="楷体_GB2312" w:hAnsi="楷体_GB2312" w:eastAsia="楷体_GB2312" w:cs="楷体_GB2312"/>
          <w:spacing w:val="-3"/>
          <w:sz w:val="24"/>
          <w:szCs w:val="24"/>
          <w:highlight w:val="none"/>
          <w:lang w:eastAsia="zh-CN"/>
        </w:rPr>
        <w:t>月</w:t>
      </w:r>
      <w:r>
        <w:rPr>
          <w:rFonts w:hint="eastAsia" w:ascii="楷体_GB2312" w:hAnsi="楷体_GB2312" w:eastAsia="楷体_GB2312" w:cs="楷体_GB2312"/>
          <w:spacing w:val="-3"/>
          <w:sz w:val="24"/>
          <w:szCs w:val="24"/>
          <w:highlight w:val="none"/>
          <w:lang w:val="en-US" w:eastAsia="zh-CN"/>
        </w:rPr>
        <w:t>14</w:t>
      </w:r>
      <w:r>
        <w:rPr>
          <w:rFonts w:hint="eastAsia" w:ascii="楷体_GB2312" w:hAnsi="楷体_GB2312" w:eastAsia="楷体_GB2312" w:cs="楷体_GB2312"/>
          <w:spacing w:val="-3"/>
          <w:sz w:val="24"/>
          <w:szCs w:val="24"/>
          <w:highlight w:val="none"/>
          <w:lang w:eastAsia="zh-CN"/>
        </w:rPr>
        <w:t>日</w:t>
      </w:r>
      <w:bookmarkEnd w:id="6"/>
      <w:r>
        <w:rPr>
          <w:rFonts w:hint="eastAsia" w:ascii="楷体_GB2312" w:hAnsi="楷体_GB2312" w:eastAsia="楷体_GB2312" w:cs="楷体_GB2312"/>
          <w:spacing w:val="-3"/>
          <w:sz w:val="24"/>
          <w:szCs w:val="24"/>
          <w:highlight w:val="none"/>
          <w:lang w:eastAsia="zh-CN"/>
        </w:rPr>
        <w:t>出具</w:t>
      </w:r>
      <w:bookmarkEnd w:id="7"/>
      <w:r>
        <w:rPr>
          <w:rFonts w:hint="eastAsia" w:ascii="楷体_GB2312" w:hAnsi="楷体_GB2312" w:eastAsia="楷体_GB2312" w:cs="楷体_GB2312"/>
          <w:spacing w:val="-3"/>
          <w:sz w:val="24"/>
          <w:szCs w:val="24"/>
          <w:highlight w:val="none"/>
          <w:lang w:eastAsia="zh-CN"/>
        </w:rPr>
        <w:t>的《破产（强制清算）社保权益核查表（单位登记信息）》显示，太都国际公司</w:t>
      </w:r>
      <w:r>
        <w:rPr>
          <w:rFonts w:hint="eastAsia" w:ascii="楷体_GB2312" w:hAnsi="楷体_GB2312" w:eastAsia="楷体_GB2312" w:cs="楷体_GB2312"/>
          <w:spacing w:val="-3"/>
          <w:sz w:val="24"/>
          <w:szCs w:val="24"/>
          <w:highlight w:val="none"/>
          <w:lang w:val="en-US" w:eastAsia="zh-CN"/>
        </w:rPr>
        <w:t>未办理社保参保登记手续</w:t>
      </w:r>
      <w:r>
        <w:rPr>
          <w:rFonts w:hint="eastAsia" w:ascii="楷体_GB2312" w:hAnsi="楷体_GB2312" w:eastAsia="楷体_GB2312" w:cs="楷体_GB2312"/>
          <w:spacing w:val="-3"/>
          <w:sz w:val="24"/>
          <w:szCs w:val="24"/>
          <w:highlight w:val="none"/>
          <w:lang w:eastAsia="zh-CN"/>
        </w:rPr>
        <w:t>。</w:t>
      </w:r>
    </w:p>
    <w:p w14:paraId="1329BC57">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综上，根据清算组调查的相关信息，未发现太都国际公司欠付职工工资、</w:t>
      </w:r>
      <w:r>
        <w:rPr>
          <w:rFonts w:hint="eastAsia" w:ascii="楷体_GB2312" w:hAnsi="楷体_GB2312" w:eastAsia="楷体_GB2312" w:cs="楷体_GB2312"/>
          <w:spacing w:val="-3"/>
          <w:sz w:val="24"/>
          <w:szCs w:val="24"/>
          <w:highlight w:val="none"/>
          <w:lang w:val="en-US" w:eastAsia="zh-CN"/>
        </w:rPr>
        <w:t>医疗保险、</w:t>
      </w:r>
      <w:r>
        <w:rPr>
          <w:rFonts w:hint="eastAsia" w:ascii="楷体_GB2312" w:hAnsi="楷体_GB2312" w:eastAsia="楷体_GB2312" w:cs="楷体_GB2312"/>
          <w:spacing w:val="-3"/>
          <w:sz w:val="24"/>
          <w:szCs w:val="24"/>
          <w:highlight w:val="none"/>
          <w:lang w:eastAsia="zh-CN"/>
        </w:rPr>
        <w:t>社会保险、住房公积金等相关费用的情况。</w:t>
      </w:r>
    </w:p>
    <w:p w14:paraId="5DBA6218">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2.4.2.2 税款债权</w:t>
      </w:r>
    </w:p>
    <w:p w14:paraId="7EA2C67A">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清算组于2025年</w:t>
      </w:r>
      <w:r>
        <w:rPr>
          <w:rFonts w:hint="eastAsia" w:ascii="楷体_GB2312" w:hAnsi="楷体_GB2312" w:eastAsia="楷体_GB2312" w:cs="楷体_GB2312"/>
          <w:spacing w:val="-3"/>
          <w:sz w:val="24"/>
          <w:szCs w:val="24"/>
          <w:highlight w:val="none"/>
          <w:lang w:val="en-US" w:eastAsia="zh-CN"/>
        </w:rPr>
        <w:t>10</w:t>
      </w:r>
      <w:r>
        <w:rPr>
          <w:rFonts w:hint="eastAsia" w:ascii="楷体_GB2312" w:hAnsi="楷体_GB2312" w:eastAsia="楷体_GB2312" w:cs="楷体_GB2312"/>
          <w:spacing w:val="-3"/>
          <w:sz w:val="24"/>
          <w:szCs w:val="24"/>
          <w:highlight w:val="none"/>
          <w:lang w:eastAsia="zh-CN"/>
        </w:rPr>
        <w:t>月</w:t>
      </w:r>
      <w:r>
        <w:rPr>
          <w:rFonts w:hint="eastAsia" w:ascii="楷体_GB2312" w:hAnsi="楷体_GB2312" w:eastAsia="楷体_GB2312" w:cs="楷体_GB2312"/>
          <w:spacing w:val="-3"/>
          <w:sz w:val="24"/>
          <w:szCs w:val="24"/>
          <w:highlight w:val="none"/>
          <w:lang w:val="en-US" w:eastAsia="zh-CN"/>
        </w:rPr>
        <w:t>17</w:t>
      </w:r>
      <w:r>
        <w:rPr>
          <w:rFonts w:hint="eastAsia" w:ascii="楷体_GB2312" w:hAnsi="楷体_GB2312" w:eastAsia="楷体_GB2312" w:cs="楷体_GB2312"/>
          <w:spacing w:val="-3"/>
          <w:sz w:val="24"/>
          <w:szCs w:val="24"/>
          <w:highlight w:val="none"/>
          <w:lang w:eastAsia="zh-CN"/>
        </w:rPr>
        <w:t>日</w:t>
      </w:r>
      <w:bookmarkStart w:id="8" w:name="OLE_LINK10"/>
      <w:r>
        <w:rPr>
          <w:rFonts w:hint="eastAsia" w:ascii="楷体_GB2312" w:hAnsi="楷体_GB2312" w:eastAsia="楷体_GB2312" w:cs="楷体_GB2312"/>
          <w:spacing w:val="-3"/>
          <w:sz w:val="24"/>
          <w:szCs w:val="24"/>
          <w:highlight w:val="none"/>
          <w:lang w:eastAsia="zh-CN"/>
        </w:rPr>
        <w:t>向国家税务总局北京市税务局</w:t>
      </w:r>
      <w:bookmarkEnd w:id="8"/>
      <w:r>
        <w:rPr>
          <w:rFonts w:hint="eastAsia" w:ascii="楷体_GB2312" w:hAnsi="楷体_GB2312" w:eastAsia="楷体_GB2312" w:cs="楷体_GB2312"/>
          <w:spacing w:val="-3"/>
          <w:sz w:val="24"/>
          <w:szCs w:val="24"/>
          <w:highlight w:val="none"/>
          <w:lang w:eastAsia="zh-CN"/>
        </w:rPr>
        <w:t>寄送了债权申报通知材料，国家税务总局北京市税务局</w:t>
      </w:r>
      <w:r>
        <w:rPr>
          <w:rFonts w:hint="eastAsia" w:ascii="楷体_GB2312" w:hAnsi="楷体_GB2312" w:eastAsia="楷体_GB2312" w:cs="楷体_GB2312"/>
          <w:spacing w:val="-3"/>
          <w:sz w:val="24"/>
          <w:szCs w:val="24"/>
          <w:highlight w:val="none"/>
          <w:lang w:val="en-US" w:eastAsia="zh-CN"/>
        </w:rPr>
        <w:t>未作出书面反馈，据北京市税务局通过北京市政务服务网反馈的《北京市税务局破产企业查询确认表》所示，税务系统内未查询到太都国际公司的相关信息</w:t>
      </w:r>
      <w:r>
        <w:rPr>
          <w:rFonts w:hint="eastAsia" w:ascii="楷体_GB2312" w:hAnsi="楷体_GB2312" w:eastAsia="楷体_GB2312" w:cs="楷体_GB2312"/>
          <w:spacing w:val="-3"/>
          <w:sz w:val="24"/>
          <w:szCs w:val="24"/>
          <w:highlight w:val="none"/>
          <w:lang w:eastAsia="zh-CN"/>
        </w:rPr>
        <w:t>。</w:t>
      </w:r>
    </w:p>
    <w:p w14:paraId="51AAE770">
      <w:pPr>
        <w:pStyle w:val="2"/>
        <w:keepNext w:val="0"/>
        <w:keepLines w:val="0"/>
        <w:spacing w:before="289" w:beforeLines="50" w:after="289" w:afterLines="50" w:line="240" w:lineRule="auto"/>
        <w:rPr>
          <w:rFonts w:hint="eastAsia" w:ascii="楷体_GB2312" w:hAnsi="楷体_GB2312" w:eastAsia="楷体_GB2312" w:cs="楷体_GB2312"/>
          <w:w w:val="105"/>
          <w:sz w:val="24"/>
          <w:szCs w:val="24"/>
          <w:highlight w:val="none"/>
        </w:rPr>
      </w:pPr>
      <w:r>
        <w:rPr>
          <w:rFonts w:hint="eastAsia" w:ascii="楷体_GB2312" w:hAnsi="楷体_GB2312" w:eastAsia="楷体_GB2312" w:cs="楷体_GB2312"/>
          <w:w w:val="105"/>
          <w:sz w:val="24"/>
          <w:szCs w:val="24"/>
          <w:highlight w:val="none"/>
        </w:rPr>
        <w:t>2.4.3 债权申报情况及审查情况</w:t>
      </w:r>
    </w:p>
    <w:p w14:paraId="784D2703">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截至本清算报告出具之日，清算组未接收到任何债权申报。</w:t>
      </w:r>
    </w:p>
    <w:p w14:paraId="1DB093C3">
      <w:pPr>
        <w:pStyle w:val="21"/>
        <w:spacing w:before="289" w:beforeLines="50" w:after="289" w:afterLines="50"/>
        <w:ind w:left="0" w:firstLine="0"/>
        <w:outlineLvl w:val="1"/>
        <w:rPr>
          <w:rFonts w:hint="eastAsia" w:ascii="楷体_GB2312" w:hAnsi="楷体_GB2312" w:eastAsia="楷体_GB2312" w:cs="楷体_GB2312"/>
          <w:b/>
          <w:bCs/>
          <w:w w:val="105"/>
          <w:sz w:val="24"/>
          <w:szCs w:val="24"/>
          <w:highlight w:val="none"/>
          <w:lang w:eastAsia="zh-CN"/>
        </w:rPr>
      </w:pPr>
      <w:r>
        <w:rPr>
          <w:rFonts w:hint="eastAsia" w:ascii="楷体_GB2312" w:hAnsi="楷体_GB2312" w:eastAsia="楷体_GB2312" w:cs="楷体_GB2312"/>
          <w:b/>
          <w:bCs/>
          <w:w w:val="105"/>
          <w:sz w:val="24"/>
          <w:szCs w:val="24"/>
          <w:highlight w:val="none"/>
          <w:lang w:eastAsia="zh-CN"/>
        </w:rPr>
        <w:t>2.5 诉讼、仲裁与执行案件情况</w:t>
      </w:r>
    </w:p>
    <w:p w14:paraId="00283678">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清算组在中国庭审公开网、中国裁判文书网、人民法院公告网、中国执行信息公开网、企查查等公开渠道查询，暂未发现太都国际公司存在未决诉讼、仲裁和执行案件。</w:t>
      </w:r>
    </w:p>
    <w:p w14:paraId="59B300AE">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如后续发现有新的诉讼或仲裁信息或清算组不掌握的诉讼或仲裁信息，清算组将积极与相关法院/仲裁机构联系，并将未决诉讼/仲裁案件的诉讼代表人更换为清算组。</w:t>
      </w:r>
    </w:p>
    <w:p w14:paraId="423447BD">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p>
    <w:p w14:paraId="15F396FA">
      <w:pPr>
        <w:pStyle w:val="21"/>
        <w:spacing w:before="289" w:beforeLines="50" w:after="289" w:afterLines="50"/>
        <w:ind w:left="0" w:firstLine="0"/>
        <w:outlineLvl w:val="0"/>
        <w:rPr>
          <w:rFonts w:hint="eastAsia" w:ascii="楷体_GB2312" w:hAnsi="楷体_GB2312" w:eastAsia="楷体_GB2312" w:cs="楷体_GB2312"/>
          <w:b/>
          <w:bCs/>
          <w:w w:val="105"/>
          <w:sz w:val="24"/>
          <w:szCs w:val="24"/>
          <w:highlight w:val="none"/>
          <w:lang w:eastAsia="zh-CN"/>
        </w:rPr>
      </w:pPr>
      <w:r>
        <w:rPr>
          <w:rFonts w:hint="eastAsia" w:ascii="楷体_GB2312" w:hAnsi="楷体_GB2312" w:eastAsia="楷体_GB2312" w:cs="楷体_GB2312"/>
          <w:b/>
          <w:bCs/>
          <w:w w:val="105"/>
          <w:sz w:val="24"/>
          <w:szCs w:val="24"/>
          <w:highlight w:val="none"/>
          <w:lang w:eastAsia="zh-CN"/>
        </w:rPr>
        <w:t>3 强制清算费用</w:t>
      </w:r>
    </w:p>
    <w:p w14:paraId="6F93A40A">
      <w:pPr>
        <w:pStyle w:val="21"/>
        <w:spacing w:before="289" w:beforeLines="50" w:after="289" w:afterLines="50"/>
        <w:ind w:left="0" w:firstLine="0"/>
        <w:outlineLvl w:val="1"/>
        <w:rPr>
          <w:rFonts w:hint="eastAsia" w:ascii="楷体_GB2312" w:hAnsi="楷体_GB2312" w:eastAsia="楷体_GB2312" w:cs="楷体_GB2312"/>
          <w:b/>
          <w:bCs/>
          <w:w w:val="105"/>
          <w:sz w:val="24"/>
          <w:szCs w:val="24"/>
          <w:highlight w:val="none"/>
          <w:lang w:eastAsia="zh-CN"/>
        </w:rPr>
      </w:pPr>
      <w:r>
        <w:rPr>
          <w:rFonts w:hint="eastAsia" w:ascii="楷体_GB2312" w:hAnsi="楷体_GB2312" w:eastAsia="楷体_GB2312" w:cs="楷体_GB2312"/>
          <w:b/>
          <w:bCs/>
          <w:w w:val="105"/>
          <w:sz w:val="24"/>
          <w:szCs w:val="24"/>
          <w:highlight w:val="none"/>
          <w:lang w:eastAsia="zh-CN"/>
        </w:rPr>
        <w:t>3.1 清算组执行职务费用发生情况</w:t>
      </w:r>
    </w:p>
    <w:p w14:paraId="10DB9AA4">
      <w:pPr>
        <w:pStyle w:val="4"/>
        <w:spacing w:before="0" w:after="289" w:afterLines="50" w:line="360" w:lineRule="auto"/>
        <w:ind w:left="0"/>
        <w:rPr>
          <w:rFonts w:hint="eastAsia" w:ascii="楷体_GB2312" w:hAnsi="楷体_GB2312" w:eastAsia="楷体_GB2312" w:cs="楷体_GB2312"/>
          <w:spacing w:val="-3"/>
          <w:sz w:val="21"/>
          <w:szCs w:val="21"/>
          <w:highlight w:val="none"/>
          <w:lang w:eastAsia="zh-CN"/>
        </w:rPr>
      </w:pPr>
      <w:r>
        <w:rPr>
          <w:rFonts w:hint="eastAsia" w:ascii="楷体_GB2312" w:hAnsi="楷体_GB2312" w:eastAsia="楷体_GB2312" w:cs="楷体_GB2312"/>
          <w:spacing w:val="-3"/>
          <w:sz w:val="24"/>
          <w:szCs w:val="24"/>
          <w:highlight w:val="none"/>
          <w:lang w:eastAsia="zh-CN"/>
        </w:rPr>
        <w:t>截至本清算报告出具之日，已实际产生清算费用</w:t>
      </w:r>
      <w:r>
        <w:rPr>
          <w:rFonts w:hint="eastAsia" w:ascii="楷体_GB2312" w:hAnsi="楷体_GB2312" w:eastAsia="楷体_GB2312" w:cs="楷体_GB2312"/>
          <w:spacing w:val="-3"/>
          <w:sz w:val="24"/>
          <w:szCs w:val="24"/>
          <w:highlight w:val="none"/>
          <w:lang w:val="en-US" w:eastAsia="zh-CN"/>
        </w:rPr>
        <w:t>918</w:t>
      </w:r>
      <w:r>
        <w:rPr>
          <w:rFonts w:hint="eastAsia" w:ascii="楷体_GB2312" w:hAnsi="楷体_GB2312" w:eastAsia="楷体_GB2312" w:cs="楷体_GB2312"/>
          <w:spacing w:val="-3"/>
          <w:sz w:val="24"/>
          <w:szCs w:val="24"/>
          <w:highlight w:val="none"/>
          <w:lang w:eastAsia="zh-CN"/>
        </w:rPr>
        <w:t>.70元，具体明细如下：</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7"/>
        <w:gridCol w:w="3230"/>
        <w:gridCol w:w="3870"/>
      </w:tblGrid>
      <w:tr w14:paraId="35287645">
        <w:trPr>
          <w:trHeight w:val="442" w:hRule="exact"/>
          <w:tblHeader/>
          <w:jc w:val="center"/>
        </w:trPr>
        <w:tc>
          <w:tcPr>
            <w:tcW w:w="1080" w:type="pct"/>
            <w:tcBorders>
              <w:top w:val="single" w:color="auto" w:sz="4" w:space="0"/>
              <w:left w:val="nil"/>
              <w:bottom w:val="single" w:color="auto" w:sz="4" w:space="0"/>
              <w:right w:val="nil"/>
              <w:insideV w:val="nil"/>
              <w:tl2br w:val="nil"/>
              <w:tr2bl w:val="nil"/>
            </w:tcBorders>
            <w:shd w:val="clear" w:color="auto" w:fill="D7D7D7" w:themeFill="background1" w:themeFillShade="D8"/>
            <w:vAlign w:val="center"/>
          </w:tcPr>
          <w:p w14:paraId="4FFD724B">
            <w:pPr>
              <w:pStyle w:val="4"/>
              <w:spacing w:before="0" w:line="400" w:lineRule="exact"/>
              <w:ind w:left="0"/>
              <w:jc w:val="center"/>
              <w:rPr>
                <w:rFonts w:hint="eastAsia" w:ascii="楷体_GB2312" w:hAnsi="楷体_GB2312" w:eastAsia="楷体_GB2312" w:cs="楷体_GB2312"/>
                <w:b/>
                <w:bCs/>
                <w:spacing w:val="-3"/>
                <w:kern w:val="0"/>
                <w:sz w:val="21"/>
                <w:szCs w:val="21"/>
                <w:highlight w:val="none"/>
                <w:lang w:eastAsia="zh-CN"/>
              </w:rPr>
            </w:pPr>
            <w:r>
              <w:rPr>
                <w:rFonts w:hint="eastAsia" w:ascii="楷体_GB2312" w:hAnsi="楷体_GB2312" w:eastAsia="楷体_GB2312" w:cs="楷体_GB2312"/>
                <w:b/>
                <w:bCs/>
                <w:spacing w:val="-3"/>
                <w:kern w:val="0"/>
                <w:sz w:val="21"/>
                <w:szCs w:val="21"/>
                <w:highlight w:val="none"/>
                <w:lang w:eastAsia="zh-CN"/>
              </w:rPr>
              <w:t>序号</w:t>
            </w:r>
          </w:p>
        </w:tc>
        <w:tc>
          <w:tcPr>
            <w:tcW w:w="1783" w:type="pct"/>
            <w:tcBorders>
              <w:top w:val="single" w:color="auto" w:sz="4" w:space="0"/>
              <w:left w:val="single" w:color="auto" w:sz="4" w:space="0"/>
              <w:bottom w:val="single" w:color="auto" w:sz="4" w:space="0"/>
              <w:right w:val="nil"/>
              <w:insideV w:val="nil"/>
              <w:tl2br w:val="nil"/>
              <w:tr2bl w:val="nil"/>
            </w:tcBorders>
            <w:shd w:val="clear" w:color="auto" w:fill="D7D7D7" w:themeFill="background1" w:themeFillShade="D8"/>
            <w:vAlign w:val="center"/>
          </w:tcPr>
          <w:p w14:paraId="2576090E">
            <w:pPr>
              <w:pStyle w:val="4"/>
              <w:spacing w:before="0" w:line="400" w:lineRule="exact"/>
              <w:ind w:left="0"/>
              <w:jc w:val="center"/>
              <w:rPr>
                <w:rFonts w:hint="eastAsia" w:ascii="楷体_GB2312" w:hAnsi="楷体_GB2312" w:eastAsia="楷体_GB2312" w:cs="楷体_GB2312"/>
                <w:b/>
                <w:bCs/>
                <w:spacing w:val="-3"/>
                <w:sz w:val="21"/>
                <w:szCs w:val="21"/>
                <w:highlight w:val="none"/>
                <w:lang w:eastAsia="zh-CN"/>
              </w:rPr>
            </w:pPr>
            <w:r>
              <w:rPr>
                <w:rFonts w:hint="eastAsia" w:ascii="楷体_GB2312" w:hAnsi="楷体_GB2312" w:eastAsia="楷体_GB2312" w:cs="楷体_GB2312"/>
                <w:b/>
                <w:bCs/>
                <w:spacing w:val="-3"/>
                <w:sz w:val="21"/>
                <w:szCs w:val="21"/>
                <w:highlight w:val="none"/>
                <w:lang w:eastAsia="zh-CN"/>
              </w:rPr>
              <w:t>费用类别</w:t>
            </w:r>
          </w:p>
        </w:tc>
        <w:tc>
          <w:tcPr>
            <w:tcW w:w="2136" w:type="pct"/>
            <w:tcBorders>
              <w:top w:val="single" w:color="auto" w:sz="4" w:space="0"/>
              <w:left w:val="single" w:color="auto" w:sz="4" w:space="0"/>
              <w:bottom w:val="single" w:color="auto" w:sz="4" w:space="0"/>
              <w:right w:val="nil"/>
              <w:insideV w:val="nil"/>
              <w:tl2br w:val="nil"/>
              <w:tr2bl w:val="nil"/>
            </w:tcBorders>
            <w:shd w:val="clear" w:color="auto" w:fill="D7D7D7" w:themeFill="background1" w:themeFillShade="D8"/>
            <w:vAlign w:val="center"/>
          </w:tcPr>
          <w:p w14:paraId="18672920">
            <w:pPr>
              <w:pStyle w:val="4"/>
              <w:spacing w:before="0" w:line="400" w:lineRule="exact"/>
              <w:ind w:left="0"/>
              <w:jc w:val="center"/>
              <w:rPr>
                <w:rFonts w:hint="eastAsia" w:ascii="楷体_GB2312" w:hAnsi="楷体_GB2312" w:eastAsia="楷体_GB2312" w:cs="楷体_GB2312"/>
                <w:b/>
                <w:bCs/>
                <w:spacing w:val="-3"/>
                <w:sz w:val="21"/>
                <w:szCs w:val="21"/>
                <w:highlight w:val="none"/>
                <w:lang w:eastAsia="zh-CN"/>
              </w:rPr>
            </w:pPr>
            <w:r>
              <w:rPr>
                <w:rFonts w:hint="eastAsia" w:ascii="楷体_GB2312" w:hAnsi="楷体_GB2312" w:eastAsia="楷体_GB2312" w:cs="楷体_GB2312"/>
                <w:b/>
                <w:bCs/>
                <w:spacing w:val="-3"/>
                <w:sz w:val="21"/>
                <w:szCs w:val="21"/>
                <w:highlight w:val="none"/>
                <w:lang w:eastAsia="zh-CN"/>
              </w:rPr>
              <w:t>金额（元）</w:t>
            </w:r>
          </w:p>
        </w:tc>
      </w:tr>
      <w:tr w14:paraId="520C529A">
        <w:trPr>
          <w:trHeight w:val="428" w:hRule="exact"/>
          <w:jc w:val="center"/>
        </w:trPr>
        <w:tc>
          <w:tcPr>
            <w:tcW w:w="1080" w:type="pct"/>
            <w:tcBorders>
              <w:top w:val="single" w:color="auto" w:sz="4" w:space="0"/>
            </w:tcBorders>
            <w:vAlign w:val="center"/>
          </w:tcPr>
          <w:p w14:paraId="36BC2885">
            <w:pPr>
              <w:pStyle w:val="4"/>
              <w:spacing w:before="0" w:line="400" w:lineRule="exact"/>
              <w:ind w:left="0"/>
              <w:jc w:val="center"/>
              <w:rPr>
                <w:rFonts w:hint="eastAsia" w:ascii="楷体_GB2312" w:hAnsi="楷体_GB2312" w:eastAsia="楷体_GB2312" w:cs="楷体_GB2312"/>
                <w:b w:val="0"/>
                <w:bCs/>
                <w:spacing w:val="-3"/>
                <w:kern w:val="0"/>
                <w:sz w:val="21"/>
                <w:szCs w:val="21"/>
                <w:highlight w:val="none"/>
                <w:lang w:eastAsia="zh-CN"/>
              </w:rPr>
            </w:pPr>
            <w:r>
              <w:rPr>
                <w:rFonts w:hint="eastAsia" w:ascii="楷体_GB2312" w:hAnsi="楷体_GB2312" w:eastAsia="楷体_GB2312" w:cs="楷体_GB2312"/>
                <w:b w:val="0"/>
                <w:bCs/>
                <w:spacing w:val="-3"/>
                <w:kern w:val="0"/>
                <w:sz w:val="21"/>
                <w:szCs w:val="21"/>
                <w:highlight w:val="none"/>
                <w:lang w:eastAsia="zh-CN"/>
              </w:rPr>
              <w:t>1</w:t>
            </w:r>
          </w:p>
        </w:tc>
        <w:tc>
          <w:tcPr>
            <w:tcW w:w="1783" w:type="pct"/>
            <w:tcBorders>
              <w:top w:val="single" w:color="auto" w:sz="4" w:space="0"/>
            </w:tcBorders>
            <w:vAlign w:val="center"/>
          </w:tcPr>
          <w:p w14:paraId="3ABC9F44">
            <w:pPr>
              <w:pStyle w:val="4"/>
              <w:spacing w:before="0" w:line="400" w:lineRule="exact"/>
              <w:ind w:left="0"/>
              <w:jc w:val="center"/>
              <w:rPr>
                <w:rFonts w:hint="eastAsia" w:ascii="楷体_GB2312" w:hAnsi="楷体_GB2312" w:eastAsia="楷体_GB2312" w:cs="楷体_GB2312"/>
                <w:b/>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刻章费</w:t>
            </w:r>
          </w:p>
        </w:tc>
        <w:tc>
          <w:tcPr>
            <w:tcW w:w="2136" w:type="pct"/>
            <w:tcBorders>
              <w:top w:val="single" w:color="auto" w:sz="4" w:space="0"/>
            </w:tcBorders>
            <w:vAlign w:val="center"/>
          </w:tcPr>
          <w:p w14:paraId="27F1433C">
            <w:pPr>
              <w:pStyle w:val="4"/>
              <w:spacing w:before="0" w:line="400" w:lineRule="exact"/>
              <w:ind w:left="0"/>
              <w:jc w:val="center"/>
              <w:rPr>
                <w:rFonts w:hint="eastAsia" w:ascii="楷体_GB2312" w:hAnsi="楷体_GB2312" w:eastAsia="楷体_GB2312" w:cs="楷体_GB2312"/>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400</w:t>
            </w:r>
          </w:p>
        </w:tc>
      </w:tr>
      <w:tr w14:paraId="6E628CA4">
        <w:trPr>
          <w:trHeight w:val="393" w:hRule="exact"/>
          <w:jc w:val="center"/>
        </w:trPr>
        <w:tc>
          <w:tcPr>
            <w:tcW w:w="1080" w:type="pct"/>
            <w:vAlign w:val="center"/>
          </w:tcPr>
          <w:p w14:paraId="159CFC91">
            <w:pPr>
              <w:pStyle w:val="4"/>
              <w:spacing w:before="0" w:line="400" w:lineRule="exact"/>
              <w:ind w:left="0"/>
              <w:jc w:val="center"/>
              <w:rPr>
                <w:rFonts w:hint="eastAsia" w:ascii="楷体_GB2312" w:hAnsi="楷体_GB2312" w:eastAsia="楷体_GB2312" w:cs="楷体_GB2312"/>
                <w:b w:val="0"/>
                <w:bCs/>
                <w:spacing w:val="-3"/>
                <w:kern w:val="0"/>
                <w:sz w:val="21"/>
                <w:szCs w:val="21"/>
                <w:highlight w:val="none"/>
                <w:lang w:eastAsia="zh-CN"/>
              </w:rPr>
            </w:pPr>
            <w:r>
              <w:rPr>
                <w:rFonts w:hint="eastAsia" w:ascii="楷体_GB2312" w:hAnsi="楷体_GB2312" w:eastAsia="楷体_GB2312" w:cs="楷体_GB2312"/>
                <w:b w:val="0"/>
                <w:bCs/>
                <w:spacing w:val="-3"/>
                <w:kern w:val="0"/>
                <w:sz w:val="21"/>
                <w:szCs w:val="21"/>
                <w:highlight w:val="none"/>
                <w:lang w:eastAsia="zh-CN"/>
              </w:rPr>
              <w:t>2</w:t>
            </w:r>
          </w:p>
        </w:tc>
        <w:tc>
          <w:tcPr>
            <w:tcW w:w="1783" w:type="pct"/>
            <w:vAlign w:val="center"/>
          </w:tcPr>
          <w:p w14:paraId="36753248">
            <w:pPr>
              <w:pStyle w:val="4"/>
              <w:spacing w:before="0" w:line="400" w:lineRule="exact"/>
              <w:ind w:left="0"/>
              <w:jc w:val="center"/>
              <w:rPr>
                <w:rFonts w:hint="eastAsia" w:ascii="楷体_GB2312" w:hAnsi="楷体_GB2312" w:eastAsia="楷体_GB2312" w:cs="楷体_GB2312"/>
                <w:b/>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快递费</w:t>
            </w:r>
          </w:p>
        </w:tc>
        <w:tc>
          <w:tcPr>
            <w:tcW w:w="2136" w:type="pct"/>
            <w:vAlign w:val="center"/>
          </w:tcPr>
          <w:p w14:paraId="18FDE192">
            <w:pPr>
              <w:pStyle w:val="4"/>
              <w:spacing w:before="0" w:line="400" w:lineRule="exact"/>
              <w:ind w:left="0"/>
              <w:jc w:val="center"/>
              <w:rPr>
                <w:rFonts w:hint="default" w:ascii="楷体_GB2312" w:hAnsi="楷体_GB2312" w:eastAsia="楷体_GB2312" w:cs="楷体_GB2312"/>
                <w:spacing w:val="-3"/>
                <w:sz w:val="21"/>
                <w:szCs w:val="21"/>
                <w:highlight w:val="none"/>
                <w:lang w:val="en-US" w:eastAsia="zh-CN"/>
              </w:rPr>
            </w:pPr>
            <w:r>
              <w:rPr>
                <w:rFonts w:hint="eastAsia" w:ascii="楷体_GB2312" w:hAnsi="楷体_GB2312" w:eastAsia="楷体_GB2312" w:cs="楷体_GB2312"/>
                <w:spacing w:val="-3"/>
                <w:sz w:val="21"/>
                <w:szCs w:val="21"/>
                <w:highlight w:val="none"/>
                <w:lang w:val="en-US" w:eastAsia="zh-CN"/>
              </w:rPr>
              <w:t>108</w:t>
            </w:r>
          </w:p>
        </w:tc>
      </w:tr>
      <w:tr w14:paraId="0ACD65CA">
        <w:trPr>
          <w:trHeight w:val="414" w:hRule="exact"/>
          <w:jc w:val="center"/>
        </w:trPr>
        <w:tc>
          <w:tcPr>
            <w:tcW w:w="1080" w:type="pct"/>
            <w:vAlign w:val="center"/>
          </w:tcPr>
          <w:p w14:paraId="7329D62B">
            <w:pPr>
              <w:pStyle w:val="4"/>
              <w:spacing w:before="0" w:line="400" w:lineRule="exact"/>
              <w:ind w:left="0"/>
              <w:jc w:val="center"/>
              <w:rPr>
                <w:rFonts w:hint="eastAsia" w:ascii="楷体_GB2312" w:hAnsi="楷体_GB2312" w:eastAsia="楷体_GB2312" w:cs="楷体_GB2312"/>
                <w:b w:val="0"/>
                <w:bCs/>
                <w:spacing w:val="-3"/>
                <w:kern w:val="0"/>
                <w:sz w:val="21"/>
                <w:szCs w:val="21"/>
                <w:highlight w:val="none"/>
                <w:lang w:eastAsia="zh-CN"/>
              </w:rPr>
            </w:pPr>
            <w:r>
              <w:rPr>
                <w:rFonts w:hint="eastAsia" w:ascii="楷体_GB2312" w:hAnsi="楷体_GB2312" w:eastAsia="楷体_GB2312" w:cs="楷体_GB2312"/>
                <w:b w:val="0"/>
                <w:bCs/>
                <w:spacing w:val="-3"/>
                <w:kern w:val="0"/>
                <w:sz w:val="21"/>
                <w:szCs w:val="21"/>
                <w:highlight w:val="none"/>
                <w:lang w:eastAsia="zh-CN"/>
              </w:rPr>
              <w:t>3</w:t>
            </w:r>
          </w:p>
        </w:tc>
        <w:tc>
          <w:tcPr>
            <w:tcW w:w="1783" w:type="pct"/>
            <w:vAlign w:val="center"/>
          </w:tcPr>
          <w:p w14:paraId="60154C4D">
            <w:pPr>
              <w:pStyle w:val="4"/>
              <w:spacing w:before="0" w:line="400" w:lineRule="exact"/>
              <w:ind w:left="0"/>
              <w:jc w:val="center"/>
              <w:rPr>
                <w:rFonts w:hint="eastAsia" w:ascii="楷体_GB2312" w:hAnsi="楷体_GB2312" w:eastAsia="楷体_GB2312" w:cs="楷体_GB2312"/>
                <w:b/>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交通费</w:t>
            </w:r>
          </w:p>
        </w:tc>
        <w:tc>
          <w:tcPr>
            <w:tcW w:w="2136" w:type="pct"/>
            <w:vAlign w:val="center"/>
          </w:tcPr>
          <w:p w14:paraId="2846D0DA">
            <w:pPr>
              <w:pStyle w:val="4"/>
              <w:spacing w:before="0" w:line="400" w:lineRule="exact"/>
              <w:ind w:left="0"/>
              <w:jc w:val="center"/>
              <w:rPr>
                <w:rFonts w:hint="eastAsia" w:ascii="楷体_GB2312" w:hAnsi="楷体_GB2312" w:eastAsia="楷体_GB2312" w:cs="楷体_GB2312"/>
                <w:spacing w:val="-3"/>
                <w:sz w:val="21"/>
                <w:szCs w:val="21"/>
                <w:highlight w:val="none"/>
                <w:lang w:eastAsia="zh-CN"/>
              </w:rPr>
            </w:pPr>
            <w:r>
              <w:rPr>
                <w:rFonts w:hint="eastAsia" w:ascii="楷体_GB2312" w:hAnsi="楷体_GB2312" w:eastAsia="楷体_GB2312" w:cs="楷体_GB2312"/>
                <w:spacing w:val="-3"/>
                <w:sz w:val="21"/>
                <w:szCs w:val="21"/>
                <w:highlight w:val="none"/>
                <w:lang w:eastAsia="zh-CN"/>
              </w:rPr>
              <w:t>410.70</w:t>
            </w:r>
          </w:p>
        </w:tc>
      </w:tr>
    </w:tbl>
    <w:p w14:paraId="2F6B6228">
      <w:pPr>
        <w:pStyle w:val="21"/>
        <w:spacing w:before="289" w:beforeLines="50" w:after="289" w:afterLines="50"/>
        <w:ind w:left="0" w:firstLine="0"/>
        <w:outlineLvl w:val="1"/>
        <w:rPr>
          <w:rFonts w:hint="eastAsia" w:ascii="楷体_GB2312" w:hAnsi="楷体_GB2312" w:eastAsia="楷体_GB2312" w:cs="楷体_GB2312"/>
          <w:b/>
          <w:bCs/>
          <w:w w:val="105"/>
          <w:sz w:val="24"/>
          <w:szCs w:val="24"/>
          <w:highlight w:val="none"/>
          <w:lang w:eastAsia="zh-CN"/>
        </w:rPr>
      </w:pPr>
      <w:r>
        <w:rPr>
          <w:rFonts w:hint="eastAsia" w:ascii="楷体_GB2312" w:hAnsi="楷体_GB2312" w:eastAsia="楷体_GB2312" w:cs="楷体_GB2312"/>
          <w:b/>
          <w:bCs/>
          <w:w w:val="105"/>
          <w:sz w:val="24"/>
          <w:szCs w:val="24"/>
          <w:highlight w:val="none"/>
          <w:lang w:eastAsia="zh-CN"/>
        </w:rPr>
        <w:t>3.2 清算组报酬</w:t>
      </w:r>
    </w:p>
    <w:p w14:paraId="2055A761">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关于审理公司强制清算案件工作座谈会纪要》第十一条规定：“25、中介机构或者个人担任清算组成员的，其报酬由中介机构或者个人与公司协商确定；协商不成的，由人民法院参照《最高人民法院关于审理企业破产案件确定管理人报酬的规定》确定。”参照《北京市高级人民法院破产费用援助资金使用办法（试行）》第六条，“每件案件援助资金中用于补贴管理人报酬的部分一般不超过5万元。没有财产线索，或者人员、财产、账册等下落不明的简单破产案件，管理人报酬不超过3万元”。因此，除履行职务发生的费用外，清算组亦有权要求支付工作报酬，根据本案实际情况，清算组报酬初步定为30,000.00元。</w:t>
      </w:r>
    </w:p>
    <w:p w14:paraId="6630D9D4">
      <w:pPr>
        <w:pStyle w:val="21"/>
        <w:spacing w:before="289" w:beforeLines="50" w:after="289" w:afterLines="50"/>
        <w:ind w:left="0" w:firstLine="0"/>
        <w:outlineLvl w:val="1"/>
        <w:rPr>
          <w:rFonts w:hint="eastAsia" w:ascii="楷体_GB2312" w:hAnsi="楷体_GB2312" w:eastAsia="楷体_GB2312" w:cs="楷体_GB2312"/>
          <w:b/>
          <w:bCs/>
          <w:w w:val="105"/>
          <w:sz w:val="24"/>
          <w:szCs w:val="24"/>
          <w:highlight w:val="none"/>
          <w:lang w:eastAsia="zh-CN"/>
        </w:rPr>
      </w:pPr>
      <w:r>
        <w:rPr>
          <w:rFonts w:hint="eastAsia" w:ascii="楷体_GB2312" w:hAnsi="楷体_GB2312" w:eastAsia="楷体_GB2312" w:cs="楷体_GB2312"/>
          <w:b/>
          <w:bCs/>
          <w:w w:val="105"/>
          <w:sz w:val="24"/>
          <w:szCs w:val="24"/>
          <w:highlight w:val="none"/>
          <w:lang w:eastAsia="zh-CN"/>
        </w:rPr>
        <w:t>3.3 费用支付安排</w:t>
      </w:r>
    </w:p>
    <w:p w14:paraId="7B3992AF">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根据《中华人民共和国民法典》第七十一条规定：“法人的清算程序和清算组职权，依照有关法律的规定；没有规定的，参照适用公司法律的有关规定。”以及《中华人民共和国公司法》（2023修订）（以下简称“《公司法》”）第二百三十六条，清算费用应当由公司财产第一顺位支付，太都国际公司目前无财产支付本案清算费用，申请人</w:t>
      </w:r>
      <w:r>
        <w:rPr>
          <w:rFonts w:hint="eastAsia" w:ascii="楷体_GB2312" w:hAnsi="楷体_GB2312" w:eastAsia="楷体_GB2312" w:cs="楷体_GB2312"/>
          <w:spacing w:val="-3"/>
          <w:sz w:val="24"/>
          <w:szCs w:val="24"/>
          <w:highlight w:val="none"/>
          <w:lang w:val="en-US" w:eastAsia="zh-CN"/>
        </w:rPr>
        <w:t>南光公司</w:t>
      </w:r>
      <w:r>
        <w:rPr>
          <w:rFonts w:hint="eastAsia" w:ascii="楷体_GB2312" w:hAnsi="楷体_GB2312" w:eastAsia="楷体_GB2312" w:cs="楷体_GB2312"/>
          <w:spacing w:val="-3"/>
          <w:sz w:val="24"/>
          <w:szCs w:val="24"/>
          <w:highlight w:val="none"/>
          <w:lang w:eastAsia="zh-CN"/>
        </w:rPr>
        <w:t>已向北京市第一中级人民法院交纳垫付费用30,000.00元，因此本案清算组执行职务费用及清算组报酬将由清算组先行垫付，从</w:t>
      </w:r>
      <w:r>
        <w:rPr>
          <w:rFonts w:hint="eastAsia" w:ascii="楷体_GB2312" w:hAnsi="楷体_GB2312" w:eastAsia="楷体_GB2312" w:cs="楷体_GB2312"/>
          <w:spacing w:val="-3"/>
          <w:sz w:val="24"/>
          <w:szCs w:val="24"/>
          <w:highlight w:val="none"/>
          <w:lang w:val="en-US" w:eastAsia="zh-CN"/>
        </w:rPr>
        <w:t>南光公司</w:t>
      </w:r>
      <w:r>
        <w:rPr>
          <w:rFonts w:hint="eastAsia" w:ascii="楷体_GB2312" w:hAnsi="楷体_GB2312" w:eastAsia="楷体_GB2312" w:cs="楷体_GB2312"/>
          <w:spacing w:val="-3"/>
          <w:sz w:val="24"/>
          <w:szCs w:val="24"/>
          <w:highlight w:val="none"/>
          <w:lang w:eastAsia="zh-CN"/>
        </w:rPr>
        <w:t>已经向北京市第一中级人民法院交纳的垫付费用30,000.00元中实际支付。清算组将在本案程序终结后向北京市第一中级人民法院申请该</w:t>
      </w:r>
      <w:r>
        <w:rPr>
          <w:rFonts w:hint="eastAsia" w:ascii="楷体_GB2312" w:hAnsi="楷体_GB2312" w:eastAsia="楷体_GB2312" w:cs="楷体_GB2312"/>
          <w:spacing w:val="-3"/>
          <w:sz w:val="24"/>
          <w:szCs w:val="24"/>
          <w:highlight w:val="none"/>
          <w:lang w:val="en-US" w:eastAsia="zh-CN"/>
        </w:rPr>
        <w:t>笔</w:t>
      </w:r>
      <w:r>
        <w:rPr>
          <w:rFonts w:hint="eastAsia" w:ascii="楷体_GB2312" w:hAnsi="楷体_GB2312" w:eastAsia="楷体_GB2312" w:cs="楷体_GB2312"/>
          <w:spacing w:val="-3"/>
          <w:sz w:val="24"/>
          <w:szCs w:val="24"/>
          <w:highlight w:val="none"/>
          <w:lang w:eastAsia="zh-CN"/>
        </w:rPr>
        <w:t>30,000.00元费用支付清算组垫付的执行职务费用和清算组报酬。</w:t>
      </w:r>
    </w:p>
    <w:p w14:paraId="257E3C3C">
      <w:pPr>
        <w:pStyle w:val="21"/>
        <w:spacing w:before="289" w:beforeLines="50" w:after="289" w:afterLines="50"/>
        <w:ind w:left="0" w:firstLine="0"/>
        <w:outlineLvl w:val="0"/>
        <w:rPr>
          <w:rFonts w:hint="eastAsia" w:ascii="楷体_GB2312" w:hAnsi="楷体_GB2312" w:eastAsia="楷体_GB2312" w:cs="楷体_GB2312"/>
          <w:b/>
          <w:bCs/>
          <w:w w:val="105"/>
          <w:sz w:val="24"/>
          <w:szCs w:val="24"/>
          <w:highlight w:val="none"/>
          <w:lang w:eastAsia="zh-CN"/>
        </w:rPr>
      </w:pPr>
      <w:r>
        <w:rPr>
          <w:rFonts w:hint="eastAsia" w:ascii="楷体_GB2312" w:hAnsi="楷体_GB2312" w:eastAsia="楷体_GB2312" w:cs="楷体_GB2312"/>
          <w:b/>
          <w:bCs/>
          <w:w w:val="105"/>
          <w:sz w:val="24"/>
          <w:szCs w:val="24"/>
          <w:highlight w:val="none"/>
          <w:lang w:eastAsia="zh-CN"/>
        </w:rPr>
        <w:t>4 下一步工作安排</w:t>
      </w:r>
    </w:p>
    <w:p w14:paraId="19DAA366">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截至目前，本案存在以下事实情况：</w:t>
      </w:r>
    </w:p>
    <w:p w14:paraId="2D62C430">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（1）清算组仅能联系到申请人暨太都国际公司股东</w:t>
      </w:r>
      <w:r>
        <w:rPr>
          <w:rFonts w:hint="eastAsia" w:ascii="楷体_GB2312" w:hAnsi="楷体_GB2312" w:eastAsia="楷体_GB2312" w:cs="楷体_GB2312"/>
          <w:spacing w:val="-3"/>
          <w:sz w:val="24"/>
          <w:szCs w:val="24"/>
          <w:highlight w:val="none"/>
          <w:lang w:val="en-US" w:eastAsia="zh-CN"/>
        </w:rPr>
        <w:t>南光公司</w:t>
      </w:r>
      <w:r>
        <w:rPr>
          <w:rFonts w:hint="eastAsia" w:ascii="楷体_GB2312" w:hAnsi="楷体_GB2312" w:eastAsia="楷体_GB2312" w:cs="楷体_GB2312"/>
          <w:spacing w:val="-3"/>
          <w:sz w:val="24"/>
          <w:szCs w:val="24"/>
          <w:highlight w:val="none"/>
          <w:lang w:eastAsia="zh-CN"/>
        </w:rPr>
        <w:t>，其反馈并不掌握太都国际公司任何财务资料或资产。除前述主体外，清算组未能与太都国际公司的其他人员取得联系。</w:t>
      </w:r>
    </w:p>
    <w:p w14:paraId="15A9EABF">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（2）清算组未接管到太都国际公司的任何财产及账册、重要文件等任何材料，实际上未能有效接管该公司，无法对公司进行清算。</w:t>
      </w:r>
    </w:p>
    <w:p w14:paraId="4F2589CB">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（3）根据债权申报及调查情况，截至本清算报告出具之日，清算组未发现太都国际公司存在未清偿的债务。根据公开渠道检索情况，截至本清算报告出具之日，清算组未发现太都国际公司存在任何有价值财产。</w:t>
      </w:r>
    </w:p>
    <w:p w14:paraId="55DB9E58">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（4）本案清算费用（包括执行职务费用和清算组报酬）从申请人</w:t>
      </w:r>
      <w:r>
        <w:rPr>
          <w:rFonts w:hint="eastAsia" w:ascii="楷体_GB2312" w:hAnsi="楷体_GB2312" w:eastAsia="楷体_GB2312" w:cs="楷体_GB2312"/>
          <w:spacing w:val="-3"/>
          <w:sz w:val="24"/>
          <w:szCs w:val="24"/>
          <w:highlight w:val="none"/>
          <w:lang w:val="en-US" w:eastAsia="zh-CN"/>
        </w:rPr>
        <w:t>南光公司</w:t>
      </w:r>
      <w:r>
        <w:rPr>
          <w:rFonts w:hint="eastAsia" w:ascii="楷体_GB2312" w:hAnsi="楷体_GB2312" w:eastAsia="楷体_GB2312" w:cs="楷体_GB2312"/>
          <w:spacing w:val="-3"/>
          <w:sz w:val="24"/>
          <w:szCs w:val="24"/>
          <w:highlight w:val="none"/>
          <w:lang w:eastAsia="zh-CN"/>
        </w:rPr>
        <w:t>向北京一中院预缴的30,000.00元垫付费用中</w:t>
      </w:r>
      <w:r>
        <w:rPr>
          <w:rFonts w:hint="eastAsia" w:ascii="楷体_GB2312" w:hAnsi="楷体_GB2312" w:eastAsia="楷体_GB2312" w:cs="楷体_GB2312"/>
          <w:spacing w:val="-3"/>
          <w:sz w:val="24"/>
          <w:szCs w:val="24"/>
          <w:highlight w:val="none"/>
          <w:lang w:val="en-US" w:eastAsia="zh-CN"/>
        </w:rPr>
        <w:t>实际</w:t>
      </w:r>
      <w:r>
        <w:rPr>
          <w:rFonts w:hint="eastAsia" w:ascii="楷体_GB2312" w:hAnsi="楷体_GB2312" w:eastAsia="楷体_GB2312" w:cs="楷体_GB2312"/>
          <w:spacing w:val="-3"/>
          <w:sz w:val="24"/>
          <w:szCs w:val="24"/>
          <w:highlight w:val="none"/>
          <w:lang w:eastAsia="zh-CN"/>
        </w:rPr>
        <w:t>支付。</w:t>
      </w:r>
    </w:p>
    <w:p w14:paraId="3C3B5005">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p>
    <w:p w14:paraId="5E45AB1A">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基于上述事实情况，清算组未接管到太都国际公司财产、账册、重要文件，清算组仅能与申请人</w:t>
      </w:r>
      <w:r>
        <w:rPr>
          <w:rFonts w:hint="eastAsia" w:ascii="楷体_GB2312" w:hAnsi="楷体_GB2312" w:eastAsia="楷体_GB2312" w:cs="楷体_GB2312"/>
          <w:spacing w:val="-3"/>
          <w:sz w:val="24"/>
          <w:szCs w:val="24"/>
          <w:highlight w:val="none"/>
          <w:lang w:val="en-US" w:eastAsia="zh-CN"/>
        </w:rPr>
        <w:t>南光公司</w:t>
      </w:r>
      <w:r>
        <w:rPr>
          <w:rFonts w:hint="eastAsia" w:ascii="楷体_GB2312" w:hAnsi="楷体_GB2312" w:eastAsia="楷体_GB2312" w:cs="楷体_GB2312"/>
          <w:spacing w:val="-3"/>
          <w:sz w:val="24"/>
          <w:szCs w:val="24"/>
          <w:highlight w:val="none"/>
          <w:lang w:eastAsia="zh-CN"/>
        </w:rPr>
        <w:t>取得联系，被申请人</w:t>
      </w:r>
      <w:r>
        <w:rPr>
          <w:rFonts w:hint="eastAsia" w:ascii="楷体_GB2312" w:hAnsi="楷体_GB2312" w:eastAsia="楷体_GB2312" w:cs="楷体_GB2312"/>
          <w:spacing w:val="-3"/>
          <w:sz w:val="24"/>
          <w:szCs w:val="24"/>
          <w:highlight w:val="none"/>
          <w:lang w:val="en-US" w:eastAsia="zh-CN"/>
        </w:rPr>
        <w:t>的法定代表人、</w:t>
      </w:r>
      <w:r>
        <w:rPr>
          <w:rFonts w:hint="eastAsia" w:ascii="楷体_GB2312" w:hAnsi="楷体_GB2312" w:eastAsia="楷体_GB2312" w:cs="楷体_GB2312"/>
          <w:spacing w:val="-3"/>
          <w:sz w:val="24"/>
          <w:szCs w:val="24"/>
          <w:highlight w:val="none"/>
          <w:lang w:eastAsia="zh-CN"/>
        </w:rPr>
        <w:t>董事、监事</w:t>
      </w:r>
      <w:r>
        <w:rPr>
          <w:rFonts w:hint="eastAsia" w:ascii="楷体_GB2312" w:hAnsi="楷体_GB2312" w:eastAsia="楷体_GB2312" w:cs="楷体_GB2312"/>
          <w:spacing w:val="-3"/>
          <w:sz w:val="24"/>
          <w:szCs w:val="24"/>
          <w:highlight w:val="none"/>
          <w:lang w:val="en-US" w:eastAsia="zh-CN"/>
        </w:rPr>
        <w:t>等相关人员</w:t>
      </w:r>
      <w:r>
        <w:rPr>
          <w:rFonts w:hint="eastAsia" w:ascii="楷体_GB2312" w:hAnsi="楷体_GB2312" w:eastAsia="楷体_GB2312" w:cs="楷体_GB2312"/>
          <w:spacing w:val="-3"/>
          <w:sz w:val="24"/>
          <w:szCs w:val="24"/>
          <w:highlight w:val="none"/>
          <w:lang w:eastAsia="zh-CN"/>
        </w:rPr>
        <w:t>下落不明，因此太都国际公司无法清算。清算组将根据《公司法》第二百三十九条、《关于审理公司强制清算案件工作座谈会纪要》第28条的规定：“对于没有任何财产、账册、重要文件，</w:t>
      </w:r>
      <w:bookmarkStart w:id="9" w:name="OLE_LINK6"/>
      <w:r>
        <w:rPr>
          <w:rFonts w:hint="eastAsia" w:ascii="楷体_GB2312" w:hAnsi="楷体_GB2312" w:eastAsia="楷体_GB2312" w:cs="楷体_GB2312"/>
          <w:spacing w:val="-3"/>
          <w:sz w:val="24"/>
          <w:szCs w:val="24"/>
          <w:highlight w:val="none"/>
          <w:lang w:eastAsia="zh-CN"/>
        </w:rPr>
        <w:t>被申请人人员下落不明的</w:t>
      </w:r>
      <w:bookmarkEnd w:id="9"/>
      <w:r>
        <w:rPr>
          <w:rFonts w:hint="eastAsia" w:ascii="楷体_GB2312" w:hAnsi="楷体_GB2312" w:eastAsia="楷体_GB2312" w:cs="楷体_GB2312"/>
          <w:spacing w:val="-3"/>
          <w:sz w:val="24"/>
          <w:szCs w:val="24"/>
          <w:highlight w:val="none"/>
          <w:lang w:eastAsia="zh-CN"/>
        </w:rPr>
        <w:t>，应当以无法清算为由终结强制清算程序。”向贵院申请终结太都国际公司的强制清算程序。</w:t>
      </w:r>
    </w:p>
    <w:p w14:paraId="4F49595B">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待贵院终结强制清算程序后，清算组将依照《公司法》第二百三十九条、《关于审理公司强制清算案件工作座谈会纪要》第36条等规定，持贵院终结强制清算程序的裁定，办理太都国际公司的工商注销登记手续。</w:t>
      </w:r>
    </w:p>
    <w:p w14:paraId="0BFA3D2C">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根据《关于审理公司强制清算案件工作座谈会纪要》第29条的规定：“股东申请强制清算，人民法院以无法清算或者无法全面清算为由作出终结强制清算程序的，应当在终结裁定中载明，股东可以向控股股东等实际控制公司的主体主张有关权利。”清算组将向股东告知可以向控股股东等实际控制公司的主体主张有关权利。</w:t>
      </w:r>
    </w:p>
    <w:p w14:paraId="1EECD133">
      <w:pPr>
        <w:pStyle w:val="4"/>
        <w:spacing w:before="289" w:beforeLines="50" w:after="289" w:afterLines="50"/>
        <w:ind w:left="0"/>
        <w:jc w:val="both"/>
        <w:rPr>
          <w:rFonts w:hint="eastAsia" w:ascii="楷体_GB2312" w:hAnsi="楷体_GB2312" w:eastAsia="楷体_GB2312" w:cs="楷体_GB2312"/>
          <w:spacing w:val="-3"/>
          <w:sz w:val="24"/>
          <w:szCs w:val="24"/>
          <w:highlight w:val="none"/>
          <w:lang w:eastAsia="zh-CN"/>
        </w:rPr>
      </w:pPr>
      <w:bookmarkStart w:id="10" w:name="SKM_C30820072311440"/>
      <w:bookmarkEnd w:id="10"/>
      <w:r>
        <w:rPr>
          <w:rFonts w:hint="eastAsia" w:ascii="楷体_GB2312" w:hAnsi="楷体_GB2312" w:eastAsia="楷体_GB2312" w:cs="楷体_GB2312"/>
          <w:spacing w:val="-3"/>
          <w:sz w:val="24"/>
          <w:szCs w:val="24"/>
          <w:highlight w:val="none"/>
          <w:lang w:eastAsia="zh-CN"/>
        </w:rPr>
        <w:t>特此报告。</w:t>
      </w:r>
    </w:p>
    <w:p w14:paraId="0699A1D5">
      <w:pPr>
        <w:pStyle w:val="4"/>
        <w:spacing w:before="289" w:beforeLines="50" w:after="289" w:afterLines="50"/>
        <w:ind w:left="0"/>
        <w:jc w:val="right"/>
        <w:rPr>
          <w:rFonts w:hint="eastAsia" w:ascii="楷体_GB2312" w:hAnsi="楷体_GB2312" w:eastAsia="楷体_GB2312" w:cs="楷体_GB2312"/>
          <w:spacing w:val="-3"/>
          <w:sz w:val="24"/>
          <w:szCs w:val="24"/>
          <w:highlight w:val="none"/>
          <w:lang w:eastAsia="zh-CN"/>
        </w:rPr>
      </w:pPr>
      <w:r>
        <w:rPr>
          <w:rFonts w:hint="eastAsia" w:ascii="楷体_GB2312" w:hAnsi="楷体_GB2312" w:eastAsia="楷体_GB2312" w:cs="楷体_GB2312"/>
          <w:spacing w:val="-3"/>
          <w:sz w:val="24"/>
          <w:szCs w:val="24"/>
          <w:highlight w:val="none"/>
          <w:lang w:eastAsia="zh-CN"/>
        </w:rPr>
        <w:t>北京太都国际投资咨询有限公司清算组</w:t>
      </w:r>
    </w:p>
    <w:p w14:paraId="4303E203">
      <w:pPr>
        <w:spacing w:before="289" w:beforeLines="50" w:after="289" w:afterLines="50"/>
        <w:jc w:val="right"/>
        <w:rPr>
          <w:rFonts w:hint="eastAsia" w:ascii="楷体_GB2312" w:hAnsi="楷体_GB2312" w:eastAsia="楷体_GB2312" w:cs="楷体_GB2312"/>
          <w:spacing w:val="-3"/>
          <w:sz w:val="24"/>
          <w:szCs w:val="24"/>
          <w:highlight w:val="none"/>
        </w:rPr>
        <w:sectPr>
          <w:headerReference r:id="rId3" w:type="default"/>
          <w:footerReference r:id="rId5" w:type="default"/>
          <w:headerReference r:id="rId4" w:type="even"/>
          <w:footerReference r:id="rId6" w:type="even"/>
          <w:pgSz w:w="11907" w:h="16839"/>
          <w:pgMar w:top="2041" w:right="1531" w:bottom="2041" w:left="1531" w:header="851" w:footer="992" w:gutter="0"/>
          <w:pgNumType w:fmt="numberInDash"/>
          <w:cols w:space="720" w:num="1"/>
          <w:docGrid w:type="linesAndChars" w:linePitch="579" w:charSpace="-882"/>
        </w:sectPr>
      </w:pPr>
      <w:r>
        <w:rPr>
          <w:rFonts w:hint="eastAsia" w:ascii="楷体_GB2312" w:hAnsi="楷体_GB2312" w:eastAsia="楷体_GB2312" w:cs="楷体_GB2312"/>
          <w:spacing w:val="-3"/>
          <w:sz w:val="24"/>
          <w:szCs w:val="24"/>
          <w:highlight w:val="none"/>
        </w:rPr>
        <w:t>二〇二五年</w:t>
      </w:r>
      <w:r>
        <w:rPr>
          <w:rFonts w:hint="eastAsia" w:ascii="楷体_GB2312" w:hAnsi="楷体_GB2312" w:eastAsia="楷体_GB2312" w:cs="楷体_GB2312"/>
          <w:spacing w:val="-3"/>
          <w:sz w:val="24"/>
          <w:szCs w:val="24"/>
          <w:highlight w:val="none"/>
          <w:lang w:val="en-US" w:eastAsia="zh-CN"/>
        </w:rPr>
        <w:t>十一</w:t>
      </w:r>
      <w:r>
        <w:rPr>
          <w:rFonts w:hint="eastAsia" w:ascii="楷体_GB2312" w:hAnsi="楷体_GB2312" w:eastAsia="楷体_GB2312" w:cs="楷体_GB2312"/>
          <w:spacing w:val="-3"/>
          <w:sz w:val="24"/>
          <w:szCs w:val="24"/>
          <w:highlight w:val="none"/>
        </w:rPr>
        <w:t>月</w:t>
      </w:r>
      <w:r>
        <w:rPr>
          <w:rFonts w:hint="eastAsia" w:ascii="楷体_GB2312" w:hAnsi="楷体_GB2312" w:eastAsia="楷体_GB2312" w:cs="楷体_GB2312"/>
          <w:spacing w:val="-3"/>
          <w:sz w:val="24"/>
          <w:szCs w:val="24"/>
          <w:highlight w:val="none"/>
          <w:lang w:val="en-US" w:eastAsia="zh-CN"/>
        </w:rPr>
        <w:t>十八</w:t>
      </w:r>
      <w:bookmarkStart w:id="11" w:name="_GoBack"/>
      <w:bookmarkEnd w:id="11"/>
      <w:r>
        <w:rPr>
          <w:rFonts w:hint="eastAsia" w:ascii="楷体_GB2312" w:hAnsi="楷体_GB2312" w:eastAsia="楷体_GB2312" w:cs="楷体_GB2312"/>
          <w:spacing w:val="-3"/>
          <w:sz w:val="24"/>
          <w:szCs w:val="24"/>
          <w:highlight w:val="none"/>
        </w:rPr>
        <w:t>日</w:t>
      </w:r>
    </w:p>
    <w:p w14:paraId="5EF8F251">
      <w:pPr>
        <w:pStyle w:val="21"/>
        <w:spacing w:before="289" w:beforeLines="50" w:after="289" w:afterLines="50"/>
        <w:ind w:left="0" w:firstLine="0"/>
        <w:rPr>
          <w:rFonts w:hint="eastAsia" w:ascii="楷体_GB2312" w:hAnsi="楷体_GB2312" w:eastAsia="楷体_GB2312" w:cs="楷体_GB2312"/>
          <w:b/>
          <w:sz w:val="24"/>
          <w:szCs w:val="24"/>
          <w:highlight w:val="none"/>
          <w:lang w:eastAsia="zh-CN"/>
        </w:rPr>
      </w:pPr>
      <w:r>
        <w:rPr>
          <w:rFonts w:hint="eastAsia" w:ascii="楷体_GB2312" w:hAnsi="楷体_GB2312" w:eastAsia="楷体_GB2312" w:cs="楷体_GB2312"/>
          <w:b/>
          <w:sz w:val="24"/>
          <w:szCs w:val="24"/>
          <w:highlight w:val="none"/>
          <w:lang w:eastAsia="zh-CN"/>
        </w:rPr>
        <w:t>附件1: 与债务人有关人员的联系情况汇总</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
        <w:gridCol w:w="602"/>
        <w:gridCol w:w="807"/>
        <w:gridCol w:w="1461"/>
        <w:gridCol w:w="2703"/>
        <w:gridCol w:w="3022"/>
      </w:tblGrid>
      <w:tr w14:paraId="03B1FBE7">
        <w:trPr>
          <w:trHeight w:val="315" w:hRule="atLeast"/>
          <w:tblHeader/>
        </w:trPr>
        <w:tc>
          <w:tcPr>
            <w:tcW w:w="257" w:type="pct"/>
            <w:shd w:val="clear" w:color="auto" w:fill="D8D8D8" w:themeFill="background1" w:themeFillShade="D9"/>
            <w:vAlign w:val="center"/>
          </w:tcPr>
          <w:p w14:paraId="3070CF2E">
            <w:pPr>
              <w:widowControl/>
              <w:spacing w:line="400" w:lineRule="exact"/>
              <w:jc w:val="center"/>
              <w:rPr>
                <w:rFonts w:hint="eastAsia" w:ascii="楷体_GB2312" w:hAnsi="楷体_GB2312" w:eastAsia="楷体_GB2312" w:cs="楷体_GB2312"/>
                <w:b/>
                <w:bCs/>
                <w:color w:val="000000"/>
                <w:kern w:val="0"/>
                <w:szCs w:val="21"/>
                <w:highlight w:val="none"/>
              </w:rPr>
            </w:pPr>
            <w:r>
              <w:rPr>
                <w:rFonts w:hint="eastAsia" w:ascii="楷体_GB2312" w:hAnsi="楷体_GB2312" w:eastAsia="楷体_GB2312" w:cs="楷体_GB2312"/>
                <w:b/>
                <w:bCs/>
                <w:color w:val="000000"/>
                <w:kern w:val="0"/>
                <w:szCs w:val="21"/>
                <w:highlight w:val="none"/>
              </w:rPr>
              <w:t>序号</w:t>
            </w:r>
          </w:p>
        </w:tc>
        <w:tc>
          <w:tcPr>
            <w:tcW w:w="332" w:type="pct"/>
            <w:shd w:val="clear" w:color="auto" w:fill="D8D8D8" w:themeFill="background1" w:themeFillShade="D9"/>
            <w:vAlign w:val="center"/>
          </w:tcPr>
          <w:p w14:paraId="1BA64042">
            <w:pPr>
              <w:widowControl/>
              <w:spacing w:line="400" w:lineRule="exact"/>
              <w:jc w:val="center"/>
              <w:rPr>
                <w:rFonts w:hint="eastAsia" w:ascii="楷体_GB2312" w:hAnsi="楷体_GB2312" w:eastAsia="楷体_GB2312" w:cs="楷体_GB2312"/>
                <w:b/>
                <w:bCs/>
                <w:color w:val="000000"/>
                <w:kern w:val="0"/>
                <w:szCs w:val="21"/>
                <w:highlight w:val="none"/>
              </w:rPr>
            </w:pPr>
            <w:r>
              <w:rPr>
                <w:rFonts w:hint="eastAsia" w:ascii="楷体_GB2312" w:hAnsi="楷体_GB2312" w:eastAsia="楷体_GB2312" w:cs="楷体_GB2312"/>
                <w:b/>
                <w:bCs/>
                <w:color w:val="000000"/>
                <w:kern w:val="0"/>
                <w:szCs w:val="21"/>
                <w:highlight w:val="none"/>
              </w:rPr>
              <w:t>姓名</w:t>
            </w:r>
          </w:p>
        </w:tc>
        <w:tc>
          <w:tcPr>
            <w:tcW w:w="445" w:type="pct"/>
            <w:shd w:val="clear" w:color="auto" w:fill="D8D8D8" w:themeFill="background1" w:themeFillShade="D9"/>
            <w:vAlign w:val="center"/>
          </w:tcPr>
          <w:p w14:paraId="4C47609D">
            <w:pPr>
              <w:widowControl/>
              <w:spacing w:line="400" w:lineRule="exact"/>
              <w:jc w:val="center"/>
              <w:rPr>
                <w:rFonts w:hint="eastAsia" w:ascii="楷体_GB2312" w:hAnsi="楷体_GB2312" w:eastAsia="楷体_GB2312" w:cs="楷体_GB2312"/>
                <w:b/>
                <w:bCs/>
                <w:color w:val="000000"/>
                <w:kern w:val="0"/>
                <w:szCs w:val="21"/>
                <w:highlight w:val="none"/>
              </w:rPr>
            </w:pPr>
            <w:r>
              <w:rPr>
                <w:rFonts w:hint="eastAsia" w:ascii="楷体_GB2312" w:hAnsi="楷体_GB2312" w:eastAsia="楷体_GB2312" w:cs="楷体_GB2312"/>
                <w:b/>
                <w:bCs/>
                <w:color w:val="000000"/>
                <w:kern w:val="0"/>
                <w:szCs w:val="21"/>
                <w:highlight w:val="none"/>
              </w:rPr>
              <w:t>身份</w:t>
            </w:r>
          </w:p>
        </w:tc>
        <w:tc>
          <w:tcPr>
            <w:tcW w:w="806" w:type="pct"/>
            <w:shd w:val="clear" w:color="auto" w:fill="D8D8D8" w:themeFill="background1" w:themeFillShade="D9"/>
            <w:vAlign w:val="center"/>
          </w:tcPr>
          <w:p w14:paraId="4A2DCA0A">
            <w:pPr>
              <w:widowControl/>
              <w:spacing w:line="400" w:lineRule="exact"/>
              <w:jc w:val="center"/>
              <w:rPr>
                <w:rFonts w:hint="eastAsia" w:ascii="楷体_GB2312" w:hAnsi="楷体_GB2312" w:eastAsia="楷体_GB2312" w:cs="楷体_GB2312"/>
                <w:b/>
                <w:bCs/>
                <w:color w:val="000000"/>
                <w:kern w:val="0"/>
                <w:szCs w:val="21"/>
                <w:highlight w:val="none"/>
              </w:rPr>
            </w:pPr>
            <w:r>
              <w:rPr>
                <w:rFonts w:hint="eastAsia" w:ascii="楷体_GB2312" w:hAnsi="楷体_GB2312" w:eastAsia="楷体_GB2312" w:cs="楷体_GB2312"/>
                <w:b/>
                <w:bCs/>
                <w:color w:val="000000"/>
                <w:kern w:val="0"/>
                <w:szCs w:val="21"/>
                <w:highlight w:val="none"/>
              </w:rPr>
              <w:t>联系电话</w:t>
            </w:r>
          </w:p>
        </w:tc>
        <w:tc>
          <w:tcPr>
            <w:tcW w:w="1491" w:type="pct"/>
            <w:shd w:val="clear" w:color="auto" w:fill="D8D8D8" w:themeFill="background1" w:themeFillShade="D9"/>
            <w:vAlign w:val="center"/>
          </w:tcPr>
          <w:p w14:paraId="7DD8B9C1">
            <w:pPr>
              <w:widowControl/>
              <w:spacing w:line="400" w:lineRule="exact"/>
              <w:jc w:val="center"/>
              <w:rPr>
                <w:rFonts w:hint="eastAsia" w:ascii="楷体_GB2312" w:hAnsi="楷体_GB2312" w:eastAsia="楷体_GB2312" w:cs="楷体_GB2312"/>
                <w:b/>
                <w:bCs/>
                <w:color w:val="000000"/>
                <w:kern w:val="0"/>
                <w:szCs w:val="21"/>
                <w:highlight w:val="none"/>
              </w:rPr>
            </w:pPr>
            <w:r>
              <w:rPr>
                <w:rFonts w:hint="eastAsia" w:ascii="楷体_GB2312" w:hAnsi="楷体_GB2312" w:eastAsia="楷体_GB2312" w:cs="楷体_GB2312"/>
                <w:b/>
                <w:bCs/>
                <w:color w:val="000000"/>
                <w:kern w:val="0"/>
                <w:szCs w:val="21"/>
                <w:highlight w:val="none"/>
              </w:rPr>
              <w:t>地址</w:t>
            </w:r>
          </w:p>
        </w:tc>
        <w:tc>
          <w:tcPr>
            <w:tcW w:w="1667" w:type="pct"/>
            <w:shd w:val="clear" w:color="auto" w:fill="D8D8D8" w:themeFill="background1" w:themeFillShade="D9"/>
            <w:vAlign w:val="center"/>
          </w:tcPr>
          <w:p w14:paraId="2DBD7F51">
            <w:pPr>
              <w:widowControl/>
              <w:spacing w:line="400" w:lineRule="exact"/>
              <w:jc w:val="center"/>
              <w:rPr>
                <w:rFonts w:hint="eastAsia" w:ascii="楷体_GB2312" w:hAnsi="楷体_GB2312" w:eastAsia="楷体_GB2312" w:cs="楷体_GB2312"/>
                <w:b/>
                <w:bCs/>
                <w:color w:val="000000"/>
                <w:kern w:val="0"/>
                <w:szCs w:val="21"/>
                <w:highlight w:val="none"/>
              </w:rPr>
            </w:pPr>
            <w:r>
              <w:rPr>
                <w:rFonts w:hint="eastAsia" w:ascii="楷体_GB2312" w:hAnsi="楷体_GB2312" w:eastAsia="楷体_GB2312" w:cs="楷体_GB2312"/>
                <w:b/>
                <w:bCs/>
                <w:color w:val="000000"/>
                <w:kern w:val="0"/>
                <w:szCs w:val="21"/>
                <w:highlight w:val="none"/>
              </w:rPr>
              <w:t>联系情况</w:t>
            </w:r>
          </w:p>
        </w:tc>
      </w:tr>
      <w:tr w14:paraId="697ACD10">
        <w:trPr>
          <w:trHeight w:val="1127" w:hRule="atLeast"/>
        </w:trPr>
        <w:tc>
          <w:tcPr>
            <w:tcW w:w="257" w:type="pct"/>
            <w:shd w:val="clear" w:color="auto" w:fill="auto"/>
            <w:vAlign w:val="center"/>
          </w:tcPr>
          <w:p w14:paraId="0C257C10">
            <w:pPr>
              <w:widowControl/>
              <w:spacing w:line="400" w:lineRule="exact"/>
              <w:jc w:val="center"/>
              <w:rPr>
                <w:rFonts w:hint="eastAsia" w:ascii="楷体_GB2312" w:hAnsi="楷体_GB2312" w:eastAsia="楷体_GB2312" w:cs="楷体_GB2312"/>
                <w:color w:val="000000"/>
                <w:kern w:val="0"/>
                <w:szCs w:val="21"/>
                <w:highlight w:val="none"/>
              </w:rPr>
            </w:pPr>
            <w:r>
              <w:rPr>
                <w:rFonts w:hint="eastAsia" w:ascii="楷体_GB2312" w:hAnsi="楷体_GB2312" w:eastAsia="楷体_GB2312" w:cs="楷体_GB2312"/>
                <w:color w:val="000000"/>
                <w:kern w:val="0"/>
                <w:szCs w:val="21"/>
                <w:highlight w:val="none"/>
              </w:rPr>
              <w:t>1</w:t>
            </w:r>
          </w:p>
        </w:tc>
        <w:tc>
          <w:tcPr>
            <w:tcW w:w="332" w:type="pct"/>
            <w:shd w:val="clear" w:color="auto" w:fill="auto"/>
            <w:vAlign w:val="center"/>
          </w:tcPr>
          <w:p w14:paraId="59198AFD">
            <w:pPr>
              <w:widowControl/>
              <w:spacing w:line="400" w:lineRule="exact"/>
              <w:jc w:val="center"/>
              <w:rPr>
                <w:rFonts w:hint="default" w:ascii="楷体_GB2312" w:hAnsi="楷体_GB2312" w:eastAsia="楷体_GB2312" w:cs="楷体_GB2312"/>
                <w:color w:val="000000"/>
                <w:kern w:val="0"/>
                <w:szCs w:val="21"/>
                <w:highlight w:val="none"/>
                <w:lang w:val="en-US" w:eastAsia="zh-CN"/>
              </w:rPr>
            </w:pPr>
            <w:r>
              <w:rPr>
                <w:rFonts w:hint="eastAsia" w:ascii="楷体_GB2312" w:hAnsi="楷体_GB2312" w:eastAsia="楷体_GB2312" w:cs="楷体_GB2312"/>
                <w:color w:val="000000"/>
                <w:kern w:val="0"/>
                <w:szCs w:val="21"/>
                <w:highlight w:val="none"/>
                <w:lang w:val="en-US" w:eastAsia="zh-CN"/>
              </w:rPr>
              <w:t>闫星</w:t>
            </w:r>
          </w:p>
        </w:tc>
        <w:tc>
          <w:tcPr>
            <w:tcW w:w="445" w:type="pct"/>
            <w:shd w:val="clear" w:color="auto" w:fill="auto"/>
            <w:vAlign w:val="center"/>
          </w:tcPr>
          <w:p w14:paraId="2A5A6E07">
            <w:pPr>
              <w:widowControl/>
              <w:spacing w:line="400" w:lineRule="exact"/>
              <w:jc w:val="center"/>
              <w:rPr>
                <w:rFonts w:hint="eastAsia" w:ascii="楷体_GB2312" w:hAnsi="楷体_GB2312" w:eastAsia="楷体_GB2312" w:cs="楷体_GB2312"/>
                <w:color w:val="000000"/>
                <w:kern w:val="0"/>
                <w:szCs w:val="21"/>
                <w:highlight w:val="none"/>
              </w:rPr>
            </w:pPr>
            <w:r>
              <w:rPr>
                <w:rFonts w:hint="eastAsia" w:ascii="楷体_GB2312" w:hAnsi="楷体_GB2312" w:eastAsia="楷体_GB2312" w:cs="楷体_GB2312"/>
                <w:color w:val="000000"/>
                <w:kern w:val="0"/>
                <w:szCs w:val="21"/>
                <w:highlight w:val="none"/>
              </w:rPr>
              <w:t>法定代表人</w:t>
            </w:r>
          </w:p>
          <w:p w14:paraId="73FDD4A8">
            <w:pPr>
              <w:widowControl/>
              <w:spacing w:line="400" w:lineRule="exact"/>
              <w:jc w:val="center"/>
              <w:rPr>
                <w:rFonts w:hint="eastAsia" w:ascii="楷体_GB2312" w:hAnsi="楷体_GB2312" w:eastAsia="楷体_GB2312" w:cs="楷体_GB2312"/>
                <w:color w:val="000000"/>
                <w:kern w:val="0"/>
                <w:szCs w:val="21"/>
                <w:highlight w:val="none"/>
              </w:rPr>
            </w:pPr>
            <w:r>
              <w:rPr>
                <w:rFonts w:hint="eastAsia" w:ascii="楷体_GB2312" w:hAnsi="楷体_GB2312" w:eastAsia="楷体_GB2312" w:cs="楷体_GB2312"/>
                <w:color w:val="000000"/>
                <w:kern w:val="0"/>
                <w:szCs w:val="21"/>
                <w:highlight w:val="none"/>
              </w:rPr>
              <w:t>、董事长</w:t>
            </w:r>
          </w:p>
        </w:tc>
        <w:tc>
          <w:tcPr>
            <w:tcW w:w="806" w:type="pct"/>
            <w:shd w:val="clear" w:color="auto" w:fill="auto"/>
            <w:vAlign w:val="center"/>
          </w:tcPr>
          <w:p w14:paraId="068608A9">
            <w:pPr>
              <w:widowControl/>
              <w:spacing w:line="400" w:lineRule="exact"/>
              <w:jc w:val="center"/>
              <w:rPr>
                <w:rFonts w:hint="eastAsia" w:ascii="楷体_GB2312" w:hAnsi="楷体_GB2312" w:eastAsia="楷体_GB2312" w:cs="楷体_GB2312"/>
                <w:color w:val="000000"/>
                <w:kern w:val="0"/>
                <w:szCs w:val="21"/>
                <w:highlight w:val="none"/>
              </w:rPr>
            </w:pPr>
            <w:r>
              <w:rPr>
                <w:rFonts w:hint="eastAsia" w:ascii="楷体_GB2312" w:hAnsi="楷体_GB2312" w:eastAsia="楷体_GB2312" w:cs="楷体_GB2312"/>
                <w:color w:val="000000"/>
                <w:kern w:val="0"/>
                <w:szCs w:val="21"/>
                <w:highlight w:val="none"/>
              </w:rPr>
              <w:t>513.0507</w:t>
            </w:r>
          </w:p>
        </w:tc>
        <w:tc>
          <w:tcPr>
            <w:tcW w:w="1491" w:type="pct"/>
            <w:shd w:val="clear" w:color="auto" w:fill="auto"/>
            <w:vAlign w:val="center"/>
          </w:tcPr>
          <w:p w14:paraId="40072FE0">
            <w:pPr>
              <w:widowControl/>
              <w:spacing w:line="400" w:lineRule="exact"/>
              <w:jc w:val="center"/>
              <w:rPr>
                <w:rFonts w:hint="eastAsia" w:ascii="楷体_GB2312" w:hAnsi="楷体_GB2312" w:eastAsia="楷体_GB2312" w:cs="楷体_GB2312"/>
                <w:color w:val="000000"/>
                <w:kern w:val="0"/>
                <w:szCs w:val="21"/>
                <w:highlight w:val="none"/>
              </w:rPr>
            </w:pPr>
            <w:r>
              <w:rPr>
                <w:rFonts w:hint="eastAsia" w:ascii="楷体_GB2312" w:hAnsi="楷体_GB2312" w:eastAsia="楷体_GB2312" w:cs="楷体_GB2312"/>
                <w:color w:val="000000"/>
                <w:kern w:val="0"/>
                <w:szCs w:val="21"/>
                <w:highlight w:val="none"/>
              </w:rPr>
              <w:t>工商档案中记载的户籍地址：北京市西城区南安里24号</w:t>
            </w:r>
          </w:p>
        </w:tc>
        <w:tc>
          <w:tcPr>
            <w:tcW w:w="1667" w:type="pct"/>
            <w:vAlign w:val="center"/>
          </w:tcPr>
          <w:p w14:paraId="238CBE63">
            <w:pPr>
              <w:widowControl/>
              <w:spacing w:line="400" w:lineRule="exact"/>
              <w:jc w:val="center"/>
              <w:rPr>
                <w:rFonts w:hint="eastAsia" w:ascii="楷体_GB2312" w:hAnsi="楷体_GB2312" w:eastAsia="楷体_GB2312" w:cs="楷体_GB2312"/>
                <w:color w:val="000000"/>
                <w:kern w:val="0"/>
                <w:szCs w:val="21"/>
                <w:highlight w:val="none"/>
              </w:rPr>
            </w:pPr>
            <w:r>
              <w:rPr>
                <w:rFonts w:hint="eastAsia" w:ascii="楷体_GB2312" w:hAnsi="楷体_GB2312" w:eastAsia="楷体_GB2312" w:cs="楷体_GB2312"/>
                <w:color w:val="000000"/>
                <w:kern w:val="0"/>
                <w:szCs w:val="21"/>
                <w:highlight w:val="none"/>
              </w:rPr>
              <w:t>未能</w:t>
            </w:r>
            <w:r>
              <w:rPr>
                <w:rFonts w:hint="eastAsia" w:ascii="楷体_GB2312" w:hAnsi="楷体_GB2312" w:eastAsia="楷体_GB2312" w:cs="楷体_GB2312"/>
                <w:color w:val="000000"/>
                <w:kern w:val="0"/>
                <w:szCs w:val="21"/>
                <w:highlight w:val="none"/>
                <w:lang w:val="en-US" w:eastAsia="zh-CN"/>
              </w:rPr>
              <w:t>成功</w:t>
            </w:r>
            <w:r>
              <w:rPr>
                <w:rFonts w:hint="eastAsia" w:ascii="楷体_GB2312" w:hAnsi="楷体_GB2312" w:eastAsia="楷体_GB2312" w:cs="楷体_GB2312"/>
                <w:color w:val="000000"/>
                <w:kern w:val="0"/>
                <w:szCs w:val="21"/>
                <w:highlight w:val="none"/>
              </w:rPr>
              <w:t>取得联系，</w:t>
            </w:r>
            <w:r>
              <w:rPr>
                <w:rFonts w:hint="eastAsia" w:ascii="楷体_GB2312" w:hAnsi="楷体_GB2312" w:eastAsia="楷体_GB2312" w:cs="楷体_GB2312"/>
                <w:color w:val="000000"/>
                <w:kern w:val="0"/>
                <w:szCs w:val="21"/>
                <w:highlight w:val="none"/>
                <w:lang w:val="en-US" w:eastAsia="zh-CN"/>
              </w:rPr>
              <w:t>清算组向其身份证所示住所地邮寄了债务人及相关人员义务通知书，该邮件已退回，暂未收到其他回复</w:t>
            </w:r>
            <w:r>
              <w:rPr>
                <w:rFonts w:hint="eastAsia" w:ascii="楷体_GB2312" w:hAnsi="楷体_GB2312" w:eastAsia="楷体_GB2312" w:cs="楷体_GB2312"/>
                <w:color w:val="000000"/>
                <w:kern w:val="0"/>
                <w:szCs w:val="21"/>
                <w:highlight w:val="none"/>
              </w:rPr>
              <w:t>。</w:t>
            </w:r>
          </w:p>
        </w:tc>
      </w:tr>
      <w:tr w14:paraId="78BBAD4A">
        <w:trPr>
          <w:trHeight w:val="436" w:hRule="atLeast"/>
        </w:trPr>
        <w:tc>
          <w:tcPr>
            <w:tcW w:w="257" w:type="pct"/>
            <w:shd w:val="clear" w:color="auto" w:fill="auto"/>
            <w:vAlign w:val="center"/>
          </w:tcPr>
          <w:p w14:paraId="3871AFD6">
            <w:pPr>
              <w:widowControl/>
              <w:spacing w:line="400" w:lineRule="exact"/>
              <w:jc w:val="center"/>
              <w:rPr>
                <w:rFonts w:hint="eastAsia" w:ascii="楷体_GB2312" w:hAnsi="楷体_GB2312" w:eastAsia="楷体_GB2312" w:cs="楷体_GB2312"/>
                <w:color w:val="000000"/>
                <w:kern w:val="0"/>
                <w:szCs w:val="21"/>
                <w:highlight w:val="none"/>
              </w:rPr>
            </w:pPr>
            <w:r>
              <w:rPr>
                <w:rFonts w:hint="eastAsia" w:ascii="楷体_GB2312" w:hAnsi="楷体_GB2312" w:eastAsia="楷体_GB2312" w:cs="楷体_GB2312"/>
                <w:color w:val="000000"/>
                <w:kern w:val="0"/>
                <w:szCs w:val="21"/>
                <w:highlight w:val="none"/>
              </w:rPr>
              <w:t>2</w:t>
            </w:r>
          </w:p>
        </w:tc>
        <w:tc>
          <w:tcPr>
            <w:tcW w:w="332" w:type="pct"/>
            <w:shd w:val="clear" w:color="auto" w:fill="auto"/>
            <w:vAlign w:val="center"/>
          </w:tcPr>
          <w:p w14:paraId="393536A6">
            <w:pPr>
              <w:widowControl/>
              <w:spacing w:line="400" w:lineRule="exact"/>
              <w:jc w:val="center"/>
              <w:rPr>
                <w:rFonts w:hint="default" w:ascii="楷体_GB2312" w:hAnsi="楷体_GB2312" w:eastAsia="楷体_GB2312" w:cs="楷体_GB2312"/>
                <w:color w:val="000000"/>
                <w:kern w:val="0"/>
                <w:szCs w:val="21"/>
                <w:highlight w:val="none"/>
                <w:lang w:val="en-US" w:eastAsia="zh-CN"/>
              </w:rPr>
            </w:pPr>
            <w:r>
              <w:rPr>
                <w:rFonts w:hint="eastAsia" w:ascii="楷体_GB2312" w:hAnsi="楷体_GB2312" w:eastAsia="楷体_GB2312" w:cs="楷体_GB2312"/>
                <w:color w:val="000000"/>
                <w:kern w:val="0"/>
                <w:szCs w:val="21"/>
                <w:highlight w:val="none"/>
                <w:lang w:val="en-US" w:eastAsia="zh-CN"/>
              </w:rPr>
              <w:t>周卓华</w:t>
            </w:r>
          </w:p>
        </w:tc>
        <w:tc>
          <w:tcPr>
            <w:tcW w:w="445" w:type="pct"/>
            <w:shd w:val="clear" w:color="auto" w:fill="auto"/>
            <w:vAlign w:val="center"/>
          </w:tcPr>
          <w:p w14:paraId="2AF5AB84">
            <w:pPr>
              <w:widowControl/>
              <w:spacing w:line="400" w:lineRule="exact"/>
              <w:jc w:val="center"/>
              <w:rPr>
                <w:rFonts w:hint="eastAsia" w:ascii="楷体_GB2312" w:hAnsi="楷体_GB2312" w:eastAsia="楷体_GB2312" w:cs="楷体_GB2312"/>
                <w:color w:val="000000"/>
                <w:kern w:val="0"/>
                <w:szCs w:val="21"/>
                <w:highlight w:val="none"/>
                <w:lang w:eastAsia="zh-CN"/>
              </w:rPr>
            </w:pPr>
            <w:r>
              <w:rPr>
                <w:rFonts w:hint="eastAsia" w:ascii="楷体_GB2312" w:hAnsi="楷体_GB2312" w:eastAsia="楷体_GB2312" w:cs="楷体_GB2312"/>
                <w:color w:val="000000"/>
                <w:kern w:val="0"/>
                <w:szCs w:val="21"/>
                <w:highlight w:val="none"/>
                <w:lang w:val="en-US" w:eastAsia="zh-CN"/>
              </w:rPr>
              <w:t>副董事长</w:t>
            </w:r>
          </w:p>
        </w:tc>
        <w:tc>
          <w:tcPr>
            <w:tcW w:w="806" w:type="pct"/>
            <w:shd w:val="clear" w:color="auto" w:fill="auto"/>
            <w:vAlign w:val="center"/>
          </w:tcPr>
          <w:p w14:paraId="2E701230">
            <w:pPr>
              <w:widowControl/>
              <w:spacing w:line="400" w:lineRule="exact"/>
              <w:jc w:val="center"/>
              <w:rPr>
                <w:rFonts w:hint="eastAsia" w:ascii="楷体_GB2312" w:hAnsi="楷体_GB2312" w:eastAsia="楷体_GB2312" w:cs="楷体_GB2312"/>
                <w:color w:val="000000"/>
                <w:kern w:val="0"/>
                <w:szCs w:val="21"/>
                <w:highlight w:val="none"/>
              </w:rPr>
            </w:pPr>
            <w:r>
              <w:rPr>
                <w:rFonts w:hint="eastAsia" w:ascii="楷体_GB2312" w:hAnsi="楷体_GB2312" w:eastAsia="楷体_GB2312" w:cs="楷体_GB2312"/>
                <w:color w:val="000000"/>
                <w:kern w:val="0"/>
                <w:szCs w:val="21"/>
                <w:highlight w:val="none"/>
                <w:lang w:val="en-US" w:eastAsia="zh-CN"/>
              </w:rPr>
              <w:t>0</w:t>
            </w:r>
            <w:r>
              <w:rPr>
                <w:rFonts w:hint="eastAsia" w:ascii="楷体_GB2312" w:hAnsi="楷体_GB2312" w:eastAsia="楷体_GB2312" w:cs="楷体_GB2312"/>
                <w:color w:val="000000"/>
                <w:kern w:val="0"/>
                <w:szCs w:val="21"/>
                <w:highlight w:val="none"/>
              </w:rPr>
              <w:t>0852</w:t>
            </w:r>
            <w:r>
              <w:rPr>
                <w:rFonts w:hint="default" w:ascii="楷体_GB2312" w:hAnsi="楷体_GB2312" w:eastAsia="楷体_GB2312" w:cs="楷体_GB2312"/>
                <w:color w:val="000000"/>
                <w:kern w:val="0"/>
                <w:szCs w:val="21"/>
                <w:highlight w:val="none"/>
                <w:lang w:val="en-US"/>
              </w:rPr>
              <w:t xml:space="preserve"> </w:t>
            </w:r>
            <w:r>
              <w:rPr>
                <w:rFonts w:hint="eastAsia" w:ascii="楷体_GB2312" w:hAnsi="楷体_GB2312" w:eastAsia="楷体_GB2312" w:cs="楷体_GB2312"/>
                <w:color w:val="000000"/>
                <w:kern w:val="0"/>
                <w:szCs w:val="21"/>
                <w:highlight w:val="none"/>
              </w:rPr>
              <w:t>822.5381</w:t>
            </w:r>
          </w:p>
        </w:tc>
        <w:tc>
          <w:tcPr>
            <w:tcW w:w="1491" w:type="pct"/>
            <w:shd w:val="clear" w:color="auto" w:fill="auto"/>
            <w:vAlign w:val="center"/>
          </w:tcPr>
          <w:p w14:paraId="684B286A">
            <w:pPr>
              <w:widowControl/>
              <w:spacing w:line="400" w:lineRule="exact"/>
              <w:jc w:val="center"/>
              <w:rPr>
                <w:rFonts w:hint="default" w:ascii="楷体_GB2312" w:hAnsi="楷体_GB2312" w:eastAsia="楷体_GB2312" w:cs="楷体_GB2312"/>
                <w:color w:val="000000"/>
                <w:kern w:val="0"/>
                <w:szCs w:val="21"/>
                <w:highlight w:val="none"/>
                <w:lang w:val="en-US" w:eastAsia="zh-CN"/>
              </w:rPr>
            </w:pPr>
            <w:r>
              <w:rPr>
                <w:rFonts w:hint="eastAsia" w:ascii="楷体_GB2312" w:hAnsi="楷体_GB2312" w:eastAsia="楷体_GB2312" w:cs="楷体_GB2312"/>
                <w:color w:val="000000"/>
                <w:kern w:val="0"/>
                <w:szCs w:val="21"/>
                <w:highlight w:val="none"/>
              </w:rPr>
              <w:t>工商档案中记载的户籍地址：</w:t>
            </w:r>
            <w:r>
              <w:rPr>
                <w:rFonts w:hint="eastAsia" w:ascii="楷体_GB2312" w:hAnsi="楷体_GB2312" w:eastAsia="楷体_GB2312" w:cs="楷体_GB2312"/>
                <w:color w:val="000000"/>
                <w:kern w:val="0"/>
                <w:szCs w:val="21"/>
                <w:highlight w:val="none"/>
                <w:lang w:val="en-US" w:eastAsia="zh-CN"/>
              </w:rPr>
              <w:t>香港九龙公爵街2号3楼C座</w:t>
            </w:r>
          </w:p>
        </w:tc>
        <w:tc>
          <w:tcPr>
            <w:tcW w:w="1667" w:type="pct"/>
            <w:vAlign w:val="center"/>
          </w:tcPr>
          <w:p w14:paraId="3996EC8E">
            <w:pPr>
              <w:widowControl/>
              <w:spacing w:line="400" w:lineRule="exact"/>
              <w:jc w:val="center"/>
              <w:rPr>
                <w:rFonts w:hint="default" w:ascii="楷体_GB2312" w:hAnsi="楷体_GB2312" w:eastAsia="楷体_GB2312" w:cs="楷体_GB2312"/>
                <w:color w:val="000000"/>
                <w:kern w:val="0"/>
                <w:szCs w:val="21"/>
                <w:highlight w:val="none"/>
                <w:lang w:val="en-US" w:eastAsia="zh-CN"/>
              </w:rPr>
            </w:pPr>
            <w:r>
              <w:rPr>
                <w:rFonts w:hint="eastAsia" w:ascii="楷体_GB2312" w:hAnsi="楷体_GB2312" w:eastAsia="楷体_GB2312" w:cs="楷体_GB2312"/>
                <w:color w:val="000000"/>
                <w:kern w:val="0"/>
                <w:szCs w:val="21"/>
                <w:highlight w:val="none"/>
                <w:lang w:val="en-US" w:eastAsia="zh-CN"/>
              </w:rPr>
              <w:t>经快递公司反馈，无法邮寄至中国大陆以外地区；且该电话无法拨通，暂未能与其取得有效联系。</w:t>
            </w:r>
          </w:p>
        </w:tc>
      </w:tr>
      <w:tr w14:paraId="1B8B5888">
        <w:trPr>
          <w:trHeight w:val="234" w:hRule="atLeast"/>
        </w:trPr>
        <w:tc>
          <w:tcPr>
            <w:tcW w:w="257" w:type="pct"/>
            <w:shd w:val="clear" w:color="auto" w:fill="auto"/>
            <w:vAlign w:val="center"/>
          </w:tcPr>
          <w:p w14:paraId="6A13B159">
            <w:pPr>
              <w:widowControl/>
              <w:spacing w:line="400" w:lineRule="exact"/>
              <w:jc w:val="center"/>
              <w:rPr>
                <w:rFonts w:hint="eastAsia" w:ascii="楷体_GB2312" w:hAnsi="楷体_GB2312" w:eastAsia="楷体_GB2312" w:cs="楷体_GB2312"/>
                <w:color w:val="000000"/>
                <w:kern w:val="0"/>
                <w:szCs w:val="21"/>
                <w:highlight w:val="none"/>
              </w:rPr>
            </w:pPr>
            <w:r>
              <w:rPr>
                <w:rFonts w:hint="eastAsia" w:ascii="楷体_GB2312" w:hAnsi="楷体_GB2312" w:eastAsia="楷体_GB2312" w:cs="楷体_GB2312"/>
                <w:color w:val="000000"/>
                <w:kern w:val="0"/>
                <w:szCs w:val="21"/>
                <w:highlight w:val="none"/>
              </w:rPr>
              <w:t>3</w:t>
            </w:r>
          </w:p>
        </w:tc>
        <w:tc>
          <w:tcPr>
            <w:tcW w:w="332" w:type="pct"/>
            <w:shd w:val="clear" w:color="auto" w:fill="auto"/>
            <w:vAlign w:val="center"/>
          </w:tcPr>
          <w:p w14:paraId="303343C1">
            <w:pPr>
              <w:widowControl/>
              <w:spacing w:line="400" w:lineRule="exact"/>
              <w:jc w:val="center"/>
              <w:rPr>
                <w:rFonts w:hint="default" w:ascii="楷体_GB2312" w:hAnsi="楷体_GB2312" w:eastAsia="楷体_GB2312" w:cs="楷体_GB2312"/>
                <w:color w:val="000000"/>
                <w:kern w:val="0"/>
                <w:szCs w:val="21"/>
                <w:highlight w:val="none"/>
                <w:lang w:val="en-US" w:eastAsia="zh-CN"/>
              </w:rPr>
            </w:pPr>
            <w:r>
              <w:rPr>
                <w:rFonts w:hint="eastAsia" w:ascii="楷体_GB2312" w:hAnsi="楷体_GB2312" w:eastAsia="楷体_GB2312" w:cs="楷体_GB2312"/>
                <w:color w:val="000000"/>
                <w:kern w:val="0"/>
                <w:szCs w:val="21"/>
                <w:highlight w:val="none"/>
                <w:lang w:val="en-US" w:eastAsia="zh-CN"/>
              </w:rPr>
              <w:t>廖嘉</w:t>
            </w:r>
          </w:p>
        </w:tc>
        <w:tc>
          <w:tcPr>
            <w:tcW w:w="445" w:type="pct"/>
            <w:shd w:val="clear" w:color="auto" w:fill="auto"/>
            <w:vAlign w:val="center"/>
          </w:tcPr>
          <w:p w14:paraId="150998BD">
            <w:pPr>
              <w:widowControl/>
              <w:spacing w:line="400" w:lineRule="exact"/>
              <w:jc w:val="center"/>
              <w:rPr>
                <w:rFonts w:hint="default" w:ascii="楷体_GB2312" w:hAnsi="楷体_GB2312" w:eastAsia="楷体_GB2312" w:cs="楷体_GB2312"/>
                <w:color w:val="000000"/>
                <w:kern w:val="0"/>
                <w:szCs w:val="21"/>
                <w:highlight w:val="none"/>
                <w:lang w:val="en-US" w:eastAsia="zh-CN"/>
              </w:rPr>
            </w:pPr>
            <w:r>
              <w:rPr>
                <w:rFonts w:hint="eastAsia" w:ascii="楷体_GB2312" w:hAnsi="楷体_GB2312" w:eastAsia="楷体_GB2312" w:cs="楷体_GB2312"/>
                <w:color w:val="000000"/>
                <w:kern w:val="0"/>
                <w:szCs w:val="21"/>
                <w:highlight w:val="none"/>
                <w:lang w:val="en-US" w:eastAsia="zh-CN"/>
              </w:rPr>
              <w:t>总经理</w:t>
            </w:r>
          </w:p>
        </w:tc>
        <w:tc>
          <w:tcPr>
            <w:tcW w:w="806" w:type="pct"/>
            <w:shd w:val="clear" w:color="auto" w:fill="auto"/>
            <w:vAlign w:val="center"/>
          </w:tcPr>
          <w:p w14:paraId="15C6EA2F">
            <w:pPr>
              <w:widowControl/>
              <w:spacing w:line="400" w:lineRule="exact"/>
              <w:jc w:val="center"/>
              <w:rPr>
                <w:rFonts w:hint="default" w:ascii="楷体_GB2312" w:hAnsi="楷体_GB2312" w:eastAsia="楷体_GB2312" w:cs="楷体_GB2312"/>
                <w:color w:val="000000"/>
                <w:kern w:val="0"/>
                <w:szCs w:val="21"/>
                <w:highlight w:val="none"/>
                <w:lang w:val="en-US" w:eastAsia="zh-CN"/>
              </w:rPr>
            </w:pPr>
            <w:r>
              <w:rPr>
                <w:rFonts w:hint="default" w:ascii="楷体_GB2312" w:hAnsi="楷体_GB2312" w:eastAsia="楷体_GB2312" w:cs="楷体_GB2312"/>
                <w:color w:val="000000"/>
                <w:kern w:val="0"/>
                <w:szCs w:val="21"/>
                <w:highlight w:val="none"/>
                <w:lang w:val="en-US" w:eastAsia="zh-CN"/>
              </w:rPr>
              <w:t>00852 522.2068</w:t>
            </w:r>
          </w:p>
        </w:tc>
        <w:tc>
          <w:tcPr>
            <w:tcW w:w="1491" w:type="pct"/>
            <w:shd w:val="clear" w:color="auto" w:fill="auto"/>
            <w:vAlign w:val="center"/>
          </w:tcPr>
          <w:p w14:paraId="44514B0C">
            <w:pPr>
              <w:widowControl/>
              <w:spacing w:line="400" w:lineRule="exact"/>
              <w:jc w:val="center"/>
              <w:rPr>
                <w:rFonts w:hint="default" w:ascii="楷体_GB2312" w:hAnsi="楷体_GB2312" w:eastAsia="楷体_GB2312" w:cs="楷体_GB2312"/>
                <w:color w:val="000000"/>
                <w:kern w:val="0"/>
                <w:szCs w:val="21"/>
                <w:highlight w:val="none"/>
                <w:lang w:val="en-US" w:eastAsia="zh-CN"/>
              </w:rPr>
            </w:pPr>
            <w:r>
              <w:rPr>
                <w:rFonts w:hint="eastAsia" w:ascii="楷体_GB2312" w:hAnsi="楷体_GB2312" w:eastAsia="楷体_GB2312" w:cs="楷体_GB2312"/>
                <w:color w:val="000000"/>
                <w:kern w:val="0"/>
                <w:szCs w:val="21"/>
                <w:highlight w:val="none"/>
              </w:rPr>
              <w:t>工商档案</w:t>
            </w:r>
            <w:r>
              <w:rPr>
                <w:rFonts w:hint="eastAsia" w:ascii="楷体_GB2312" w:hAnsi="楷体_GB2312" w:eastAsia="楷体_GB2312" w:cs="楷体_GB2312"/>
                <w:color w:val="000000"/>
                <w:kern w:val="0"/>
                <w:szCs w:val="21"/>
                <w:highlight w:val="none"/>
                <w:lang w:val="en-US" w:eastAsia="zh-CN"/>
              </w:rPr>
              <w:t>中</w:t>
            </w:r>
            <w:r>
              <w:rPr>
                <w:rFonts w:hint="eastAsia" w:ascii="楷体_GB2312" w:hAnsi="楷体_GB2312" w:eastAsia="楷体_GB2312" w:cs="楷体_GB2312"/>
                <w:color w:val="000000"/>
                <w:kern w:val="0"/>
                <w:szCs w:val="21"/>
                <w:highlight w:val="none"/>
              </w:rPr>
              <w:t>记载</w:t>
            </w:r>
            <w:r>
              <w:rPr>
                <w:rFonts w:hint="eastAsia" w:ascii="楷体_GB2312" w:hAnsi="楷体_GB2312" w:eastAsia="楷体_GB2312" w:cs="楷体_GB2312"/>
                <w:color w:val="000000"/>
                <w:kern w:val="0"/>
                <w:szCs w:val="21"/>
                <w:highlight w:val="none"/>
                <w:lang w:val="en-US" w:eastAsia="zh-CN"/>
              </w:rPr>
              <w:t>的</w:t>
            </w:r>
            <w:r>
              <w:rPr>
                <w:rFonts w:hint="eastAsia" w:ascii="楷体_GB2312" w:hAnsi="楷体_GB2312" w:eastAsia="楷体_GB2312" w:cs="楷体_GB2312"/>
                <w:color w:val="000000"/>
                <w:kern w:val="0"/>
                <w:szCs w:val="21"/>
                <w:highlight w:val="none"/>
              </w:rPr>
              <w:t>户籍地址</w:t>
            </w:r>
            <w:r>
              <w:rPr>
                <w:rFonts w:hint="eastAsia" w:ascii="楷体_GB2312" w:hAnsi="楷体_GB2312" w:eastAsia="楷体_GB2312" w:cs="楷体_GB2312"/>
                <w:color w:val="000000"/>
                <w:kern w:val="0"/>
                <w:szCs w:val="21"/>
                <w:highlight w:val="none"/>
                <w:lang w:eastAsia="zh-CN"/>
              </w:rPr>
              <w:t>：</w:t>
            </w:r>
            <w:r>
              <w:rPr>
                <w:rFonts w:hint="eastAsia" w:ascii="楷体_GB2312" w:hAnsi="楷体_GB2312" w:eastAsia="楷体_GB2312" w:cs="楷体_GB2312"/>
                <w:color w:val="000000"/>
                <w:kern w:val="0"/>
                <w:szCs w:val="21"/>
                <w:highlight w:val="none"/>
                <w:lang w:val="en-US" w:eastAsia="zh-CN"/>
              </w:rPr>
              <w:t>香港中环广场D2座1307</w:t>
            </w:r>
          </w:p>
        </w:tc>
        <w:tc>
          <w:tcPr>
            <w:tcW w:w="1667" w:type="pct"/>
            <w:vAlign w:val="center"/>
          </w:tcPr>
          <w:p w14:paraId="2ACFF055">
            <w:pPr>
              <w:widowControl/>
              <w:spacing w:line="400" w:lineRule="exact"/>
              <w:jc w:val="center"/>
              <w:rPr>
                <w:rFonts w:hint="eastAsia" w:ascii="楷体_GB2312" w:hAnsi="楷体_GB2312" w:eastAsia="楷体_GB2312" w:cs="楷体_GB2312"/>
                <w:color w:val="000000"/>
                <w:kern w:val="0"/>
                <w:szCs w:val="21"/>
                <w:highlight w:val="none"/>
              </w:rPr>
            </w:pPr>
            <w:r>
              <w:rPr>
                <w:rFonts w:hint="eastAsia" w:ascii="楷体_GB2312" w:hAnsi="楷体_GB2312" w:eastAsia="楷体_GB2312" w:cs="楷体_GB2312"/>
                <w:color w:val="000000"/>
                <w:kern w:val="0"/>
                <w:szCs w:val="21"/>
                <w:highlight w:val="none"/>
                <w:lang w:val="en-US" w:eastAsia="zh-CN"/>
              </w:rPr>
              <w:t>经快递公司反馈，无法邮寄至中国大陆以外地区；且该电话无法拨通，暂未能与其取得有效联系。</w:t>
            </w:r>
          </w:p>
        </w:tc>
      </w:tr>
      <w:tr w14:paraId="2A74AF8E">
        <w:trPr>
          <w:trHeight w:val="195" w:hRule="atLeast"/>
        </w:trPr>
        <w:tc>
          <w:tcPr>
            <w:tcW w:w="257" w:type="pct"/>
            <w:shd w:val="clear" w:color="auto" w:fill="auto"/>
            <w:vAlign w:val="center"/>
          </w:tcPr>
          <w:p w14:paraId="2C3EFB30">
            <w:pPr>
              <w:widowControl/>
              <w:spacing w:line="400" w:lineRule="exact"/>
              <w:jc w:val="center"/>
              <w:rPr>
                <w:rFonts w:hint="eastAsia" w:ascii="楷体_GB2312" w:hAnsi="楷体_GB2312" w:eastAsia="楷体_GB2312" w:cs="楷体_GB2312"/>
                <w:color w:val="000000"/>
                <w:kern w:val="0"/>
                <w:szCs w:val="21"/>
                <w:highlight w:val="none"/>
              </w:rPr>
            </w:pPr>
            <w:r>
              <w:rPr>
                <w:rFonts w:hint="eastAsia" w:ascii="楷体_GB2312" w:hAnsi="楷体_GB2312" w:eastAsia="楷体_GB2312" w:cs="楷体_GB2312"/>
                <w:color w:val="000000"/>
                <w:kern w:val="0"/>
                <w:szCs w:val="21"/>
                <w:highlight w:val="none"/>
              </w:rPr>
              <w:t>4</w:t>
            </w:r>
          </w:p>
        </w:tc>
        <w:tc>
          <w:tcPr>
            <w:tcW w:w="332" w:type="pct"/>
            <w:shd w:val="clear" w:color="auto" w:fill="auto"/>
            <w:vAlign w:val="center"/>
          </w:tcPr>
          <w:p w14:paraId="3F661323">
            <w:pPr>
              <w:widowControl/>
              <w:spacing w:line="400" w:lineRule="exact"/>
              <w:jc w:val="center"/>
              <w:rPr>
                <w:rFonts w:hint="default" w:ascii="楷体_GB2312" w:hAnsi="楷体_GB2312" w:eastAsia="楷体_GB2312" w:cs="楷体_GB2312"/>
                <w:color w:val="000000"/>
                <w:kern w:val="0"/>
                <w:szCs w:val="21"/>
                <w:highlight w:val="none"/>
                <w:lang w:val="en-US" w:eastAsia="zh-CN"/>
              </w:rPr>
            </w:pPr>
            <w:r>
              <w:rPr>
                <w:rFonts w:hint="eastAsia" w:ascii="楷体_GB2312" w:hAnsi="楷体_GB2312" w:eastAsia="楷体_GB2312" w:cs="楷体_GB2312"/>
                <w:color w:val="000000"/>
                <w:kern w:val="0"/>
                <w:szCs w:val="21"/>
                <w:highlight w:val="none"/>
                <w:lang w:val="en-US" w:eastAsia="zh-CN"/>
              </w:rPr>
              <w:t>王波</w:t>
            </w:r>
          </w:p>
        </w:tc>
        <w:tc>
          <w:tcPr>
            <w:tcW w:w="445" w:type="pct"/>
            <w:shd w:val="clear" w:color="auto" w:fill="auto"/>
            <w:vAlign w:val="center"/>
          </w:tcPr>
          <w:p w14:paraId="1D004BA9">
            <w:pPr>
              <w:widowControl/>
              <w:spacing w:line="400" w:lineRule="exact"/>
              <w:jc w:val="center"/>
              <w:rPr>
                <w:rFonts w:hint="eastAsia" w:ascii="楷体_GB2312" w:hAnsi="楷体_GB2312" w:eastAsia="楷体_GB2312" w:cs="楷体_GB2312"/>
                <w:color w:val="000000"/>
                <w:kern w:val="0"/>
                <w:szCs w:val="21"/>
                <w:highlight w:val="none"/>
                <w:lang w:eastAsia="zh-CN"/>
              </w:rPr>
            </w:pPr>
            <w:r>
              <w:rPr>
                <w:rFonts w:hint="eastAsia" w:ascii="楷体_GB2312" w:hAnsi="楷体_GB2312" w:eastAsia="楷体_GB2312" w:cs="楷体_GB2312"/>
                <w:color w:val="000000"/>
                <w:kern w:val="0"/>
                <w:szCs w:val="21"/>
                <w:highlight w:val="none"/>
                <w:lang w:val="en-US" w:eastAsia="zh-CN"/>
              </w:rPr>
              <w:t>副总经理</w:t>
            </w:r>
          </w:p>
        </w:tc>
        <w:tc>
          <w:tcPr>
            <w:tcW w:w="806" w:type="pct"/>
            <w:shd w:val="clear" w:color="auto" w:fill="auto"/>
            <w:vAlign w:val="center"/>
          </w:tcPr>
          <w:p w14:paraId="35A67B59">
            <w:pPr>
              <w:widowControl/>
              <w:spacing w:line="400" w:lineRule="exact"/>
              <w:jc w:val="center"/>
              <w:rPr>
                <w:rFonts w:hint="default" w:ascii="楷体_GB2312" w:hAnsi="楷体_GB2312" w:eastAsia="楷体_GB2312" w:cs="楷体_GB2312"/>
                <w:color w:val="000000"/>
                <w:kern w:val="0"/>
                <w:szCs w:val="21"/>
                <w:highlight w:val="none"/>
                <w:lang w:val="en-US"/>
              </w:rPr>
            </w:pPr>
            <w:r>
              <w:rPr>
                <w:rFonts w:hint="default" w:ascii="楷体_GB2312" w:hAnsi="楷体_GB2312" w:eastAsia="楷体_GB2312" w:cs="楷体_GB2312"/>
                <w:color w:val="000000"/>
                <w:kern w:val="0"/>
                <w:szCs w:val="21"/>
                <w:highlight w:val="none"/>
                <w:lang w:val="en-US"/>
              </w:rPr>
              <w:t>3264282</w:t>
            </w:r>
          </w:p>
        </w:tc>
        <w:tc>
          <w:tcPr>
            <w:tcW w:w="1491" w:type="pct"/>
            <w:shd w:val="clear" w:color="auto" w:fill="auto"/>
            <w:vAlign w:val="center"/>
          </w:tcPr>
          <w:p w14:paraId="16961ADD">
            <w:pPr>
              <w:widowControl/>
              <w:spacing w:line="400" w:lineRule="exact"/>
              <w:jc w:val="center"/>
              <w:rPr>
                <w:rFonts w:hint="eastAsia" w:ascii="楷体_GB2312" w:hAnsi="楷体_GB2312" w:eastAsia="楷体_GB2312" w:cs="楷体_GB2312"/>
                <w:color w:val="000000"/>
                <w:kern w:val="0"/>
                <w:szCs w:val="21"/>
                <w:highlight w:val="none"/>
                <w:lang w:eastAsia="zh-CN"/>
              </w:rPr>
            </w:pPr>
            <w:r>
              <w:rPr>
                <w:rFonts w:hint="eastAsia" w:ascii="楷体_GB2312" w:hAnsi="楷体_GB2312" w:eastAsia="楷体_GB2312" w:cs="楷体_GB2312"/>
                <w:color w:val="000000"/>
                <w:kern w:val="0"/>
                <w:szCs w:val="21"/>
                <w:highlight w:val="none"/>
              </w:rPr>
              <w:t>工商档案中记载</w:t>
            </w:r>
            <w:r>
              <w:rPr>
                <w:rFonts w:hint="eastAsia" w:ascii="楷体_GB2312" w:hAnsi="楷体_GB2312" w:eastAsia="楷体_GB2312" w:cs="楷体_GB2312"/>
                <w:color w:val="000000"/>
                <w:kern w:val="0"/>
                <w:szCs w:val="21"/>
                <w:highlight w:val="none"/>
                <w:lang w:val="en-US" w:eastAsia="zh-CN"/>
              </w:rPr>
              <w:t>的</w:t>
            </w:r>
            <w:r>
              <w:rPr>
                <w:rFonts w:hint="eastAsia" w:ascii="楷体_GB2312" w:hAnsi="楷体_GB2312" w:eastAsia="楷体_GB2312" w:cs="楷体_GB2312"/>
                <w:color w:val="000000"/>
                <w:kern w:val="0"/>
                <w:szCs w:val="21"/>
                <w:highlight w:val="none"/>
              </w:rPr>
              <w:t>户籍地址</w:t>
            </w:r>
            <w:r>
              <w:rPr>
                <w:rFonts w:hint="eastAsia" w:ascii="楷体_GB2312" w:hAnsi="楷体_GB2312" w:eastAsia="楷体_GB2312" w:cs="楷体_GB2312"/>
                <w:color w:val="000000"/>
                <w:kern w:val="0"/>
                <w:szCs w:val="21"/>
                <w:highlight w:val="none"/>
                <w:lang w:eastAsia="zh-CN"/>
              </w:rPr>
              <w:t>：</w:t>
            </w:r>
            <w:r>
              <w:rPr>
                <w:rFonts w:hint="eastAsia" w:ascii="楷体_GB2312" w:hAnsi="楷体_GB2312" w:eastAsia="楷体_GB2312" w:cs="楷体_GB2312"/>
                <w:color w:val="000000"/>
                <w:kern w:val="0"/>
                <w:szCs w:val="21"/>
                <w:highlight w:val="none"/>
                <w:lang w:val="en-US" w:eastAsia="zh-CN"/>
              </w:rPr>
              <w:t>北京市</w:t>
            </w:r>
            <w:r>
              <w:rPr>
                <w:rFonts w:hint="eastAsia" w:ascii="楷体_GB2312" w:hAnsi="楷体_GB2312" w:eastAsia="楷体_GB2312" w:cs="楷体_GB2312"/>
                <w:color w:val="000000"/>
                <w:kern w:val="0"/>
                <w:szCs w:val="21"/>
                <w:highlight w:val="none"/>
                <w:lang w:eastAsia="zh-CN"/>
              </w:rPr>
              <w:t>海淀区皇亭子电子部宿舍 4-17</w:t>
            </w:r>
          </w:p>
        </w:tc>
        <w:tc>
          <w:tcPr>
            <w:tcW w:w="1667" w:type="pct"/>
            <w:vAlign w:val="center"/>
          </w:tcPr>
          <w:p w14:paraId="18961BAF">
            <w:pPr>
              <w:widowControl/>
              <w:spacing w:line="400" w:lineRule="exact"/>
              <w:jc w:val="center"/>
              <w:rPr>
                <w:rFonts w:hint="eastAsia" w:ascii="楷体_GB2312" w:hAnsi="楷体_GB2312" w:eastAsia="楷体_GB2312" w:cs="楷体_GB2312"/>
                <w:color w:val="000000"/>
                <w:kern w:val="0"/>
                <w:szCs w:val="21"/>
                <w:highlight w:val="none"/>
              </w:rPr>
            </w:pPr>
            <w:r>
              <w:rPr>
                <w:rFonts w:hint="eastAsia" w:ascii="楷体_GB2312" w:hAnsi="楷体_GB2312" w:eastAsia="楷体_GB2312" w:cs="楷体_GB2312"/>
                <w:color w:val="000000"/>
                <w:kern w:val="0"/>
                <w:szCs w:val="21"/>
                <w:highlight w:val="none"/>
              </w:rPr>
              <w:t>未能</w:t>
            </w:r>
            <w:r>
              <w:rPr>
                <w:rFonts w:hint="eastAsia" w:ascii="楷体_GB2312" w:hAnsi="楷体_GB2312" w:eastAsia="楷体_GB2312" w:cs="楷体_GB2312"/>
                <w:color w:val="000000"/>
                <w:kern w:val="0"/>
                <w:szCs w:val="21"/>
                <w:highlight w:val="none"/>
                <w:lang w:val="en-US" w:eastAsia="zh-CN"/>
              </w:rPr>
              <w:t>成功</w:t>
            </w:r>
            <w:r>
              <w:rPr>
                <w:rFonts w:hint="eastAsia" w:ascii="楷体_GB2312" w:hAnsi="楷体_GB2312" w:eastAsia="楷体_GB2312" w:cs="楷体_GB2312"/>
                <w:color w:val="000000"/>
                <w:kern w:val="0"/>
                <w:szCs w:val="21"/>
                <w:highlight w:val="none"/>
              </w:rPr>
              <w:t>取得联系，</w:t>
            </w:r>
            <w:r>
              <w:rPr>
                <w:rFonts w:hint="eastAsia" w:ascii="楷体_GB2312" w:hAnsi="楷体_GB2312" w:eastAsia="楷体_GB2312" w:cs="楷体_GB2312"/>
                <w:color w:val="000000"/>
                <w:kern w:val="0"/>
                <w:szCs w:val="21"/>
                <w:highlight w:val="none"/>
                <w:lang w:val="en-US" w:eastAsia="zh-CN"/>
              </w:rPr>
              <w:t>清算组向其身份证所示住所地邮寄了债务人及相关人员义务通知书，该邮件已退回，暂未收到其他回复</w:t>
            </w:r>
            <w:r>
              <w:rPr>
                <w:rFonts w:hint="eastAsia" w:ascii="楷体_GB2312" w:hAnsi="楷体_GB2312" w:eastAsia="楷体_GB2312" w:cs="楷体_GB2312"/>
                <w:color w:val="000000"/>
                <w:kern w:val="0"/>
                <w:szCs w:val="21"/>
                <w:highlight w:val="none"/>
              </w:rPr>
              <w:t>。</w:t>
            </w:r>
          </w:p>
        </w:tc>
      </w:tr>
    </w:tbl>
    <w:p w14:paraId="14584C63">
      <w:pPr>
        <w:spacing w:line="400" w:lineRule="exact"/>
        <w:rPr>
          <w:rFonts w:hint="eastAsia" w:ascii="楷体_GB2312" w:hAnsi="楷体_GB2312" w:eastAsia="楷体_GB2312" w:cs="楷体_GB2312"/>
          <w:b/>
          <w:sz w:val="24"/>
          <w:szCs w:val="24"/>
          <w:highlight w:val="none"/>
        </w:rPr>
      </w:pPr>
      <w:r>
        <w:rPr>
          <w:rFonts w:hint="eastAsia" w:ascii="楷体_GB2312" w:hAnsi="楷体_GB2312" w:eastAsia="楷体_GB2312" w:cs="楷体_GB2312"/>
          <w:b/>
          <w:szCs w:val="21"/>
          <w:highlight w:val="none"/>
        </w:rPr>
        <w:br w:type="page"/>
      </w:r>
    </w:p>
    <w:p w14:paraId="2CDEE425">
      <w:pPr>
        <w:pStyle w:val="21"/>
        <w:spacing w:before="289" w:beforeLines="50" w:after="289" w:afterLines="50"/>
        <w:ind w:left="0" w:firstLine="0"/>
        <w:rPr>
          <w:rFonts w:hint="eastAsia" w:ascii="楷体_GB2312" w:hAnsi="楷体_GB2312" w:eastAsia="楷体_GB2312" w:cs="楷体_GB2312"/>
          <w:sz w:val="24"/>
          <w:szCs w:val="24"/>
          <w:highlight w:val="none"/>
        </w:rPr>
      </w:pPr>
      <w:r>
        <w:rPr>
          <w:rFonts w:hint="eastAsia" w:ascii="楷体_GB2312" w:hAnsi="楷体_GB2312" w:eastAsia="楷体_GB2312" w:cs="楷体_GB2312"/>
          <w:b/>
          <w:sz w:val="24"/>
          <w:szCs w:val="24"/>
          <w:highlight w:val="none"/>
          <w:lang w:eastAsia="zh-CN"/>
        </w:rPr>
        <w:t>附件2: 债务人注册地址实地走访照片</w:t>
      </w:r>
      <w:r>
        <w:rPr>
          <w:rFonts w:hint="eastAsia" w:ascii="楷体_GB2312" w:hAnsi="楷体_GB2312" w:eastAsia="楷体_GB2312" w:cs="楷体_GB2312"/>
          <w:sz w:val="24"/>
          <w:szCs w:val="24"/>
          <w:highlight w:val="none"/>
        </w:rPr>
        <w:drawing>
          <wp:inline distT="0" distB="0" distL="114300" distR="114300">
            <wp:extent cx="5598160" cy="4197350"/>
            <wp:effectExtent l="0" t="0" r="15240" b="19050"/>
            <wp:docPr id="6" name="图片 6" descr="微信图片_20251014133904_753_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51014133904_753_55"/>
                    <pic:cNvPicPr>
                      <a:picLocks noChangeAspect="1"/>
                    </pic:cNvPicPr>
                  </pic:nvPicPr>
                  <pic:blipFill>
                    <a:blip r:embed="rId8"/>
                    <a:stretch>
                      <a:fillRect/>
                    </a:stretch>
                  </pic:blipFill>
                  <pic:spPr>
                    <a:xfrm>
                      <a:off x="0" y="0"/>
                      <a:ext cx="5598160" cy="4197350"/>
                    </a:xfrm>
                    <a:prstGeom prst="rect">
                      <a:avLst/>
                    </a:prstGeom>
                  </pic:spPr>
                </pic:pic>
              </a:graphicData>
            </a:graphic>
          </wp:inline>
        </w:drawing>
      </w:r>
      <w:r>
        <w:rPr>
          <w:rFonts w:hint="eastAsia" w:ascii="楷体_GB2312" w:hAnsi="楷体_GB2312" w:eastAsia="楷体_GB2312" w:cs="楷体_GB2312"/>
          <w:sz w:val="24"/>
          <w:szCs w:val="24"/>
          <w:highlight w:val="none"/>
        </w:rPr>
        <w:drawing>
          <wp:inline distT="0" distB="0" distL="114300" distR="114300">
            <wp:extent cx="5598160" cy="4197350"/>
            <wp:effectExtent l="0" t="0" r="15240" b="19050"/>
            <wp:docPr id="5" name="图片 5" descr="微信图片_20251014133907_754_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51014133907_754_55"/>
                    <pic:cNvPicPr>
                      <a:picLocks noChangeAspect="1"/>
                    </pic:cNvPicPr>
                  </pic:nvPicPr>
                  <pic:blipFill>
                    <a:blip r:embed="rId9"/>
                    <a:stretch>
                      <a:fillRect/>
                    </a:stretch>
                  </pic:blipFill>
                  <pic:spPr>
                    <a:xfrm>
                      <a:off x="0" y="0"/>
                      <a:ext cx="5598160" cy="4197350"/>
                    </a:xfrm>
                    <a:prstGeom prst="rect">
                      <a:avLst/>
                    </a:prstGeom>
                  </pic:spPr>
                </pic:pic>
              </a:graphicData>
            </a:graphic>
          </wp:inline>
        </w:drawing>
      </w:r>
      <w:r>
        <w:rPr>
          <w:rFonts w:hint="eastAsia" w:ascii="楷体_GB2312" w:hAnsi="楷体_GB2312" w:eastAsia="楷体_GB2312" w:cs="楷体_GB2312"/>
          <w:sz w:val="24"/>
          <w:szCs w:val="24"/>
          <w:highlight w:val="none"/>
        </w:rPr>
        <w:drawing>
          <wp:inline distT="0" distB="0" distL="114300" distR="114300">
            <wp:extent cx="5608320" cy="7479030"/>
            <wp:effectExtent l="0" t="0" r="5080" b="13970"/>
            <wp:docPr id="4" name="图片 4" descr="微信图片_20251014133911_755_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51014133911_755_55"/>
                    <pic:cNvPicPr>
                      <a:picLocks noChangeAspect="1"/>
                    </pic:cNvPicPr>
                  </pic:nvPicPr>
                  <pic:blipFill>
                    <a:blip r:embed="rId10"/>
                    <a:stretch>
                      <a:fillRect/>
                    </a:stretch>
                  </pic:blipFill>
                  <pic:spPr>
                    <a:xfrm>
                      <a:off x="0" y="0"/>
                      <a:ext cx="5608320" cy="7479030"/>
                    </a:xfrm>
                    <a:prstGeom prst="rect">
                      <a:avLst/>
                    </a:prstGeom>
                  </pic:spPr>
                </pic:pic>
              </a:graphicData>
            </a:graphic>
          </wp:inline>
        </w:drawing>
      </w:r>
      <w:r>
        <w:rPr>
          <w:rFonts w:hint="eastAsia" w:ascii="楷体_GB2312" w:hAnsi="楷体_GB2312" w:eastAsia="楷体_GB2312" w:cs="楷体_GB2312"/>
          <w:sz w:val="24"/>
          <w:szCs w:val="24"/>
          <w:highlight w:val="none"/>
        </w:rPr>
        <w:drawing>
          <wp:inline distT="0" distB="0" distL="114300" distR="114300">
            <wp:extent cx="5608320" cy="7479030"/>
            <wp:effectExtent l="0" t="0" r="5080" b="13970"/>
            <wp:docPr id="3" name="图片 3" descr="微信图片_20251014133915_756_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51014133915_756_55"/>
                    <pic:cNvPicPr>
                      <a:picLocks noChangeAspect="1"/>
                    </pic:cNvPicPr>
                  </pic:nvPicPr>
                  <pic:blipFill>
                    <a:blip r:embed="rId11"/>
                    <a:stretch>
                      <a:fillRect/>
                    </a:stretch>
                  </pic:blipFill>
                  <pic:spPr>
                    <a:xfrm>
                      <a:off x="0" y="0"/>
                      <a:ext cx="5608320" cy="7479030"/>
                    </a:xfrm>
                    <a:prstGeom prst="rect">
                      <a:avLst/>
                    </a:prstGeom>
                  </pic:spPr>
                </pic:pic>
              </a:graphicData>
            </a:graphic>
          </wp:inline>
        </w:drawing>
      </w:r>
      <w:r>
        <w:rPr>
          <w:rFonts w:hint="eastAsia" w:ascii="楷体_GB2312" w:hAnsi="楷体_GB2312" w:eastAsia="楷体_GB2312" w:cs="楷体_GB2312"/>
          <w:sz w:val="24"/>
          <w:szCs w:val="24"/>
          <w:highlight w:val="none"/>
        </w:rPr>
        <w:drawing>
          <wp:inline distT="0" distB="0" distL="114300" distR="114300">
            <wp:extent cx="5608320" cy="7479030"/>
            <wp:effectExtent l="0" t="0" r="5080" b="13970"/>
            <wp:docPr id="2" name="图片 2" descr="微信图片_20251014133917_757_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51014133917_757_55"/>
                    <pic:cNvPicPr>
                      <a:picLocks noChangeAspect="1"/>
                    </pic:cNvPicPr>
                  </pic:nvPicPr>
                  <pic:blipFill>
                    <a:blip r:embed="rId12"/>
                    <a:stretch>
                      <a:fillRect/>
                    </a:stretch>
                  </pic:blipFill>
                  <pic:spPr>
                    <a:xfrm>
                      <a:off x="0" y="0"/>
                      <a:ext cx="5608320" cy="7479030"/>
                    </a:xfrm>
                    <a:prstGeom prst="rect">
                      <a:avLst/>
                    </a:prstGeom>
                  </pic:spPr>
                </pic:pic>
              </a:graphicData>
            </a:graphic>
          </wp:inline>
        </w:drawing>
      </w:r>
      <w:r>
        <w:rPr>
          <w:rFonts w:hint="eastAsia" w:ascii="楷体_GB2312" w:hAnsi="楷体_GB2312" w:eastAsia="楷体_GB2312" w:cs="楷体_GB2312"/>
          <w:sz w:val="24"/>
          <w:szCs w:val="24"/>
          <w:highlight w:val="none"/>
        </w:rPr>
        <w:drawing>
          <wp:inline distT="0" distB="0" distL="114300" distR="114300">
            <wp:extent cx="5598160" cy="4197350"/>
            <wp:effectExtent l="0" t="0" r="15240" b="19050"/>
            <wp:docPr id="1" name="图片 1" descr="微信图片_20251014133920_758_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1014133920_758_55"/>
                    <pic:cNvPicPr>
                      <a:picLocks noChangeAspect="1"/>
                    </pic:cNvPicPr>
                  </pic:nvPicPr>
                  <pic:blipFill>
                    <a:blip r:embed="rId13"/>
                    <a:stretch>
                      <a:fillRect/>
                    </a:stretch>
                  </pic:blipFill>
                  <pic:spPr>
                    <a:xfrm>
                      <a:off x="0" y="0"/>
                      <a:ext cx="5598160" cy="4197350"/>
                    </a:xfrm>
                    <a:prstGeom prst="rect">
                      <a:avLst/>
                    </a:prstGeom>
                  </pic:spPr>
                </pic:pic>
              </a:graphicData>
            </a:graphic>
          </wp:inline>
        </w:drawing>
      </w:r>
    </w:p>
    <w:sectPr>
      <w:pgSz w:w="11907" w:h="16839"/>
      <w:pgMar w:top="2041" w:right="1531" w:bottom="2041" w:left="1531" w:header="851" w:footer="992" w:gutter="0"/>
      <w:pgNumType w:fmt="numberInDash"/>
      <w:cols w:space="720" w:num="1"/>
      <w:docGrid w:type="linesAndChars" w:linePitch="579" w:charSpace="-8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Arial Bold">
    <w:panose1 w:val="020B0604020202090204"/>
    <w:charset w:val="00"/>
    <w:family w:val="auto"/>
    <w:pitch w:val="default"/>
    <w:sig w:usb0="E0000AFF" w:usb1="00007843" w:usb2="00000001" w:usb3="00000000" w:csb0="400001BF" w:csb1="DFF70000"/>
  </w:font>
  <w:font w:name="仿宋">
    <w:altName w:val="方正仿宋_GBK"/>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MS Gothic">
    <w:altName w:val="冬青黑体简体中文"/>
    <w:panose1 w:val="020B0609070205080204"/>
    <w:charset w:val="80"/>
    <w:family w:val="modern"/>
    <w:pitch w:val="default"/>
    <w:sig w:usb0="00000000" w:usb1="00000000" w:usb2="08000012" w:usb3="00000000" w:csb0="4002009F" w:csb1="DFD70000"/>
  </w:font>
  <w:font w:name="楷体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冬青黑体简体中文">
    <w:panose1 w:val="020B0300000000000000"/>
    <w:charset w:val="86"/>
    <w:family w:val="auto"/>
    <w:pitch w:val="default"/>
    <w:sig w:usb0="A00002BF" w:usb1="1ACF7CFA" w:usb2="00000016" w:usb3="00000000" w:csb0="00060007"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367E1">
    <w:pPr>
      <w:pStyle w:val="5"/>
      <w:framePr w:wrap="around" w:vAnchor="text" w:hAnchor="margin" w:xAlign="outside" w:y="1"/>
      <w:rPr>
        <w:rFonts w:hint="eastAsia" w:ascii="宋体" w:hAnsi="宋体" w:cs="宋体"/>
        <w:sz w:val="28"/>
        <w:szCs w:val="28"/>
      </w:rPr>
    </w:pPr>
    <w:r>
      <w:rPr>
        <w:rStyle w:val="12"/>
        <w:rFonts w:hint="eastAsia" w:ascii="宋体" w:hAnsi="宋体" w:cs="宋体"/>
        <w:sz w:val="28"/>
        <w:szCs w:val="28"/>
      </w:rPr>
      <w:fldChar w:fldCharType="begin"/>
    </w:r>
    <w:r>
      <w:rPr>
        <w:rStyle w:val="12"/>
        <w:rFonts w:hint="eastAsia" w:ascii="宋体" w:hAnsi="宋体" w:cs="宋体"/>
        <w:sz w:val="28"/>
        <w:szCs w:val="28"/>
      </w:rPr>
      <w:instrText xml:space="preserve"> PAGE  </w:instrText>
    </w:r>
    <w:r>
      <w:rPr>
        <w:rStyle w:val="12"/>
        <w:rFonts w:hint="eastAsia" w:ascii="宋体" w:hAnsi="宋体" w:cs="宋体"/>
        <w:sz w:val="28"/>
        <w:szCs w:val="28"/>
      </w:rPr>
      <w:fldChar w:fldCharType="separate"/>
    </w:r>
    <w:r>
      <w:rPr>
        <w:rStyle w:val="12"/>
        <w:rFonts w:hint="eastAsia" w:ascii="宋体" w:hAnsi="宋体" w:cs="宋体"/>
        <w:sz w:val="28"/>
        <w:szCs w:val="28"/>
      </w:rPr>
      <w:t>- 1 -</w:t>
    </w:r>
    <w:r>
      <w:rPr>
        <w:rStyle w:val="12"/>
        <w:rFonts w:hint="eastAsia" w:ascii="宋体" w:hAnsi="宋体" w:cs="宋体"/>
        <w:sz w:val="28"/>
        <w:szCs w:val="28"/>
      </w:rPr>
      <w:fldChar w:fldCharType="end"/>
    </w:r>
  </w:p>
  <w:p w14:paraId="67A21319">
    <w:pPr>
      <w:pStyle w:val="5"/>
      <w:ind w:right="420" w:rightChars="200" w:firstLine="360"/>
      <w:jc w:val="right"/>
      <w:rPr>
        <w:rFonts w:hint="eastAsia" w:ascii="宋体" w:hAnsi="宋体" w:cs="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EF7D60">
    <w:pPr>
      <w:pStyle w:val="5"/>
      <w:framePr w:wrap="around" w:vAnchor="text" w:hAnchor="margin" w:xAlign="outside" w:y="1"/>
      <w:rPr>
        <w:rFonts w:hint="eastAsia" w:ascii="宋体" w:hAnsi="宋体" w:cs="宋体"/>
        <w:sz w:val="28"/>
        <w:szCs w:val="28"/>
      </w:rPr>
    </w:pPr>
    <w:r>
      <w:rPr>
        <w:rStyle w:val="12"/>
        <w:rFonts w:hint="eastAsia" w:ascii="宋体" w:hAnsi="宋体" w:cs="宋体"/>
        <w:sz w:val="28"/>
        <w:szCs w:val="28"/>
      </w:rPr>
      <w:fldChar w:fldCharType="begin"/>
    </w:r>
    <w:r>
      <w:rPr>
        <w:rStyle w:val="12"/>
        <w:rFonts w:hint="eastAsia" w:ascii="宋体" w:hAnsi="宋体" w:cs="宋体"/>
        <w:sz w:val="28"/>
        <w:szCs w:val="28"/>
      </w:rPr>
      <w:instrText xml:space="preserve"> PAGE  </w:instrText>
    </w:r>
    <w:r>
      <w:rPr>
        <w:rStyle w:val="12"/>
        <w:rFonts w:hint="eastAsia" w:ascii="宋体" w:hAnsi="宋体" w:cs="宋体"/>
        <w:sz w:val="28"/>
        <w:szCs w:val="28"/>
      </w:rPr>
      <w:fldChar w:fldCharType="separate"/>
    </w:r>
    <w:r>
      <w:rPr>
        <w:rStyle w:val="12"/>
        <w:rFonts w:hint="eastAsia" w:ascii="宋体" w:hAnsi="宋体" w:cs="宋体"/>
        <w:sz w:val="28"/>
        <w:szCs w:val="28"/>
      </w:rPr>
      <w:t>- 2 -</w:t>
    </w:r>
    <w:r>
      <w:rPr>
        <w:rStyle w:val="12"/>
        <w:rFonts w:hint="eastAsia" w:ascii="宋体" w:hAnsi="宋体" w:cs="宋体"/>
        <w:sz w:val="28"/>
        <w:szCs w:val="28"/>
      </w:rPr>
      <w:fldChar w:fldCharType="end"/>
    </w:r>
  </w:p>
  <w:p w14:paraId="6C1DC783">
    <w:pPr>
      <w:pStyle w:val="5"/>
      <w:ind w:left="420" w:leftChars="200" w:right="360" w:firstLine="360"/>
      <w:rPr>
        <w:rFonts w:hint="eastAsia" w:ascii="宋体" w:hAnsi="宋体" w:cs="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C44BBB">
    <w:pPr>
      <w:pStyle w:val="6"/>
      <w:pBdr>
        <w:bottom w:val="single" w:color="auto" w:sz="4" w:space="1"/>
      </w:pBdr>
      <w:jc w:val="distribute"/>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太都国际强制清算案                           清算报告                                  2025年11月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AA8BD">
    <w:pPr>
      <w:pStyle w:val="6"/>
      <w:pBdr>
        <w:bottom w:val="none" w:color="auto" w:sz="0" w:space="0"/>
      </w:pBdr>
      <w:rPr>
        <w:rFonts w:cs="Calibr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F63391"/>
    <w:multiLevelType w:val="multilevel"/>
    <w:tmpl w:val="32F63391"/>
    <w:lvl w:ilvl="0" w:tentative="0">
      <w:start w:val="1"/>
      <w:numFmt w:val="upperRoman"/>
      <w:pStyle w:val="20"/>
      <w:lvlText w:val="%1"/>
      <w:lvlJc w:val="left"/>
      <w:pPr>
        <w:ind w:left="567" w:hanging="567"/>
      </w:pPr>
      <w:rPr>
        <w:rFonts w:hint="eastAsia" w:ascii="MS Gothic" w:hAnsi="MS Gothic" w:eastAsia="MS Gothic"/>
        <w:b w:val="0"/>
        <w:i w:val="0"/>
        <w:color w:val="auto"/>
        <w:sz w:val="24"/>
      </w:rPr>
    </w:lvl>
    <w:lvl w:ilvl="1" w:tentative="0">
      <w:start w:val="1"/>
      <w:numFmt w:val="decimal"/>
      <w:lvlText w:val="%2."/>
      <w:lvlJc w:val="left"/>
      <w:pPr>
        <w:ind w:left="652" w:hanging="452"/>
      </w:pPr>
      <w:rPr>
        <w:rFonts w:hint="eastAsia" w:ascii="MS Gothic" w:hAnsi="MS Gothic" w:eastAsia="MS Gothic"/>
        <w:b w:val="0"/>
        <w:i w:val="0"/>
        <w:color w:val="auto"/>
        <w:sz w:val="21"/>
      </w:rPr>
    </w:lvl>
    <w:lvl w:ilvl="2" w:tentative="0">
      <w:start w:val="1"/>
      <w:numFmt w:val="decimal"/>
      <w:lvlText w:val="(%3)"/>
      <w:lvlJc w:val="left"/>
      <w:pPr>
        <w:ind w:left="652" w:hanging="452"/>
      </w:pPr>
      <w:rPr>
        <w:rFonts w:hint="eastAsia" w:ascii="MS Gothic" w:hAnsi="MS Gothic" w:eastAsia="MS Gothic"/>
        <w:b w:val="0"/>
        <w:i w:val="0"/>
        <w:color w:val="auto"/>
        <w:sz w:val="21"/>
      </w:rPr>
    </w:lvl>
    <w:lvl w:ilvl="3" w:tentative="0">
      <w:start w:val="1"/>
      <w:numFmt w:val="lowerRoman"/>
      <w:lvlText w:val="(%4)"/>
      <w:lvlJc w:val="left"/>
      <w:pPr>
        <w:tabs>
          <w:tab w:val="left" w:pos="1134"/>
        </w:tabs>
        <w:ind w:left="856" w:hanging="456"/>
      </w:pPr>
      <w:rPr>
        <w:rFonts w:hint="eastAsia" w:ascii="MS Gothic" w:hAnsi="MS Gothic" w:eastAsia="MS Gothic"/>
        <w:b w:val="0"/>
        <w:i w:val="0"/>
        <w:color w:val="auto"/>
        <w:sz w:val="21"/>
      </w:rPr>
    </w:lvl>
    <w:lvl w:ilvl="4" w:tentative="0">
      <w:start w:val="1"/>
      <w:numFmt w:val="upperLetter"/>
      <w:lvlText w:val="%5."/>
      <w:lvlJc w:val="left"/>
      <w:pPr>
        <w:ind w:left="1055" w:hanging="455"/>
      </w:pPr>
      <w:rPr>
        <w:rFonts w:hint="eastAsia" w:ascii="MS Gothic" w:hAnsi="MS Gothic" w:eastAsia="MS Gothic"/>
        <w:b w:val="0"/>
        <w:i w:val="0"/>
        <w:color w:val="auto"/>
        <w:sz w:val="21"/>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8"/>
  <w:bordersDoNotSurroundHeader w:val="0"/>
  <w:bordersDoNotSurroundFooter w:val="0"/>
  <w:documentProtection w:enforcement="0"/>
  <w:defaultTabStop w:val="420"/>
  <w:drawingGridHorizontalSpacing w:val="103"/>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iY2RiNzUyYzkzYzZkOGI2NGFhMGQyZmQwZmRhZjQifQ=="/>
  </w:docVars>
  <w:rsids>
    <w:rsidRoot w:val="00136E36"/>
    <w:rsid w:val="00023936"/>
    <w:rsid w:val="00036B66"/>
    <w:rsid w:val="00067E99"/>
    <w:rsid w:val="00087277"/>
    <w:rsid w:val="00092666"/>
    <w:rsid w:val="00136E36"/>
    <w:rsid w:val="00171DFB"/>
    <w:rsid w:val="001A4FA2"/>
    <w:rsid w:val="001B1F12"/>
    <w:rsid w:val="001B6855"/>
    <w:rsid w:val="001E009B"/>
    <w:rsid w:val="00200F71"/>
    <w:rsid w:val="00217AA8"/>
    <w:rsid w:val="002272EB"/>
    <w:rsid w:val="00247976"/>
    <w:rsid w:val="00257514"/>
    <w:rsid w:val="00263BBD"/>
    <w:rsid w:val="00271735"/>
    <w:rsid w:val="002B1588"/>
    <w:rsid w:val="002E4BC8"/>
    <w:rsid w:val="002E6456"/>
    <w:rsid w:val="002F1BCC"/>
    <w:rsid w:val="00312537"/>
    <w:rsid w:val="0033406C"/>
    <w:rsid w:val="00395A87"/>
    <w:rsid w:val="003B56E6"/>
    <w:rsid w:val="003C672A"/>
    <w:rsid w:val="003D17FE"/>
    <w:rsid w:val="003E15FB"/>
    <w:rsid w:val="0044707A"/>
    <w:rsid w:val="00475711"/>
    <w:rsid w:val="00491F97"/>
    <w:rsid w:val="004A1E6D"/>
    <w:rsid w:val="004A2C98"/>
    <w:rsid w:val="004C5230"/>
    <w:rsid w:val="004F2B8B"/>
    <w:rsid w:val="0050652C"/>
    <w:rsid w:val="00516DAA"/>
    <w:rsid w:val="00556467"/>
    <w:rsid w:val="005B674D"/>
    <w:rsid w:val="005F026A"/>
    <w:rsid w:val="00663E49"/>
    <w:rsid w:val="00674109"/>
    <w:rsid w:val="00677A3D"/>
    <w:rsid w:val="00693423"/>
    <w:rsid w:val="006B3F7D"/>
    <w:rsid w:val="006D192E"/>
    <w:rsid w:val="006D4522"/>
    <w:rsid w:val="006E27A7"/>
    <w:rsid w:val="007840D8"/>
    <w:rsid w:val="00796F9C"/>
    <w:rsid w:val="007C4277"/>
    <w:rsid w:val="007F36D5"/>
    <w:rsid w:val="00893A65"/>
    <w:rsid w:val="008C1424"/>
    <w:rsid w:val="008F23C6"/>
    <w:rsid w:val="00912986"/>
    <w:rsid w:val="0094786F"/>
    <w:rsid w:val="00955152"/>
    <w:rsid w:val="00974C21"/>
    <w:rsid w:val="009769F6"/>
    <w:rsid w:val="00993EA2"/>
    <w:rsid w:val="009A6A5D"/>
    <w:rsid w:val="009C0F14"/>
    <w:rsid w:val="009D163A"/>
    <w:rsid w:val="009F56C3"/>
    <w:rsid w:val="00A251B2"/>
    <w:rsid w:val="00A26A81"/>
    <w:rsid w:val="00A8537C"/>
    <w:rsid w:val="00AF4476"/>
    <w:rsid w:val="00B2787D"/>
    <w:rsid w:val="00B4657D"/>
    <w:rsid w:val="00B57DC9"/>
    <w:rsid w:val="00B61E82"/>
    <w:rsid w:val="00B73921"/>
    <w:rsid w:val="00BB4505"/>
    <w:rsid w:val="00BD776A"/>
    <w:rsid w:val="00BE1F7B"/>
    <w:rsid w:val="00C348C5"/>
    <w:rsid w:val="00CC37DC"/>
    <w:rsid w:val="00CF09FE"/>
    <w:rsid w:val="00D06614"/>
    <w:rsid w:val="00D451C0"/>
    <w:rsid w:val="00D46608"/>
    <w:rsid w:val="00D93248"/>
    <w:rsid w:val="00DA4206"/>
    <w:rsid w:val="00DB4797"/>
    <w:rsid w:val="00E6298B"/>
    <w:rsid w:val="00E7516E"/>
    <w:rsid w:val="00EE7F01"/>
    <w:rsid w:val="00F04893"/>
    <w:rsid w:val="00F1447E"/>
    <w:rsid w:val="00F83923"/>
    <w:rsid w:val="00F95B5E"/>
    <w:rsid w:val="00FF3AA8"/>
    <w:rsid w:val="14A06F53"/>
    <w:rsid w:val="17755EEA"/>
    <w:rsid w:val="1AFEDDAA"/>
    <w:rsid w:val="1DF30976"/>
    <w:rsid w:val="1F154424"/>
    <w:rsid w:val="1FFCB95C"/>
    <w:rsid w:val="27F9C4AC"/>
    <w:rsid w:val="2C7387C7"/>
    <w:rsid w:val="2DF727D7"/>
    <w:rsid w:val="32502C54"/>
    <w:rsid w:val="33EC24AC"/>
    <w:rsid w:val="3ABE4A28"/>
    <w:rsid w:val="3B3D3014"/>
    <w:rsid w:val="3BEF2DC6"/>
    <w:rsid w:val="3D750D78"/>
    <w:rsid w:val="3FF7B000"/>
    <w:rsid w:val="3FF94DFB"/>
    <w:rsid w:val="4A7767B8"/>
    <w:rsid w:val="4D7B9E2F"/>
    <w:rsid w:val="5117649A"/>
    <w:rsid w:val="51EB0B2D"/>
    <w:rsid w:val="54C72889"/>
    <w:rsid w:val="57CB55BD"/>
    <w:rsid w:val="57FD5EC6"/>
    <w:rsid w:val="5B7C27B7"/>
    <w:rsid w:val="5D6D11D3"/>
    <w:rsid w:val="5ED5D9D1"/>
    <w:rsid w:val="5F7B62F4"/>
    <w:rsid w:val="61EE2C2E"/>
    <w:rsid w:val="66D70207"/>
    <w:rsid w:val="672F461A"/>
    <w:rsid w:val="69EA7142"/>
    <w:rsid w:val="6DBFD011"/>
    <w:rsid w:val="6DDF5B4E"/>
    <w:rsid w:val="6ECC8932"/>
    <w:rsid w:val="6FE76EF2"/>
    <w:rsid w:val="717A501D"/>
    <w:rsid w:val="73DF75CA"/>
    <w:rsid w:val="757DB439"/>
    <w:rsid w:val="75FCEC5D"/>
    <w:rsid w:val="75FEAD20"/>
    <w:rsid w:val="765C887F"/>
    <w:rsid w:val="77733FCC"/>
    <w:rsid w:val="77F0572C"/>
    <w:rsid w:val="79E9C571"/>
    <w:rsid w:val="79FFCC18"/>
    <w:rsid w:val="7ABE3E9D"/>
    <w:rsid w:val="7ABF4F9F"/>
    <w:rsid w:val="7ACE1ED7"/>
    <w:rsid w:val="7AEC43E9"/>
    <w:rsid w:val="7BFD24C0"/>
    <w:rsid w:val="7BFFFAC3"/>
    <w:rsid w:val="7CD5D492"/>
    <w:rsid w:val="7DDF0365"/>
    <w:rsid w:val="7DE5B956"/>
    <w:rsid w:val="7DFA65A7"/>
    <w:rsid w:val="7E6F0CBA"/>
    <w:rsid w:val="7E9FA843"/>
    <w:rsid w:val="7EF21FC2"/>
    <w:rsid w:val="7EFFD755"/>
    <w:rsid w:val="7FBA4BEC"/>
    <w:rsid w:val="7FDE83F6"/>
    <w:rsid w:val="7FDF926E"/>
    <w:rsid w:val="7FFC822E"/>
    <w:rsid w:val="7FFD2B6D"/>
    <w:rsid w:val="8BAAA0D7"/>
    <w:rsid w:val="9E3F282E"/>
    <w:rsid w:val="A9CB8AB9"/>
    <w:rsid w:val="AFF7D2C2"/>
    <w:rsid w:val="AFFF444B"/>
    <w:rsid w:val="B6DF86B0"/>
    <w:rsid w:val="BBD74127"/>
    <w:rsid w:val="BBFE2FD0"/>
    <w:rsid w:val="BBFF7E80"/>
    <w:rsid w:val="BCDD1CFF"/>
    <w:rsid w:val="BF9AE805"/>
    <w:rsid w:val="BFBA4EE2"/>
    <w:rsid w:val="BFDBFC3F"/>
    <w:rsid w:val="BFFB4994"/>
    <w:rsid w:val="BFFF40E1"/>
    <w:rsid w:val="C7FFA5AB"/>
    <w:rsid w:val="D735E838"/>
    <w:rsid w:val="DA2FC2EA"/>
    <w:rsid w:val="DAFFEE85"/>
    <w:rsid w:val="DBCCD6F3"/>
    <w:rsid w:val="DBDBC0CF"/>
    <w:rsid w:val="DC7AC88C"/>
    <w:rsid w:val="DCFF9F13"/>
    <w:rsid w:val="DDB775CD"/>
    <w:rsid w:val="DFBEC2CA"/>
    <w:rsid w:val="DFDB80BC"/>
    <w:rsid w:val="DFEF982E"/>
    <w:rsid w:val="EAFBCC4C"/>
    <w:rsid w:val="EBBE18D8"/>
    <w:rsid w:val="EFECBBA6"/>
    <w:rsid w:val="EFFFC495"/>
    <w:rsid w:val="F07F1451"/>
    <w:rsid w:val="F59F70D8"/>
    <w:rsid w:val="F77FCD56"/>
    <w:rsid w:val="F87A9007"/>
    <w:rsid w:val="FAEFFEEF"/>
    <w:rsid w:val="FBFF39F3"/>
    <w:rsid w:val="FC7BDB92"/>
    <w:rsid w:val="FCFD4C1C"/>
    <w:rsid w:val="FD930807"/>
    <w:rsid w:val="FDDE5C0D"/>
    <w:rsid w:val="FE756355"/>
    <w:rsid w:val="FEFB62FD"/>
    <w:rsid w:val="FFAF7DDD"/>
    <w:rsid w:val="FFBBA95E"/>
    <w:rsid w:val="FFBFDB79"/>
    <w:rsid w:val="FFD6817B"/>
    <w:rsid w:val="FFD8DFE8"/>
    <w:rsid w:val="FFEF979B"/>
    <w:rsid w:val="FFF7B725"/>
    <w:rsid w:val="FFFF25C7"/>
    <w:rsid w:val="FFFF2652"/>
    <w:rsid w:val="FFFF50F7"/>
    <w:rsid w:val="FFFF6193"/>
    <w:rsid w:val="FFFF8361"/>
    <w:rsid w:val="FFFFAE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24"/>
    <w:unhideWhenUsed/>
    <w:uiPriority w:val="99"/>
    <w:pPr>
      <w:jc w:val="left"/>
    </w:pPr>
  </w:style>
  <w:style w:type="paragraph" w:styleId="4">
    <w:name w:val="Body Text"/>
    <w:basedOn w:val="1"/>
    <w:next w:val="1"/>
    <w:qFormat/>
    <w:uiPriority w:val="1"/>
    <w:pPr>
      <w:autoSpaceDE w:val="0"/>
      <w:autoSpaceDN w:val="0"/>
      <w:spacing w:before="160"/>
      <w:ind w:left="300"/>
      <w:jc w:val="left"/>
    </w:pPr>
    <w:rPr>
      <w:rFonts w:ascii="仿宋" w:hAnsi="仿宋" w:eastAsia="仿宋" w:cs="仿宋"/>
      <w:sz w:val="28"/>
      <w:szCs w:val="28"/>
      <w:lang w:eastAsia="en-US"/>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unhideWhenUsed/>
    <w:qFormat/>
    <w:uiPriority w:val="99"/>
    <w:pPr>
      <w:snapToGrid w:val="0"/>
      <w:jc w:val="left"/>
    </w:pPr>
    <w:rPr>
      <w:rFonts w:ascii="Times New Roman" w:hAnsi="Times New Roman" w:eastAsia="仿宋"/>
      <w:szCs w:val="21"/>
    </w:rPr>
  </w:style>
  <w:style w:type="paragraph" w:styleId="8">
    <w:name w:val="annotation subject"/>
    <w:basedOn w:val="3"/>
    <w:next w:val="3"/>
    <w:link w:val="25"/>
    <w:semiHidden/>
    <w:unhideWhenUsed/>
    <w:uiPriority w:val="99"/>
    <w:rPr>
      <w:b/>
      <w:bCs/>
    </w:rPr>
  </w:style>
  <w:style w:type="table" w:styleId="10">
    <w:name w:val="Table Grid"/>
    <w:basedOn w:val="9"/>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unhideWhenUsed/>
    <w:qFormat/>
    <w:uiPriority w:val="99"/>
  </w:style>
  <w:style w:type="character" w:styleId="13">
    <w:name w:val="Hyperlink"/>
    <w:basedOn w:val="11"/>
    <w:semiHidden/>
    <w:unhideWhenUsed/>
    <w:uiPriority w:val="99"/>
    <w:rPr>
      <w:color w:val="0000FF"/>
      <w:u w:val="single"/>
    </w:rPr>
  </w:style>
  <w:style w:type="character" w:styleId="14">
    <w:name w:val="annotation reference"/>
    <w:basedOn w:val="11"/>
    <w:semiHidden/>
    <w:unhideWhenUsed/>
    <w:uiPriority w:val="99"/>
    <w:rPr>
      <w:sz w:val="21"/>
      <w:szCs w:val="21"/>
    </w:rPr>
  </w:style>
  <w:style w:type="character" w:styleId="15">
    <w:name w:val="footnote reference"/>
    <w:basedOn w:val="11"/>
    <w:unhideWhenUsed/>
    <w:qFormat/>
    <w:uiPriority w:val="99"/>
    <w:rPr>
      <w:vertAlign w:val="superscript"/>
    </w:rPr>
  </w:style>
  <w:style w:type="character" w:customStyle="1" w:styleId="16">
    <w:name w:val="页脚 字符"/>
    <w:basedOn w:val="11"/>
    <w:link w:val="5"/>
    <w:qFormat/>
    <w:uiPriority w:val="99"/>
    <w:rPr>
      <w:sz w:val="18"/>
      <w:szCs w:val="18"/>
    </w:rPr>
  </w:style>
  <w:style w:type="character" w:customStyle="1" w:styleId="17">
    <w:name w:val="页眉 字符"/>
    <w:basedOn w:val="11"/>
    <w:link w:val="6"/>
    <w:semiHidden/>
    <w:qFormat/>
    <w:uiPriority w:val="99"/>
    <w:rPr>
      <w:sz w:val="18"/>
      <w:szCs w:val="18"/>
    </w:rPr>
  </w:style>
  <w:style w:type="paragraph" w:styleId="18">
    <w:name w:val="No Spacing"/>
    <w:qFormat/>
    <w:uiPriority w:val="1"/>
    <w:pPr>
      <w:widowControl w:val="0"/>
      <w:spacing w:line="580" w:lineRule="exact"/>
      <w:ind w:right="253" w:rightChars="79" w:firstLine="477" w:firstLineChars="149"/>
      <w:jc w:val="right"/>
      <w:textAlignment w:val="baseline"/>
    </w:pPr>
    <w:rPr>
      <w:rFonts w:ascii="仿宋_GB2312" w:hAnsi="仿宋" w:eastAsia="仿宋_GB2312" w:cs="仿宋"/>
      <w:kern w:val="2"/>
      <w:sz w:val="32"/>
      <w:szCs w:val="32"/>
      <w:lang w:val="en-US" w:eastAsia="zh-CN" w:bidi="ar-SA"/>
    </w:rPr>
  </w:style>
  <w:style w:type="paragraph" w:customStyle="1" w:styleId="19">
    <w:name w:val="正文1"/>
    <w:basedOn w:val="4"/>
    <w:qFormat/>
    <w:uiPriority w:val="0"/>
    <w:pPr>
      <w:spacing w:after="360" w:line="320" w:lineRule="atLeast"/>
      <w:jc w:val="both"/>
    </w:pPr>
  </w:style>
  <w:style w:type="paragraph" w:customStyle="1" w:styleId="20">
    <w:name w:val="标题 11"/>
    <w:basedOn w:val="1"/>
    <w:next w:val="4"/>
    <w:qFormat/>
    <w:uiPriority w:val="0"/>
    <w:pPr>
      <w:keepNext/>
      <w:numPr>
        <w:ilvl w:val="0"/>
        <w:numId w:val="1"/>
      </w:numPr>
      <w:spacing w:after="360" w:line="320" w:lineRule="exact"/>
      <w:outlineLvl w:val="0"/>
    </w:pPr>
    <w:rPr>
      <w:rFonts w:ascii="Arial" w:hAnsi="Arial" w:eastAsia="楷体_GB2312"/>
      <w:b/>
      <w:kern w:val="0"/>
      <w:sz w:val="28"/>
      <w:szCs w:val="20"/>
    </w:rPr>
  </w:style>
  <w:style w:type="paragraph" w:styleId="21">
    <w:name w:val="List Paragraph"/>
    <w:basedOn w:val="1"/>
    <w:qFormat/>
    <w:uiPriority w:val="34"/>
    <w:pPr>
      <w:autoSpaceDE w:val="0"/>
      <w:autoSpaceDN w:val="0"/>
      <w:spacing w:before="167"/>
      <w:ind w:left="1140" w:hanging="279"/>
      <w:jc w:val="left"/>
    </w:pPr>
    <w:rPr>
      <w:rFonts w:ascii="仿宋" w:hAnsi="仿宋" w:eastAsia="仿宋" w:cs="仿宋"/>
      <w:sz w:val="22"/>
      <w:lang w:eastAsia="en-US"/>
    </w:rPr>
  </w:style>
  <w:style w:type="table" w:customStyle="1" w:styleId="22">
    <w:name w:val="网格表 2 - 着色 51"/>
    <w:basedOn w:val="9"/>
    <w:qFormat/>
    <w:uiPriority w:val="47"/>
    <w:tblPr>
      <w:tblBorders>
        <w:top w:val="single" w:color="92CDDC" w:sz="2" w:space="0"/>
        <w:bottom w:val="single" w:color="92CDDC" w:sz="2" w:space="0"/>
        <w:insideH w:val="single" w:color="92CDDC" w:sz="2" w:space="0"/>
        <w:insideV w:val="single" w:color="92CDDC" w:sz="2" w:space="0"/>
      </w:tblBorders>
    </w:tblPr>
    <w:tblStylePr w:type="firstRow">
      <w:rPr>
        <w:b/>
        <w:bCs/>
      </w:rPr>
      <w:tcPr>
        <w:tcBorders>
          <w:top w:val="nil"/>
          <w:left w:val="nil"/>
          <w:bottom w:val="single" w:color="92CDDC" w:sz="12" w:space="0"/>
          <w:right w:val="nil"/>
          <w:insideH w:val="nil"/>
          <w:insideV w:val="nil"/>
          <w:tl2br w:val="nil"/>
          <w:tr2bl w:val="nil"/>
        </w:tcBorders>
        <w:shd w:val="clear" w:color="auto" w:fill="FFFFFF"/>
      </w:tcPr>
    </w:tblStylePr>
    <w:tblStylePr w:type="lastRow">
      <w:rPr>
        <w:b/>
        <w:bCs/>
      </w:rPr>
      <w:tcPr>
        <w:tcBorders>
          <w:top w:val="double" w:color="92CDDC" w:sz="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cPr>
        <w:shd w:val="clear" w:color="auto" w:fill="DAEEF3"/>
      </w:tcPr>
    </w:tblStylePr>
    <w:tblStylePr w:type="band1Horz">
      <w:tcPr>
        <w:shd w:val="clear" w:color="auto" w:fill="DAEEF3"/>
      </w:tcPr>
    </w:tblStylePr>
  </w:style>
  <w:style w:type="paragraph" w:customStyle="1" w:styleId="23">
    <w:name w:val="Revision"/>
    <w:hidden/>
    <w:unhideWhenUsed/>
    <w:uiPriority w:val="99"/>
    <w:rPr>
      <w:rFonts w:ascii="Calibri" w:hAnsi="Calibri" w:eastAsia="宋体" w:cs="Times New Roman"/>
      <w:kern w:val="2"/>
      <w:sz w:val="21"/>
      <w:szCs w:val="22"/>
      <w:lang w:val="en-US" w:eastAsia="zh-CN" w:bidi="ar-SA"/>
    </w:rPr>
  </w:style>
  <w:style w:type="character" w:customStyle="1" w:styleId="24">
    <w:name w:val="批注文字 字符"/>
    <w:basedOn w:val="11"/>
    <w:link w:val="3"/>
    <w:uiPriority w:val="99"/>
    <w:rPr>
      <w:rFonts w:ascii="Calibri" w:hAnsi="Calibri"/>
      <w:kern w:val="2"/>
      <w:sz w:val="21"/>
      <w:szCs w:val="22"/>
    </w:rPr>
  </w:style>
  <w:style w:type="character" w:customStyle="1" w:styleId="25">
    <w:name w:val="批注主题 字符"/>
    <w:basedOn w:val="24"/>
    <w:link w:val="8"/>
    <w:semiHidden/>
    <w:uiPriority w:val="99"/>
    <w:rPr>
      <w:rFonts w:ascii="Calibri" w:hAnsi="Calibri"/>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20</Pages>
  <Words>1202</Words>
  <Characters>1285</Characters>
  <Lines>55</Lines>
  <Paragraphs>15</Paragraphs>
  <TotalTime>11</TotalTime>
  <ScaleCrop>false</ScaleCrop>
  <LinksUpToDate>false</LinksUpToDate>
  <CharactersWithSpaces>1299</CharactersWithSpaces>
  <Application>WPS Office_12.1.23540.23540_F1E327BC-269C-435d-A152-05C5408002CA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2020-12-30T09:41:00Z</dcterms:created>
  <dc:creator>lenovo</dc:creator>
  <cp:lastModifiedBy>wy</cp:lastModifiedBy>
  <cp:lastPrinted>2025-05-08T11:30:00Z</cp:lastPrinted>
  <dcterms:modified xsi:type="dcterms:W3CDTF">2025-11-18T11:05:20Z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2052-12.1.23540.23540</vt:lpwstr>
  </property>
  <property fmtid="{D5CDD505-2E9C-101B-9397-08002B2CF9AE}" pid="3" name="ICV">
    <vt:lpwstr>7811739A54105B4A64E21B6912704F8F_43</vt:lpwstr>
  </property>
  <property fmtid="{D5CDD505-2E9C-101B-9397-08002B2CF9AE}" pid="4" name="KSOTemplateDocerSaveRecord">
    <vt:lpwstr>eyJoZGlkIjoiY2IwYzY5ZDg5OGFkODE4NTMwMmUxOWMzYjQyNzAwNTIiLCJ1c2VySWQiOiIzOTY5NTQ1NzAifQ==</vt:lpwstr>
  </property>
</Properties>
</file>