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0033CD">
      <w:pPr>
        <w:jc w:val="center"/>
        <w:rPr>
          <w:rFonts w:ascii="华文仿宋" w:hAnsi="华文仿宋" w:eastAsia="华文仿宋"/>
          <w:b/>
          <w:sz w:val="32"/>
          <w:szCs w:val="32"/>
          <w:highlight w:val="none"/>
        </w:rPr>
      </w:pPr>
      <w:r>
        <w:rPr>
          <w:rFonts w:hint="eastAsia" w:ascii="华文仿宋" w:hAnsi="华文仿宋" w:eastAsia="华文仿宋"/>
          <w:b/>
          <w:sz w:val="32"/>
          <w:szCs w:val="32"/>
          <w:highlight w:val="none"/>
          <w:lang w:val="en-US" w:eastAsia="zh-CN"/>
        </w:rPr>
        <w:t>浙江博氢新能源</w:t>
      </w:r>
      <w:r>
        <w:rPr>
          <w:rFonts w:hint="eastAsia" w:ascii="华文仿宋" w:hAnsi="华文仿宋" w:eastAsia="华文仿宋"/>
          <w:b/>
          <w:sz w:val="32"/>
          <w:szCs w:val="32"/>
          <w:highlight w:val="none"/>
        </w:rPr>
        <w:t>有限公司预重整</w:t>
      </w:r>
    </w:p>
    <w:p w14:paraId="42CFF832">
      <w:pPr>
        <w:jc w:val="center"/>
        <w:rPr>
          <w:rFonts w:ascii="华文仿宋" w:hAnsi="华文仿宋" w:eastAsia="华文仿宋"/>
          <w:b/>
          <w:sz w:val="32"/>
          <w:szCs w:val="32"/>
          <w:highlight w:val="none"/>
        </w:rPr>
      </w:pPr>
      <w:r>
        <w:rPr>
          <w:rFonts w:hint="eastAsia" w:ascii="华文仿宋" w:hAnsi="华文仿宋" w:eastAsia="华文仿宋"/>
          <w:b/>
          <w:sz w:val="32"/>
          <w:szCs w:val="32"/>
          <w:highlight w:val="none"/>
        </w:rPr>
        <w:t>债权申报须知</w:t>
      </w:r>
    </w:p>
    <w:p w14:paraId="0FCCF321">
      <w:pPr>
        <w:spacing w:line="480" w:lineRule="exact"/>
        <w:ind w:firstLine="480" w:firstLineChars="200"/>
        <w:rPr>
          <w:rFonts w:ascii="华文仿宋" w:hAnsi="华文仿宋" w:eastAsia="华文仿宋" w:cs="华文仿宋"/>
          <w:color w:val="262626" w:themeColor="text1" w:themeTint="D9"/>
          <w:sz w:val="28"/>
          <w:szCs w:val="28"/>
          <w:highlight w:val="none"/>
          <w14:textFill>
            <w14:solidFill>
              <w14:schemeClr w14:val="tx1">
                <w14:lumMod w14:val="85000"/>
                <w14:lumOff w14:val="15000"/>
              </w14:schemeClr>
            </w14:solidFill>
          </w14:textFill>
        </w:rPr>
      </w:pPr>
      <w:r>
        <w:rPr>
          <w:rFonts w:hint="eastAsia" w:ascii="仿宋" w:hAnsi="仿宋" w:eastAsia="仿宋"/>
          <w:bCs/>
          <w:sz w:val="24"/>
          <w:highlight w:val="none"/>
        </w:rPr>
        <w:t>作为浙江博氢新能源有限公司的预重整管理人，依法负责该公司的债权登记、审查工作。根据预重整管理人的初步查阅，贵司／您有可能是该公司的债权人，为此现特就有关事项通知如下：</w:t>
      </w:r>
    </w:p>
    <w:p w14:paraId="3F715CE6">
      <w:pPr>
        <w:spacing w:line="520" w:lineRule="exact"/>
        <w:ind w:firstLine="482" w:firstLineChars="200"/>
        <w:rPr>
          <w:rFonts w:ascii="仿宋" w:hAnsi="仿宋" w:eastAsia="仿宋"/>
          <w:b/>
          <w:sz w:val="24"/>
          <w:highlight w:val="none"/>
        </w:rPr>
      </w:pPr>
      <w:r>
        <w:rPr>
          <w:rFonts w:ascii="仿宋" w:hAnsi="仿宋" w:eastAsia="仿宋"/>
          <w:b/>
          <w:sz w:val="24"/>
          <w:highlight w:val="none"/>
        </w:rPr>
        <w:t>一、</w:t>
      </w:r>
      <w:r>
        <w:rPr>
          <w:rFonts w:hint="eastAsia" w:ascii="仿宋" w:hAnsi="仿宋" w:eastAsia="仿宋"/>
          <w:b/>
          <w:sz w:val="24"/>
          <w:highlight w:val="none"/>
          <w:lang w:val="en-US" w:eastAsia="zh-CN"/>
        </w:rPr>
        <w:t>慈溪市人民法院于2025年11月12日作出（2025）浙0282破申63号《决定书》，决定对浙江博氢新能源有限公司进行预重整，并于同日出具《通知书》指定浙江中兴会计师事务所（特殊普通合伙）为浙江博氢新能源有限公司预重整管理人</w:t>
      </w:r>
      <w:r>
        <w:rPr>
          <w:rFonts w:hint="eastAsia" w:ascii="仿宋" w:hAnsi="仿宋" w:eastAsia="仿宋"/>
          <w:b/>
          <w:sz w:val="24"/>
          <w:highlight w:val="none"/>
        </w:rPr>
        <w:t>。</w:t>
      </w:r>
    </w:p>
    <w:p w14:paraId="2331C08B">
      <w:pPr>
        <w:spacing w:line="520" w:lineRule="exact"/>
        <w:ind w:firstLine="482" w:firstLineChars="200"/>
        <w:rPr>
          <w:rFonts w:ascii="仿宋" w:hAnsi="仿宋" w:eastAsia="仿宋"/>
          <w:b/>
          <w:sz w:val="24"/>
          <w:highlight w:val="none"/>
        </w:rPr>
      </w:pPr>
      <w:r>
        <w:rPr>
          <w:rFonts w:ascii="仿宋" w:hAnsi="仿宋" w:eastAsia="仿宋"/>
          <w:b/>
          <w:sz w:val="24"/>
          <w:highlight w:val="none"/>
        </w:rPr>
        <w:t>为保障债权人利益，</w:t>
      </w:r>
      <w:r>
        <w:rPr>
          <w:rFonts w:hint="eastAsia" w:ascii="仿宋" w:hAnsi="仿宋" w:eastAsia="仿宋"/>
          <w:b/>
          <w:sz w:val="24"/>
          <w:highlight w:val="none"/>
        </w:rPr>
        <w:t>浙江博氢新能源有限公司预重整的</w:t>
      </w:r>
      <w:r>
        <w:rPr>
          <w:rFonts w:hint="eastAsia" w:ascii="仿宋" w:hAnsi="仿宋" w:eastAsia="仿宋"/>
          <w:b/>
          <w:color w:val="auto"/>
          <w:sz w:val="24"/>
          <w:highlight w:val="none"/>
        </w:rPr>
        <w:t>债权人应自本通知发出之日起至2025年12月</w:t>
      </w:r>
      <w:r>
        <w:rPr>
          <w:rFonts w:hint="eastAsia" w:ascii="仿宋" w:hAnsi="仿宋" w:eastAsia="仿宋"/>
          <w:b/>
          <w:color w:val="auto"/>
          <w:sz w:val="24"/>
          <w:highlight w:val="none"/>
          <w:lang w:val="en-US" w:eastAsia="zh-CN"/>
        </w:rPr>
        <w:t>30</w:t>
      </w:r>
      <w:r>
        <w:rPr>
          <w:rFonts w:hint="eastAsia" w:ascii="仿宋" w:hAnsi="仿宋" w:eastAsia="仿宋"/>
          <w:b/>
          <w:color w:val="auto"/>
          <w:sz w:val="24"/>
          <w:highlight w:val="none"/>
        </w:rPr>
        <w:t>日</w:t>
      </w:r>
      <w:r>
        <w:rPr>
          <w:rFonts w:hint="eastAsia" w:ascii="仿宋" w:hAnsi="仿宋" w:eastAsia="仿宋"/>
          <w:b/>
          <w:color w:val="auto"/>
          <w:sz w:val="24"/>
          <w:highlight w:val="none"/>
          <w:lang w:val="en-US" w:eastAsia="zh-CN"/>
        </w:rPr>
        <w:t>止</w:t>
      </w:r>
      <w:r>
        <w:rPr>
          <w:rFonts w:ascii="仿宋" w:hAnsi="仿宋" w:eastAsia="仿宋"/>
          <w:b/>
          <w:color w:val="auto"/>
          <w:sz w:val="24"/>
          <w:highlight w:val="none"/>
        </w:rPr>
        <w:t>向管理人申报债权。</w:t>
      </w:r>
    </w:p>
    <w:p w14:paraId="46B45010">
      <w:pPr>
        <w:spacing w:line="520" w:lineRule="exact"/>
        <w:ind w:firstLine="482" w:firstLineChars="200"/>
        <w:rPr>
          <w:rFonts w:ascii="仿宋" w:hAnsi="仿宋" w:eastAsia="仿宋"/>
          <w:b/>
          <w:sz w:val="24"/>
          <w:highlight w:val="none"/>
        </w:rPr>
      </w:pPr>
      <w:r>
        <w:rPr>
          <w:rFonts w:hint="eastAsia" w:ascii="仿宋" w:hAnsi="仿宋" w:eastAsia="仿宋"/>
          <w:b/>
          <w:sz w:val="24"/>
          <w:highlight w:val="none"/>
        </w:rPr>
        <w:t>二、债权人在申报债权时应当注意以下几点：</w:t>
      </w:r>
    </w:p>
    <w:p w14:paraId="0E705F2A">
      <w:pPr>
        <w:spacing w:line="520" w:lineRule="exact"/>
        <w:ind w:firstLine="480" w:firstLineChars="200"/>
        <w:rPr>
          <w:rFonts w:ascii="仿宋" w:hAnsi="仿宋" w:eastAsia="仿宋"/>
          <w:bCs/>
          <w:sz w:val="24"/>
          <w:highlight w:val="none"/>
        </w:rPr>
      </w:pPr>
      <w:r>
        <w:rPr>
          <w:rFonts w:hint="eastAsia" w:ascii="仿宋" w:hAnsi="仿宋" w:eastAsia="仿宋"/>
          <w:bCs/>
          <w:sz w:val="24"/>
          <w:highlight w:val="none"/>
        </w:rPr>
        <w:t>1</w:t>
      </w:r>
      <w:r>
        <w:rPr>
          <w:rFonts w:ascii="仿宋" w:hAnsi="仿宋" w:eastAsia="仿宋"/>
          <w:bCs/>
          <w:sz w:val="24"/>
          <w:highlight w:val="none"/>
        </w:rPr>
        <w:t>.附利息的债权，</w:t>
      </w:r>
      <w:r>
        <w:rPr>
          <w:rFonts w:ascii="仿宋" w:hAnsi="仿宋" w:eastAsia="仿宋"/>
          <w:b/>
          <w:bCs w:val="0"/>
          <w:sz w:val="24"/>
          <w:highlight w:val="none"/>
        </w:rPr>
        <w:t>本次债权申报中,计息暂计至20</w:t>
      </w:r>
      <w:r>
        <w:rPr>
          <w:rFonts w:hint="eastAsia" w:ascii="仿宋" w:hAnsi="仿宋" w:eastAsia="仿宋"/>
          <w:b/>
          <w:bCs w:val="0"/>
          <w:sz w:val="24"/>
          <w:highlight w:val="none"/>
          <w:lang w:val="en-US" w:eastAsia="zh-CN"/>
        </w:rPr>
        <w:t>25</w:t>
      </w:r>
      <w:r>
        <w:rPr>
          <w:rFonts w:ascii="仿宋" w:hAnsi="仿宋" w:eastAsia="仿宋"/>
          <w:b/>
          <w:bCs w:val="0"/>
          <w:sz w:val="24"/>
          <w:highlight w:val="none"/>
        </w:rPr>
        <w:t>年</w:t>
      </w:r>
      <w:r>
        <w:rPr>
          <w:rFonts w:hint="eastAsia" w:ascii="仿宋" w:hAnsi="仿宋" w:eastAsia="仿宋"/>
          <w:b/>
          <w:bCs w:val="0"/>
          <w:sz w:val="24"/>
          <w:highlight w:val="none"/>
          <w:lang w:val="en-US" w:eastAsia="zh-CN"/>
        </w:rPr>
        <w:t>11</w:t>
      </w:r>
      <w:r>
        <w:rPr>
          <w:rFonts w:ascii="仿宋" w:hAnsi="仿宋" w:eastAsia="仿宋"/>
          <w:b/>
          <w:bCs w:val="0"/>
          <w:sz w:val="24"/>
          <w:highlight w:val="none"/>
        </w:rPr>
        <w:t>月1</w:t>
      </w:r>
      <w:r>
        <w:rPr>
          <w:rFonts w:hint="eastAsia" w:ascii="仿宋" w:hAnsi="仿宋" w:eastAsia="仿宋"/>
          <w:b/>
          <w:bCs w:val="0"/>
          <w:sz w:val="24"/>
          <w:highlight w:val="none"/>
          <w:lang w:val="en-US" w:eastAsia="zh-CN"/>
        </w:rPr>
        <w:t>2</w:t>
      </w:r>
      <w:r>
        <w:rPr>
          <w:rFonts w:ascii="仿宋" w:hAnsi="仿宋" w:eastAsia="仿宋"/>
          <w:b/>
          <w:bCs w:val="0"/>
          <w:sz w:val="24"/>
          <w:highlight w:val="none"/>
        </w:rPr>
        <w:t>日</w:t>
      </w:r>
      <w:r>
        <w:rPr>
          <w:rFonts w:hint="eastAsia" w:ascii="仿宋" w:hAnsi="仿宋" w:eastAsia="仿宋"/>
          <w:b/>
          <w:bCs w:val="0"/>
          <w:sz w:val="24"/>
          <w:highlight w:val="none"/>
        </w:rPr>
        <w:t>。若后续裁定进入重整程序，为便于预重整工作与后续重整程序中债权申报工作的衔接、减少重复申报债权的流程，债权人在预重整期间登记债权视为已申报的债权，管理人将根据确定的利息计算方式追加计算至法院正式裁定受理日。</w:t>
      </w:r>
    </w:p>
    <w:p w14:paraId="07FF9093">
      <w:pPr>
        <w:spacing w:line="520" w:lineRule="exact"/>
        <w:ind w:firstLine="480" w:firstLineChars="200"/>
        <w:rPr>
          <w:rFonts w:ascii="仿宋" w:hAnsi="仿宋" w:eastAsia="仿宋"/>
          <w:bCs/>
          <w:sz w:val="24"/>
          <w:highlight w:val="none"/>
        </w:rPr>
      </w:pPr>
      <w:r>
        <w:rPr>
          <w:rFonts w:hint="eastAsia" w:ascii="仿宋" w:hAnsi="仿宋" w:eastAsia="仿宋"/>
          <w:bCs/>
          <w:sz w:val="24"/>
          <w:highlight w:val="none"/>
        </w:rPr>
        <w:t>2</w:t>
      </w:r>
      <w:r>
        <w:rPr>
          <w:rFonts w:ascii="仿宋" w:hAnsi="仿宋" w:eastAsia="仿宋"/>
          <w:bCs/>
          <w:sz w:val="24"/>
          <w:highlight w:val="none"/>
        </w:rPr>
        <w:t>.未到期的债权，债权人可以申报，在</w:t>
      </w:r>
      <w:r>
        <w:rPr>
          <w:rFonts w:hint="eastAsia" w:ascii="仿宋" w:hAnsi="仿宋" w:eastAsia="仿宋"/>
          <w:bCs/>
          <w:sz w:val="24"/>
          <w:highlight w:val="none"/>
          <w:lang w:val="en-US" w:eastAsia="zh-CN"/>
        </w:rPr>
        <w:t>破产</w:t>
      </w:r>
      <w:r>
        <w:rPr>
          <w:rFonts w:ascii="仿宋" w:hAnsi="仿宋" w:eastAsia="仿宋"/>
          <w:bCs/>
          <w:sz w:val="24"/>
          <w:highlight w:val="none"/>
        </w:rPr>
        <w:t>申请受理时视为债权到期。</w:t>
      </w:r>
    </w:p>
    <w:p w14:paraId="725A015C">
      <w:pPr>
        <w:spacing w:line="520" w:lineRule="exact"/>
        <w:ind w:firstLine="480" w:firstLineChars="200"/>
        <w:rPr>
          <w:rFonts w:ascii="仿宋" w:hAnsi="仿宋" w:eastAsia="仿宋"/>
          <w:bCs/>
          <w:sz w:val="24"/>
          <w:highlight w:val="none"/>
        </w:rPr>
      </w:pPr>
      <w:r>
        <w:rPr>
          <w:rFonts w:ascii="仿宋" w:hAnsi="仿宋" w:eastAsia="仿宋"/>
          <w:bCs/>
          <w:sz w:val="24"/>
          <w:highlight w:val="none"/>
        </w:rPr>
        <w:t>3.附条件、附期限的债权和诉讼、仲裁未决的债权，债权人可以申报。</w:t>
      </w:r>
    </w:p>
    <w:p w14:paraId="01F31BD7">
      <w:pPr>
        <w:spacing w:line="520" w:lineRule="exact"/>
        <w:ind w:firstLine="480" w:firstLineChars="200"/>
        <w:rPr>
          <w:rFonts w:ascii="仿宋" w:hAnsi="仿宋" w:eastAsia="仿宋"/>
          <w:bCs/>
          <w:sz w:val="24"/>
          <w:highlight w:val="none"/>
        </w:rPr>
      </w:pPr>
      <w:r>
        <w:rPr>
          <w:rFonts w:ascii="仿宋" w:hAnsi="仿宋" w:eastAsia="仿宋"/>
          <w:bCs/>
          <w:sz w:val="24"/>
          <w:highlight w:val="none"/>
        </w:rPr>
        <w:t>4.债权人申报债权时，应当书面说明债权的数额和有无财产担保情况，并提交有关证据；申报的债权是连带债权的，应当说明。</w:t>
      </w:r>
    </w:p>
    <w:p w14:paraId="667FAC7E">
      <w:pPr>
        <w:spacing w:line="520" w:lineRule="exact"/>
        <w:ind w:firstLine="480" w:firstLineChars="200"/>
        <w:rPr>
          <w:rFonts w:ascii="仿宋" w:hAnsi="仿宋" w:eastAsia="仿宋"/>
          <w:bCs/>
          <w:sz w:val="24"/>
          <w:highlight w:val="none"/>
        </w:rPr>
      </w:pPr>
      <w:r>
        <w:rPr>
          <w:rFonts w:ascii="仿宋" w:hAnsi="仿宋" w:eastAsia="仿宋"/>
          <w:bCs/>
          <w:sz w:val="24"/>
          <w:highlight w:val="none"/>
        </w:rPr>
        <w:t>5.连带债权人可以由其中一人代表全体连带债权人申报债权，也可以共同申报债权。</w:t>
      </w:r>
    </w:p>
    <w:p w14:paraId="4B09501E">
      <w:pPr>
        <w:spacing w:line="520" w:lineRule="exact"/>
        <w:ind w:firstLine="480" w:firstLineChars="200"/>
        <w:rPr>
          <w:rFonts w:ascii="仿宋" w:hAnsi="仿宋" w:eastAsia="仿宋"/>
          <w:bCs/>
          <w:sz w:val="24"/>
          <w:highlight w:val="none"/>
        </w:rPr>
      </w:pPr>
      <w:r>
        <w:rPr>
          <w:rFonts w:ascii="仿宋" w:hAnsi="仿宋" w:eastAsia="仿宋"/>
          <w:bCs/>
          <w:sz w:val="24"/>
          <w:highlight w:val="none"/>
        </w:rPr>
        <w:t>6.债务人的保证人或者其他连带债务人已经代替债务人清偿债务的，可就其对债务人的求偿权申报债权。</w:t>
      </w:r>
    </w:p>
    <w:p w14:paraId="3F53606C">
      <w:pPr>
        <w:spacing w:line="520" w:lineRule="exact"/>
        <w:ind w:firstLine="480" w:firstLineChars="200"/>
        <w:rPr>
          <w:rFonts w:ascii="仿宋" w:hAnsi="仿宋" w:eastAsia="仿宋"/>
          <w:bCs/>
          <w:sz w:val="24"/>
          <w:highlight w:val="none"/>
        </w:rPr>
      </w:pPr>
      <w:r>
        <w:rPr>
          <w:rFonts w:ascii="仿宋" w:hAnsi="仿宋" w:eastAsia="仿宋"/>
          <w:bCs/>
          <w:sz w:val="24"/>
          <w:highlight w:val="none"/>
        </w:rPr>
        <w:t>7.债务人的保证人或者其他连带债务人尚未代替债务人清偿债务的，以其对债务人的将来求偿权申报债权，但债权人已经向管理人申报全部债权的除外。</w:t>
      </w:r>
    </w:p>
    <w:p w14:paraId="7CA6DAAF">
      <w:pPr>
        <w:spacing w:line="520" w:lineRule="exact"/>
        <w:ind w:firstLine="480" w:firstLineChars="200"/>
        <w:rPr>
          <w:rFonts w:ascii="仿宋" w:hAnsi="仿宋" w:eastAsia="仿宋"/>
          <w:bCs/>
          <w:sz w:val="24"/>
          <w:highlight w:val="none"/>
        </w:rPr>
      </w:pPr>
      <w:r>
        <w:rPr>
          <w:rFonts w:ascii="仿宋" w:hAnsi="仿宋" w:eastAsia="仿宋"/>
          <w:bCs/>
          <w:sz w:val="24"/>
          <w:highlight w:val="none"/>
        </w:rPr>
        <w:t>8.法律规定其他可以申报的债权，债权人可以申报。</w:t>
      </w:r>
    </w:p>
    <w:p w14:paraId="28206868">
      <w:pPr>
        <w:spacing w:line="520" w:lineRule="exact"/>
        <w:ind w:firstLine="482" w:firstLineChars="200"/>
        <w:rPr>
          <w:rFonts w:ascii="仿宋" w:hAnsi="仿宋" w:eastAsia="仿宋"/>
          <w:b/>
          <w:sz w:val="24"/>
          <w:highlight w:val="none"/>
        </w:rPr>
      </w:pPr>
      <w:r>
        <w:rPr>
          <w:rFonts w:ascii="仿宋" w:hAnsi="仿宋" w:eastAsia="仿宋"/>
          <w:b/>
          <w:sz w:val="24"/>
          <w:highlight w:val="none"/>
        </w:rPr>
        <w:t>三、</w:t>
      </w:r>
      <w:r>
        <w:rPr>
          <w:rFonts w:hint="eastAsia" w:ascii="仿宋" w:hAnsi="仿宋" w:eastAsia="仿宋"/>
          <w:b/>
          <w:sz w:val="24"/>
          <w:highlight w:val="none"/>
          <w:lang w:val="en-US" w:eastAsia="zh-CN"/>
        </w:rPr>
        <w:t>参照《</w:t>
      </w:r>
      <w:r>
        <w:rPr>
          <w:rFonts w:ascii="仿宋" w:hAnsi="仿宋" w:eastAsia="仿宋"/>
          <w:b/>
          <w:sz w:val="24"/>
          <w:highlight w:val="none"/>
        </w:rPr>
        <w:t>企业破产法》规定，未申报或逾期申报债权的法律后果主要包括：</w:t>
      </w:r>
    </w:p>
    <w:p w14:paraId="7E5228EE">
      <w:pPr>
        <w:spacing w:line="520" w:lineRule="exact"/>
        <w:ind w:firstLine="480" w:firstLineChars="200"/>
        <w:rPr>
          <w:rFonts w:ascii="仿宋" w:hAnsi="仿宋" w:eastAsia="仿宋"/>
          <w:bCs/>
          <w:sz w:val="24"/>
          <w:highlight w:val="none"/>
        </w:rPr>
      </w:pPr>
      <w:r>
        <w:rPr>
          <w:rFonts w:ascii="仿宋" w:hAnsi="仿宋" w:eastAsia="仿宋"/>
          <w:bCs/>
          <w:sz w:val="24"/>
          <w:highlight w:val="none"/>
        </w:rPr>
        <w:t>1.债权人未申报债权，不得参照《企业破产法》规定的程序行使权利。</w:t>
      </w:r>
    </w:p>
    <w:p w14:paraId="30F939C8">
      <w:pPr>
        <w:spacing w:line="520" w:lineRule="exact"/>
        <w:ind w:firstLine="480" w:firstLineChars="200"/>
        <w:rPr>
          <w:rFonts w:ascii="仿宋" w:hAnsi="仿宋" w:eastAsia="仿宋"/>
          <w:bCs/>
          <w:sz w:val="24"/>
          <w:highlight w:val="none"/>
        </w:rPr>
      </w:pPr>
      <w:r>
        <w:rPr>
          <w:rFonts w:ascii="仿宋" w:hAnsi="仿宋" w:eastAsia="仿宋"/>
          <w:bCs/>
          <w:sz w:val="24"/>
          <w:highlight w:val="none"/>
        </w:rPr>
        <w:t>2.债权人未按期申报，可以在预重整方案提交债权人会议前补充申报，或者在进入正式破产程序时申报，同时要承担为审查和确认补充申报债权所产生的费用。已分配的财产不对其补充分配，即在破产财产最后分配前补充申报，此前已进行的分配仍不再补充分配，且债权人还应该承担因审查、确认补充债权产生的相关费用。</w:t>
      </w:r>
    </w:p>
    <w:p w14:paraId="642A894B">
      <w:pPr>
        <w:spacing w:line="520" w:lineRule="exact"/>
        <w:ind w:firstLine="480" w:firstLineChars="200"/>
        <w:rPr>
          <w:rFonts w:ascii="仿宋" w:hAnsi="仿宋" w:eastAsia="仿宋"/>
          <w:bCs/>
          <w:sz w:val="24"/>
          <w:highlight w:val="none"/>
        </w:rPr>
      </w:pPr>
      <w:r>
        <w:rPr>
          <w:rFonts w:ascii="仿宋" w:hAnsi="仿宋" w:eastAsia="仿宋"/>
          <w:bCs/>
          <w:sz w:val="24"/>
          <w:highlight w:val="none"/>
        </w:rPr>
        <w:t>3.如债务人进入重整程序，债权人未按期申报债权，在重整计划执行期间债权人不得行使权利；在重整计划执行完毕后，债权人可以按照重整计划规定的同类债权的清偿条件行使权利。</w:t>
      </w:r>
    </w:p>
    <w:p w14:paraId="4EE1E1B4">
      <w:pPr>
        <w:spacing w:line="520" w:lineRule="exact"/>
        <w:ind w:firstLine="480" w:firstLineChars="200"/>
        <w:rPr>
          <w:rFonts w:ascii="仿宋" w:hAnsi="仿宋" w:eastAsia="仿宋"/>
          <w:bCs/>
          <w:sz w:val="24"/>
          <w:highlight w:val="none"/>
        </w:rPr>
      </w:pPr>
      <w:r>
        <w:rPr>
          <w:rFonts w:ascii="仿宋" w:hAnsi="仿宋" w:eastAsia="仿宋"/>
          <w:bCs/>
          <w:sz w:val="24"/>
          <w:highlight w:val="none"/>
        </w:rPr>
        <w:t>4.如债务人进入破产和解程序，债权人未按期申报债权，在和解协议计划执行期间债权人不得行使权利；债权人在和解协议执行完毕后，可以按照和解协议规定的清偿条件行使权利。</w:t>
      </w:r>
    </w:p>
    <w:p w14:paraId="4A9C9FF7">
      <w:pPr>
        <w:spacing w:line="520" w:lineRule="exact"/>
        <w:ind w:firstLine="482" w:firstLineChars="200"/>
        <w:rPr>
          <w:rFonts w:ascii="仿宋" w:hAnsi="仿宋" w:eastAsia="仿宋"/>
          <w:b/>
          <w:sz w:val="24"/>
          <w:highlight w:val="none"/>
        </w:rPr>
      </w:pPr>
      <w:r>
        <w:rPr>
          <w:rFonts w:ascii="仿宋" w:hAnsi="仿宋" w:eastAsia="仿宋"/>
          <w:b/>
          <w:sz w:val="24"/>
          <w:highlight w:val="none"/>
        </w:rPr>
        <w:t>四、申报人应当如实、详细填写《债权申报表》以及提供完整、真实有效的申报材料。申报债权应提供如下材料：</w:t>
      </w:r>
    </w:p>
    <w:p w14:paraId="75B19DF2">
      <w:pPr>
        <w:spacing w:line="520" w:lineRule="exact"/>
        <w:ind w:firstLine="480" w:firstLineChars="200"/>
        <w:rPr>
          <w:rFonts w:ascii="仿宋" w:hAnsi="仿宋" w:eastAsia="仿宋"/>
          <w:bCs/>
          <w:sz w:val="24"/>
          <w:highlight w:val="none"/>
        </w:rPr>
      </w:pPr>
      <w:r>
        <w:rPr>
          <w:rFonts w:ascii="仿宋" w:hAnsi="仿宋" w:eastAsia="仿宋"/>
          <w:bCs/>
          <w:sz w:val="24"/>
          <w:highlight w:val="none"/>
        </w:rPr>
        <w:t>1.债权申报登记表一式一份</w:t>
      </w:r>
    </w:p>
    <w:p w14:paraId="3A05373D">
      <w:pPr>
        <w:spacing w:line="520" w:lineRule="exact"/>
        <w:ind w:firstLine="480" w:firstLineChars="200"/>
        <w:rPr>
          <w:rFonts w:ascii="仿宋" w:hAnsi="仿宋" w:eastAsia="仿宋"/>
          <w:bCs/>
          <w:sz w:val="24"/>
          <w:highlight w:val="none"/>
        </w:rPr>
      </w:pPr>
      <w:r>
        <w:rPr>
          <w:rFonts w:ascii="仿宋" w:hAnsi="仿宋" w:eastAsia="仿宋"/>
          <w:bCs/>
          <w:sz w:val="24"/>
          <w:highlight w:val="none"/>
        </w:rPr>
        <w:t>原件（债权人盖章或签字），应填写相应内容</w:t>
      </w:r>
    </w:p>
    <w:p w14:paraId="7524EF68">
      <w:pPr>
        <w:spacing w:line="520" w:lineRule="exact"/>
        <w:ind w:firstLine="480" w:firstLineChars="200"/>
        <w:rPr>
          <w:rFonts w:ascii="仿宋" w:hAnsi="仿宋" w:eastAsia="仿宋"/>
          <w:bCs/>
          <w:sz w:val="24"/>
          <w:highlight w:val="none"/>
        </w:rPr>
      </w:pPr>
      <w:r>
        <w:rPr>
          <w:rFonts w:ascii="仿宋" w:hAnsi="仿宋" w:eastAsia="仿宋"/>
          <w:bCs/>
          <w:sz w:val="24"/>
          <w:highlight w:val="none"/>
        </w:rPr>
        <w:t>2.债权人送达地址</w:t>
      </w:r>
      <w:r>
        <w:rPr>
          <w:rFonts w:hint="eastAsia" w:ascii="仿宋" w:hAnsi="仿宋" w:eastAsia="仿宋"/>
          <w:bCs/>
          <w:sz w:val="24"/>
          <w:highlight w:val="none"/>
        </w:rPr>
        <w:t>及银行账户</w:t>
      </w:r>
      <w:r>
        <w:rPr>
          <w:rFonts w:ascii="仿宋" w:hAnsi="仿宋" w:eastAsia="仿宋"/>
          <w:bCs/>
          <w:sz w:val="24"/>
          <w:highlight w:val="none"/>
        </w:rPr>
        <w:t>确认书一式一份</w:t>
      </w:r>
    </w:p>
    <w:p w14:paraId="2501573A">
      <w:pPr>
        <w:spacing w:line="520" w:lineRule="exact"/>
        <w:ind w:firstLine="480" w:firstLineChars="200"/>
        <w:rPr>
          <w:rFonts w:ascii="仿宋" w:hAnsi="仿宋" w:eastAsia="仿宋"/>
          <w:bCs/>
          <w:sz w:val="24"/>
          <w:highlight w:val="none"/>
        </w:rPr>
      </w:pPr>
      <w:r>
        <w:rPr>
          <w:rFonts w:ascii="仿宋" w:hAnsi="仿宋" w:eastAsia="仿宋"/>
          <w:bCs/>
          <w:sz w:val="24"/>
          <w:highlight w:val="none"/>
        </w:rPr>
        <w:t>原件（债权人盖章或签字），应填写相应内容</w:t>
      </w:r>
    </w:p>
    <w:p w14:paraId="3F7C1C05">
      <w:pPr>
        <w:spacing w:line="520" w:lineRule="exact"/>
        <w:ind w:firstLine="480" w:firstLineChars="200"/>
        <w:rPr>
          <w:rFonts w:ascii="仿宋" w:hAnsi="仿宋" w:eastAsia="仿宋"/>
          <w:bCs/>
          <w:sz w:val="24"/>
          <w:highlight w:val="none"/>
        </w:rPr>
      </w:pPr>
      <w:r>
        <w:rPr>
          <w:rFonts w:ascii="仿宋" w:hAnsi="仿宋" w:eastAsia="仿宋"/>
          <w:bCs/>
          <w:sz w:val="24"/>
          <w:highlight w:val="none"/>
        </w:rPr>
        <w:t>3.债权申报文件清单一式一份</w:t>
      </w:r>
    </w:p>
    <w:p w14:paraId="174BBE64">
      <w:pPr>
        <w:spacing w:line="520" w:lineRule="exact"/>
        <w:ind w:firstLine="480" w:firstLineChars="200"/>
        <w:rPr>
          <w:rFonts w:ascii="仿宋" w:hAnsi="仿宋" w:eastAsia="仿宋"/>
          <w:bCs/>
          <w:sz w:val="24"/>
          <w:highlight w:val="none"/>
        </w:rPr>
      </w:pPr>
      <w:r>
        <w:rPr>
          <w:rFonts w:ascii="仿宋" w:hAnsi="仿宋" w:eastAsia="仿宋"/>
          <w:bCs/>
          <w:sz w:val="24"/>
          <w:highlight w:val="none"/>
        </w:rPr>
        <w:t>原件（债权人盖章或签字），应填写相应内容</w:t>
      </w:r>
    </w:p>
    <w:p w14:paraId="4FD3BC3F">
      <w:pPr>
        <w:spacing w:line="520" w:lineRule="exact"/>
        <w:ind w:firstLine="480" w:firstLineChars="200"/>
        <w:rPr>
          <w:rFonts w:ascii="仿宋" w:hAnsi="仿宋" w:eastAsia="仿宋"/>
          <w:bCs/>
          <w:sz w:val="24"/>
          <w:highlight w:val="none"/>
        </w:rPr>
      </w:pPr>
      <w:r>
        <w:rPr>
          <w:rFonts w:ascii="仿宋" w:hAnsi="仿宋" w:eastAsia="仿宋"/>
          <w:bCs/>
          <w:sz w:val="24"/>
          <w:highlight w:val="none"/>
        </w:rPr>
        <w:t>4.债权申报人主体资格的材料一式一份</w:t>
      </w:r>
    </w:p>
    <w:p w14:paraId="08E9A664">
      <w:pPr>
        <w:spacing w:line="520" w:lineRule="exact"/>
        <w:ind w:firstLine="480" w:firstLineChars="200"/>
        <w:rPr>
          <w:rFonts w:ascii="仿宋" w:hAnsi="仿宋" w:eastAsia="仿宋"/>
          <w:bCs/>
          <w:sz w:val="24"/>
          <w:highlight w:val="none"/>
        </w:rPr>
      </w:pPr>
      <w:r>
        <w:rPr>
          <w:rFonts w:ascii="仿宋" w:hAnsi="仿宋" w:eastAsia="仿宋"/>
          <w:bCs/>
          <w:sz w:val="24"/>
          <w:highlight w:val="none"/>
        </w:rPr>
        <w:t>（1）自然人债权人须提交的材料</w:t>
      </w:r>
    </w:p>
    <w:p w14:paraId="06A0F438">
      <w:pPr>
        <w:spacing w:line="520" w:lineRule="exact"/>
        <w:ind w:firstLine="480" w:firstLineChars="200"/>
        <w:rPr>
          <w:rFonts w:ascii="仿宋" w:hAnsi="仿宋" w:eastAsia="仿宋"/>
          <w:bCs/>
          <w:sz w:val="24"/>
          <w:highlight w:val="none"/>
        </w:rPr>
      </w:pPr>
      <w:r>
        <w:rPr>
          <w:rFonts w:ascii="仿宋" w:hAnsi="仿宋" w:eastAsia="仿宋"/>
          <w:bCs/>
          <w:color w:val="auto"/>
          <w:sz w:val="24"/>
          <w:highlight w:val="none"/>
        </w:rPr>
        <w:t>身份证复印件（签字确认）；如</w:t>
      </w:r>
      <w:r>
        <w:rPr>
          <w:rFonts w:ascii="仿宋" w:hAnsi="仿宋" w:eastAsia="仿宋"/>
          <w:bCs/>
          <w:sz w:val="24"/>
          <w:highlight w:val="none"/>
        </w:rPr>
        <w:t>委托代理人申报的，应提交特别授权委托书原件</w:t>
      </w:r>
      <w:r>
        <w:rPr>
          <w:rFonts w:ascii="仿宋" w:hAnsi="仿宋" w:eastAsia="仿宋"/>
          <w:bCs/>
          <w:color w:val="auto"/>
          <w:sz w:val="24"/>
          <w:highlight w:val="none"/>
        </w:rPr>
        <w:t>，代理人身份证复印件（签字确认）。</w:t>
      </w:r>
      <w:r>
        <w:rPr>
          <w:rFonts w:ascii="仿宋" w:hAnsi="仿宋" w:eastAsia="仿宋"/>
          <w:bCs/>
          <w:sz w:val="24"/>
          <w:highlight w:val="none"/>
        </w:rPr>
        <w:t>如委托代理人是律师的，应提交律师执业证复印件和律师事务所公函。</w:t>
      </w:r>
    </w:p>
    <w:p w14:paraId="67C5AA0F">
      <w:pPr>
        <w:spacing w:line="520" w:lineRule="exact"/>
        <w:ind w:firstLine="480" w:firstLineChars="200"/>
        <w:rPr>
          <w:rFonts w:ascii="仿宋" w:hAnsi="仿宋" w:eastAsia="仿宋"/>
          <w:bCs/>
          <w:sz w:val="24"/>
          <w:highlight w:val="none"/>
        </w:rPr>
      </w:pPr>
      <w:r>
        <w:rPr>
          <w:rFonts w:hint="eastAsia" w:ascii="仿宋" w:hAnsi="仿宋" w:eastAsia="仿宋"/>
          <w:bCs/>
          <w:sz w:val="24"/>
          <w:highlight w:val="none"/>
        </w:rPr>
        <w:t>（2）</w:t>
      </w:r>
      <w:r>
        <w:rPr>
          <w:rFonts w:ascii="仿宋" w:hAnsi="仿宋" w:eastAsia="仿宋"/>
          <w:bCs/>
          <w:sz w:val="24"/>
          <w:highlight w:val="none"/>
        </w:rPr>
        <w:t>非自然人(包括法人、其他组织等)债权人须提交的材料：</w:t>
      </w:r>
    </w:p>
    <w:p w14:paraId="2519F79D">
      <w:pPr>
        <w:spacing w:line="520" w:lineRule="exact"/>
        <w:ind w:firstLine="480" w:firstLineChars="200"/>
        <w:rPr>
          <w:rFonts w:ascii="仿宋" w:hAnsi="仿宋" w:eastAsia="仿宋"/>
          <w:bCs/>
          <w:sz w:val="24"/>
          <w:highlight w:val="none"/>
        </w:rPr>
      </w:pPr>
      <w:r>
        <w:rPr>
          <w:rFonts w:ascii="仿宋" w:hAnsi="仿宋" w:eastAsia="仿宋"/>
          <w:bCs/>
          <w:sz w:val="24"/>
          <w:highlight w:val="none"/>
        </w:rPr>
        <w:t>已年检的营业执照复印件（需加盖公章），法定代表人或负责人身份证明书原件，法定代表人身份证复印件；如委托代理人申报的，应提交特别授权委托书原件，</w:t>
      </w:r>
      <w:bookmarkStart w:id="0" w:name="_GoBack"/>
      <w:r>
        <w:rPr>
          <w:rFonts w:ascii="仿宋" w:hAnsi="仿宋" w:eastAsia="仿宋"/>
          <w:bCs/>
          <w:color w:val="auto"/>
          <w:sz w:val="24"/>
          <w:highlight w:val="none"/>
        </w:rPr>
        <w:t>代理人复印件（签字确认）。如</w:t>
      </w:r>
      <w:bookmarkEnd w:id="0"/>
      <w:r>
        <w:rPr>
          <w:rFonts w:ascii="仿宋" w:hAnsi="仿宋" w:eastAsia="仿宋"/>
          <w:bCs/>
          <w:sz w:val="24"/>
          <w:highlight w:val="none"/>
        </w:rPr>
        <w:t>委托代理人是律师的，应提交律师执业证及复印件和律师事务所公函。</w:t>
      </w:r>
    </w:p>
    <w:p w14:paraId="703D06AB">
      <w:pPr>
        <w:spacing w:line="520" w:lineRule="exact"/>
        <w:ind w:firstLine="480" w:firstLineChars="200"/>
        <w:rPr>
          <w:rFonts w:ascii="仿宋" w:hAnsi="仿宋" w:eastAsia="仿宋"/>
          <w:bCs/>
          <w:sz w:val="24"/>
          <w:highlight w:val="none"/>
        </w:rPr>
      </w:pPr>
      <w:r>
        <w:rPr>
          <w:rFonts w:ascii="仿宋" w:hAnsi="仿宋" w:eastAsia="仿宋"/>
          <w:bCs/>
          <w:sz w:val="24"/>
          <w:highlight w:val="none"/>
        </w:rPr>
        <w:t>5.证明债权事实的相关证据材料一式一份</w:t>
      </w:r>
    </w:p>
    <w:p w14:paraId="7035B6A5">
      <w:pPr>
        <w:spacing w:line="520" w:lineRule="exact"/>
        <w:ind w:firstLine="480" w:firstLineChars="200"/>
        <w:rPr>
          <w:rFonts w:ascii="仿宋" w:hAnsi="仿宋" w:eastAsia="仿宋"/>
          <w:bCs/>
          <w:sz w:val="24"/>
          <w:highlight w:val="none"/>
        </w:rPr>
      </w:pPr>
      <w:r>
        <w:rPr>
          <w:rFonts w:ascii="仿宋" w:hAnsi="仿宋" w:eastAsia="仿宋"/>
          <w:bCs/>
          <w:sz w:val="24"/>
          <w:highlight w:val="none"/>
        </w:rPr>
        <w:t>提交的申报债权证据应提交原件（原件核对后归还）一份、复印件一份（签章确认）。务必携带债权申报证据原件以便与管理人核对，债权人未能在管理人确定的时间内提供证据原件核对的，债权人承担由此引起的不利后果。审核债权过程中，管理人如再行要求审核证据原件的，申报人应根据管理人的要求提交证据原件；申报债权的证据包括：合同、协议、收款付款凭证、收货单、对账单、结算单、欠条等各类资料。申报债权的证据材料的复印件(如合同、协议、往来帐及相关凭证、收款或付款凭证、判决书、调解书、裁定书、孳息或违约金计算说明等书面材料)并加盖公章，申报时随带上述材料原件供管理人审核。申报依据为法院裁判文书的，须提供法院裁判文书生效证明。如已经进入执行程序，还须提供执行情况说明。</w:t>
      </w:r>
    </w:p>
    <w:p w14:paraId="57ACC0C4">
      <w:pPr>
        <w:spacing w:line="520" w:lineRule="exact"/>
        <w:ind w:firstLine="482" w:firstLineChars="200"/>
        <w:rPr>
          <w:rFonts w:ascii="仿宋" w:hAnsi="仿宋" w:eastAsia="仿宋"/>
          <w:b/>
          <w:sz w:val="24"/>
          <w:highlight w:val="none"/>
        </w:rPr>
      </w:pPr>
      <w:r>
        <w:rPr>
          <w:rFonts w:ascii="仿宋" w:hAnsi="仿宋" w:eastAsia="仿宋"/>
          <w:b/>
          <w:sz w:val="24"/>
          <w:highlight w:val="none"/>
        </w:rPr>
        <w:t>五、填写表格需注意的问题</w:t>
      </w:r>
    </w:p>
    <w:p w14:paraId="196BFD8A">
      <w:pPr>
        <w:spacing w:line="520" w:lineRule="exact"/>
        <w:ind w:firstLine="480" w:firstLineChars="200"/>
        <w:rPr>
          <w:rFonts w:ascii="仿宋" w:hAnsi="仿宋" w:eastAsia="仿宋"/>
          <w:bCs/>
          <w:sz w:val="24"/>
          <w:highlight w:val="none"/>
        </w:rPr>
      </w:pPr>
      <w:r>
        <w:rPr>
          <w:rFonts w:hint="eastAsia" w:ascii="仿宋" w:hAnsi="仿宋" w:eastAsia="仿宋"/>
          <w:bCs/>
          <w:sz w:val="24"/>
          <w:highlight w:val="none"/>
        </w:rPr>
        <w:t>（1）</w:t>
      </w:r>
      <w:r>
        <w:rPr>
          <w:rFonts w:ascii="仿宋" w:hAnsi="仿宋" w:eastAsia="仿宋"/>
          <w:bCs/>
          <w:sz w:val="24"/>
          <w:highlight w:val="none"/>
        </w:rPr>
        <w:t>申报债权的金额：申报的债权金额必须确定（针对同一债务人，同一法人、组织或个人只能申报一个债权总额）。外币必须转换成人民币计值，汇率以202</w:t>
      </w:r>
      <w:r>
        <w:rPr>
          <w:rFonts w:hint="eastAsia" w:ascii="仿宋" w:hAnsi="仿宋" w:eastAsia="仿宋"/>
          <w:bCs/>
          <w:sz w:val="24"/>
          <w:highlight w:val="none"/>
          <w:lang w:val="en-US" w:eastAsia="zh-CN"/>
        </w:rPr>
        <w:t>5</w:t>
      </w:r>
      <w:r>
        <w:rPr>
          <w:rFonts w:ascii="仿宋" w:hAnsi="仿宋" w:eastAsia="仿宋"/>
          <w:bCs/>
          <w:sz w:val="24"/>
          <w:highlight w:val="none"/>
        </w:rPr>
        <w:t>年</w:t>
      </w:r>
      <w:r>
        <w:rPr>
          <w:rFonts w:hint="eastAsia" w:ascii="仿宋" w:hAnsi="仿宋" w:eastAsia="仿宋"/>
          <w:bCs/>
          <w:sz w:val="24"/>
          <w:highlight w:val="none"/>
          <w:lang w:val="en-US" w:eastAsia="zh-CN"/>
        </w:rPr>
        <w:t>11</w:t>
      </w:r>
      <w:r>
        <w:rPr>
          <w:rFonts w:ascii="仿宋" w:hAnsi="仿宋" w:eastAsia="仿宋"/>
          <w:bCs/>
          <w:sz w:val="24"/>
          <w:highlight w:val="none"/>
        </w:rPr>
        <w:t>月1</w:t>
      </w:r>
      <w:r>
        <w:rPr>
          <w:rFonts w:hint="eastAsia" w:ascii="仿宋" w:hAnsi="仿宋" w:eastAsia="仿宋"/>
          <w:bCs/>
          <w:sz w:val="24"/>
          <w:highlight w:val="none"/>
          <w:lang w:val="en-US" w:eastAsia="zh-CN"/>
        </w:rPr>
        <w:t>2</w:t>
      </w:r>
      <w:r>
        <w:rPr>
          <w:rFonts w:ascii="仿宋" w:hAnsi="仿宋" w:eastAsia="仿宋"/>
          <w:bCs/>
          <w:sz w:val="24"/>
          <w:highlight w:val="none"/>
        </w:rPr>
        <w:t>日人民银行公布的市场交易中间价为准。</w:t>
      </w:r>
    </w:p>
    <w:p w14:paraId="5EEA64E8">
      <w:pPr>
        <w:spacing w:line="520" w:lineRule="exact"/>
        <w:ind w:firstLine="480" w:firstLineChars="200"/>
        <w:rPr>
          <w:rFonts w:ascii="仿宋" w:hAnsi="仿宋" w:eastAsia="仿宋"/>
          <w:b/>
          <w:sz w:val="24"/>
          <w:highlight w:val="none"/>
        </w:rPr>
      </w:pPr>
      <w:r>
        <w:rPr>
          <w:rFonts w:hint="eastAsia" w:ascii="仿宋" w:hAnsi="仿宋" w:eastAsia="仿宋"/>
          <w:bCs/>
          <w:sz w:val="24"/>
          <w:highlight w:val="none"/>
        </w:rPr>
        <w:t>（2）</w:t>
      </w:r>
      <w:r>
        <w:rPr>
          <w:rFonts w:ascii="仿宋" w:hAnsi="仿宋" w:eastAsia="仿宋"/>
          <w:bCs/>
          <w:sz w:val="24"/>
          <w:highlight w:val="none"/>
        </w:rPr>
        <w:t>利息债权：附利息的债权，本次债权申报中,计息暂计至20</w:t>
      </w:r>
      <w:r>
        <w:rPr>
          <w:rFonts w:hint="eastAsia" w:ascii="仿宋" w:hAnsi="仿宋" w:eastAsia="仿宋"/>
          <w:bCs/>
          <w:sz w:val="24"/>
          <w:highlight w:val="none"/>
          <w:lang w:val="en-US" w:eastAsia="zh-CN"/>
        </w:rPr>
        <w:t>25</w:t>
      </w:r>
      <w:r>
        <w:rPr>
          <w:rFonts w:ascii="仿宋" w:hAnsi="仿宋" w:eastAsia="仿宋"/>
          <w:bCs/>
          <w:sz w:val="24"/>
          <w:highlight w:val="none"/>
        </w:rPr>
        <w:t>年</w:t>
      </w:r>
      <w:r>
        <w:rPr>
          <w:rFonts w:hint="eastAsia" w:ascii="仿宋" w:hAnsi="仿宋" w:eastAsia="仿宋"/>
          <w:bCs/>
          <w:sz w:val="24"/>
          <w:highlight w:val="none"/>
          <w:lang w:val="en-US" w:eastAsia="zh-CN"/>
        </w:rPr>
        <w:t>11</w:t>
      </w:r>
      <w:r>
        <w:rPr>
          <w:rFonts w:ascii="仿宋" w:hAnsi="仿宋" w:eastAsia="仿宋"/>
          <w:bCs/>
          <w:sz w:val="24"/>
          <w:highlight w:val="none"/>
        </w:rPr>
        <w:t>月1</w:t>
      </w:r>
      <w:r>
        <w:rPr>
          <w:rFonts w:hint="eastAsia" w:ascii="仿宋" w:hAnsi="仿宋" w:eastAsia="仿宋"/>
          <w:bCs/>
          <w:sz w:val="24"/>
          <w:highlight w:val="none"/>
          <w:lang w:val="en-US" w:eastAsia="zh-CN"/>
        </w:rPr>
        <w:t>2</w:t>
      </w:r>
      <w:r>
        <w:rPr>
          <w:rFonts w:ascii="仿宋" w:hAnsi="仿宋" w:eastAsia="仿宋"/>
          <w:bCs/>
          <w:sz w:val="24"/>
          <w:highlight w:val="none"/>
        </w:rPr>
        <w:t>日。是否最终受理债务人的重整申请将由人民法院依法审查决定</w:t>
      </w:r>
      <w:r>
        <w:rPr>
          <w:rFonts w:hint="eastAsia" w:ascii="仿宋" w:hAnsi="仿宋" w:eastAsia="仿宋"/>
          <w:bCs/>
          <w:sz w:val="24"/>
          <w:highlight w:val="none"/>
        </w:rPr>
        <w:t>。参照</w:t>
      </w:r>
      <w:r>
        <w:rPr>
          <w:rFonts w:ascii="仿宋" w:hAnsi="仿宋" w:eastAsia="仿宋"/>
          <w:bCs/>
          <w:sz w:val="24"/>
          <w:highlight w:val="none"/>
        </w:rPr>
        <w:t>《中华人民共和国企业破产法》之规定,附利息的债权自破产申请受理时起停止计息。各债权人在预重整程序中申报的债权视为在后续重整程序中已经申报,但利息债权将由管理人追加计算至正式重整程序受理日。</w:t>
      </w:r>
      <w:r>
        <w:rPr>
          <w:rFonts w:ascii="仿宋" w:hAnsi="仿宋" w:eastAsia="仿宋"/>
          <w:b/>
          <w:sz w:val="24"/>
          <w:highlight w:val="none"/>
        </w:rPr>
        <w:t>利息及违约金债权需详细列明计算过程。</w:t>
      </w:r>
    </w:p>
    <w:p w14:paraId="612E06F3">
      <w:pPr>
        <w:spacing w:line="520" w:lineRule="exact"/>
        <w:ind w:firstLine="480" w:firstLineChars="200"/>
        <w:rPr>
          <w:rFonts w:ascii="仿宋" w:hAnsi="仿宋" w:eastAsia="仿宋"/>
          <w:bCs/>
          <w:sz w:val="24"/>
          <w:highlight w:val="none"/>
        </w:rPr>
      </w:pPr>
      <w:r>
        <w:rPr>
          <w:rFonts w:hint="eastAsia" w:ascii="仿宋" w:hAnsi="仿宋" w:eastAsia="仿宋"/>
          <w:bCs/>
          <w:sz w:val="24"/>
          <w:highlight w:val="none"/>
        </w:rPr>
        <w:t>（3）</w:t>
      </w:r>
      <w:r>
        <w:rPr>
          <w:rFonts w:ascii="仿宋" w:hAnsi="仿宋" w:eastAsia="仿宋"/>
          <w:bCs/>
          <w:sz w:val="24"/>
          <w:highlight w:val="none"/>
        </w:rPr>
        <w:t>债权</w:t>
      </w:r>
      <w:r>
        <w:rPr>
          <w:rFonts w:hint="eastAsia" w:ascii="仿宋" w:hAnsi="仿宋" w:eastAsia="仿宋"/>
          <w:bCs/>
          <w:sz w:val="24"/>
          <w:highlight w:val="none"/>
        </w:rPr>
        <w:t>形成原因</w:t>
      </w:r>
      <w:r>
        <w:rPr>
          <w:rFonts w:ascii="仿宋" w:hAnsi="仿宋" w:eastAsia="仿宋"/>
          <w:bCs/>
          <w:sz w:val="24"/>
          <w:highlight w:val="none"/>
        </w:rPr>
        <w:t>：简要陈述该债权的形成经过，另外对已开票金额和未开票金额应填写清楚；若涉及合同关系则该合同是否已经履行完毕要填写清楚。</w:t>
      </w:r>
    </w:p>
    <w:p w14:paraId="3DCD7CFB">
      <w:pPr>
        <w:spacing w:line="520" w:lineRule="exact"/>
        <w:ind w:firstLine="480" w:firstLineChars="200"/>
        <w:rPr>
          <w:rFonts w:ascii="仿宋" w:hAnsi="仿宋" w:eastAsia="仿宋"/>
          <w:bCs/>
          <w:sz w:val="24"/>
          <w:highlight w:val="none"/>
        </w:rPr>
      </w:pPr>
      <w:r>
        <w:rPr>
          <w:rFonts w:hint="eastAsia" w:ascii="仿宋" w:hAnsi="仿宋" w:eastAsia="仿宋"/>
          <w:bCs/>
          <w:sz w:val="24"/>
          <w:highlight w:val="none"/>
        </w:rPr>
        <w:t>（4）</w:t>
      </w:r>
      <w:r>
        <w:rPr>
          <w:rFonts w:ascii="仿宋" w:hAnsi="仿宋" w:eastAsia="仿宋"/>
          <w:bCs/>
          <w:sz w:val="24"/>
          <w:highlight w:val="none"/>
        </w:rPr>
        <w:t>提交材料的纸张规格为A4纸；书写均应用蓝墨、或炭素墨水。</w:t>
      </w:r>
    </w:p>
    <w:p w14:paraId="0F4087D2">
      <w:pPr>
        <w:spacing w:line="520" w:lineRule="exact"/>
        <w:ind w:firstLine="482" w:firstLineChars="200"/>
        <w:rPr>
          <w:rFonts w:ascii="仿宋" w:hAnsi="仿宋" w:eastAsia="仿宋"/>
          <w:b/>
          <w:sz w:val="24"/>
          <w:highlight w:val="none"/>
        </w:rPr>
      </w:pPr>
      <w:r>
        <w:rPr>
          <w:rFonts w:ascii="仿宋" w:hAnsi="仿宋" w:eastAsia="仿宋"/>
          <w:b/>
          <w:sz w:val="24"/>
          <w:highlight w:val="none"/>
        </w:rPr>
        <w:t>六、虚假申报的法律后果</w:t>
      </w:r>
    </w:p>
    <w:p w14:paraId="39A74693">
      <w:pPr>
        <w:spacing w:line="520" w:lineRule="exact"/>
        <w:ind w:firstLine="480" w:firstLineChars="200"/>
        <w:rPr>
          <w:rFonts w:ascii="仿宋" w:hAnsi="仿宋" w:eastAsia="仿宋"/>
          <w:bCs/>
          <w:sz w:val="24"/>
          <w:highlight w:val="none"/>
        </w:rPr>
      </w:pPr>
      <w:r>
        <w:rPr>
          <w:rFonts w:ascii="仿宋" w:hAnsi="仿宋" w:eastAsia="仿宋"/>
          <w:bCs/>
          <w:sz w:val="24"/>
          <w:highlight w:val="none"/>
        </w:rPr>
        <w:t>《最高人民法院最高人民检察院关于办理虚假诉讼刑事案件适用法律若干问题的解释》（法释〔2018〕17号）第一条第五款规定：在破产案件审理过程中申报捏造的债权的，应当认定为刑法第三百零七条之一第一款规定的“以捏造的事实提起民事诉讼”。</w:t>
      </w:r>
    </w:p>
    <w:p w14:paraId="614B5396">
      <w:pPr>
        <w:spacing w:line="520" w:lineRule="exact"/>
        <w:ind w:firstLine="482" w:firstLineChars="200"/>
        <w:rPr>
          <w:rFonts w:ascii="仿宋" w:hAnsi="仿宋" w:eastAsia="仿宋"/>
          <w:b/>
          <w:sz w:val="24"/>
          <w:highlight w:val="none"/>
        </w:rPr>
      </w:pPr>
      <w:r>
        <w:rPr>
          <w:rFonts w:ascii="仿宋" w:hAnsi="仿宋" w:eastAsia="仿宋"/>
          <w:b/>
          <w:sz w:val="24"/>
          <w:highlight w:val="none"/>
        </w:rPr>
        <w:t>七、时间地点</w:t>
      </w:r>
    </w:p>
    <w:p w14:paraId="211EFD09">
      <w:pPr>
        <w:spacing w:line="520" w:lineRule="exact"/>
        <w:ind w:firstLine="480" w:firstLineChars="200"/>
        <w:rPr>
          <w:rFonts w:ascii="仿宋" w:hAnsi="仿宋" w:eastAsia="仿宋"/>
          <w:bCs/>
          <w:color w:val="auto"/>
          <w:sz w:val="24"/>
          <w:highlight w:val="none"/>
        </w:rPr>
      </w:pPr>
      <w:r>
        <w:rPr>
          <w:rFonts w:ascii="仿宋" w:hAnsi="仿宋" w:eastAsia="仿宋"/>
          <w:bCs/>
          <w:color w:val="auto"/>
          <w:sz w:val="24"/>
          <w:highlight w:val="none"/>
        </w:rPr>
        <w:t>申报地点</w:t>
      </w:r>
      <w:r>
        <w:rPr>
          <w:rFonts w:hint="eastAsia" w:ascii="仿宋" w:hAnsi="仿宋" w:eastAsia="仿宋"/>
          <w:bCs/>
          <w:color w:val="auto"/>
          <w:sz w:val="24"/>
          <w:highlight w:val="none"/>
        </w:rPr>
        <w:t>：宁波市江北区新义路 218 号凯德上江邑 6 楼, 联系人：</w:t>
      </w:r>
      <w:r>
        <w:rPr>
          <w:rFonts w:hint="eastAsia" w:ascii="仿宋" w:hAnsi="仿宋" w:eastAsia="仿宋"/>
          <w:bCs/>
          <w:color w:val="auto"/>
          <w:sz w:val="24"/>
          <w:highlight w:val="none"/>
          <w:lang w:val="en-US" w:eastAsia="zh-CN"/>
        </w:rPr>
        <w:t>博氢预重整项目组 祝梓涵</w:t>
      </w:r>
      <w:r>
        <w:rPr>
          <w:rFonts w:hint="eastAsia" w:ascii="仿宋" w:hAnsi="仿宋" w:eastAsia="仿宋"/>
          <w:bCs/>
          <w:color w:val="auto"/>
          <w:sz w:val="24"/>
          <w:highlight w:val="none"/>
        </w:rPr>
        <w:t>，电话：</w:t>
      </w:r>
      <w:r>
        <w:rPr>
          <w:rFonts w:hint="eastAsia" w:ascii="仿宋" w:hAnsi="仿宋" w:eastAsia="仿宋"/>
          <w:bCs/>
          <w:color w:val="auto"/>
          <w:sz w:val="24"/>
          <w:highlight w:val="none"/>
          <w:lang w:val="en-US" w:eastAsia="zh-CN"/>
        </w:rPr>
        <w:t>17376556798</w:t>
      </w:r>
      <w:r>
        <w:rPr>
          <w:rFonts w:hint="eastAsia" w:ascii="仿宋" w:hAnsi="仿宋" w:eastAsia="仿宋"/>
          <w:bCs/>
          <w:color w:val="auto"/>
          <w:sz w:val="24"/>
          <w:highlight w:val="none"/>
        </w:rPr>
        <w:t>。</w:t>
      </w:r>
    </w:p>
    <w:p w14:paraId="3CDDFAB1">
      <w:pPr>
        <w:spacing w:line="520" w:lineRule="exact"/>
        <w:ind w:firstLine="480" w:firstLineChars="200"/>
        <w:rPr>
          <w:rFonts w:ascii="仿宋" w:hAnsi="仿宋" w:eastAsia="仿宋"/>
          <w:bCs/>
          <w:color w:val="auto"/>
          <w:sz w:val="24"/>
          <w:highlight w:val="none"/>
        </w:rPr>
      </w:pPr>
    </w:p>
    <w:p w14:paraId="2AE72986">
      <w:pPr>
        <w:spacing w:line="520" w:lineRule="exact"/>
        <w:ind w:firstLine="480" w:firstLineChars="200"/>
        <w:rPr>
          <w:rFonts w:ascii="仿宋" w:hAnsi="仿宋" w:eastAsia="仿宋"/>
          <w:bCs/>
          <w:color w:val="auto"/>
          <w:sz w:val="24"/>
          <w:highlight w:val="none"/>
        </w:rPr>
      </w:pPr>
    </w:p>
    <w:p w14:paraId="0130CFA0">
      <w:pPr>
        <w:spacing w:line="520" w:lineRule="exact"/>
        <w:ind w:firstLine="480" w:firstLineChars="200"/>
        <w:rPr>
          <w:rFonts w:ascii="仿宋" w:hAnsi="仿宋" w:eastAsia="仿宋"/>
          <w:bCs/>
          <w:color w:val="auto"/>
          <w:sz w:val="24"/>
          <w:highlight w:val="none"/>
        </w:rPr>
      </w:pPr>
    </w:p>
    <w:p w14:paraId="01B6E661">
      <w:pPr>
        <w:spacing w:line="520" w:lineRule="exact"/>
        <w:ind w:firstLine="480" w:firstLineChars="200"/>
        <w:jc w:val="right"/>
        <w:rPr>
          <w:rFonts w:ascii="仿宋" w:hAnsi="仿宋" w:eastAsia="仿宋"/>
          <w:bCs/>
          <w:color w:val="auto"/>
          <w:sz w:val="24"/>
          <w:highlight w:val="none"/>
        </w:rPr>
      </w:pPr>
      <w:r>
        <w:rPr>
          <w:rFonts w:hint="eastAsia" w:ascii="仿宋" w:hAnsi="仿宋" w:eastAsia="仿宋"/>
          <w:bCs/>
          <w:color w:val="auto"/>
          <w:sz w:val="24"/>
          <w:highlight w:val="none"/>
        </w:rPr>
        <w:t>浙江博氢新能源有限公司</w:t>
      </w:r>
      <w:r>
        <w:rPr>
          <w:rFonts w:hint="eastAsia" w:ascii="仿宋" w:hAnsi="仿宋" w:eastAsia="仿宋"/>
          <w:bCs/>
          <w:color w:val="auto"/>
          <w:sz w:val="24"/>
          <w:highlight w:val="none"/>
          <w:lang w:val="en-US" w:eastAsia="zh-CN"/>
        </w:rPr>
        <w:t>预重整</w:t>
      </w:r>
      <w:r>
        <w:rPr>
          <w:rFonts w:hint="eastAsia" w:ascii="仿宋" w:hAnsi="仿宋" w:eastAsia="仿宋"/>
          <w:bCs/>
          <w:color w:val="auto"/>
          <w:sz w:val="24"/>
          <w:highlight w:val="none"/>
        </w:rPr>
        <w:t>管理人</w:t>
      </w:r>
    </w:p>
    <w:p w14:paraId="12778E4F">
      <w:pPr>
        <w:spacing w:line="520" w:lineRule="exact"/>
        <w:ind w:firstLine="480" w:firstLineChars="200"/>
        <w:jc w:val="right"/>
        <w:rPr>
          <w:rFonts w:ascii="仿宋" w:hAnsi="仿宋" w:eastAsia="仿宋"/>
          <w:bCs/>
          <w:color w:val="auto"/>
          <w:sz w:val="24"/>
          <w:highlight w:val="none"/>
        </w:rPr>
      </w:pPr>
      <w:r>
        <w:rPr>
          <w:rFonts w:ascii="仿宋" w:hAnsi="仿宋" w:eastAsia="仿宋"/>
          <w:bCs/>
          <w:color w:val="auto"/>
          <w:sz w:val="24"/>
          <w:highlight w:val="none"/>
        </w:rPr>
        <w:t>二○二</w:t>
      </w:r>
      <w:r>
        <w:rPr>
          <w:rFonts w:hint="eastAsia" w:ascii="仿宋" w:hAnsi="仿宋" w:eastAsia="仿宋"/>
          <w:bCs/>
          <w:color w:val="auto"/>
          <w:sz w:val="24"/>
          <w:highlight w:val="none"/>
          <w:lang w:val="en-US" w:eastAsia="zh-CN"/>
        </w:rPr>
        <w:t>五</w:t>
      </w:r>
      <w:r>
        <w:rPr>
          <w:rFonts w:ascii="仿宋" w:hAnsi="仿宋" w:eastAsia="仿宋"/>
          <w:bCs/>
          <w:color w:val="auto"/>
          <w:sz w:val="24"/>
          <w:highlight w:val="none"/>
        </w:rPr>
        <w:t>年</w:t>
      </w:r>
      <w:r>
        <w:rPr>
          <w:rFonts w:hint="eastAsia" w:ascii="仿宋" w:hAnsi="仿宋" w:eastAsia="仿宋"/>
          <w:bCs/>
          <w:color w:val="auto"/>
          <w:sz w:val="24"/>
          <w:highlight w:val="none"/>
          <w:lang w:val="en-US" w:eastAsia="zh-CN"/>
        </w:rPr>
        <w:t>十一</w:t>
      </w:r>
      <w:r>
        <w:rPr>
          <w:rFonts w:ascii="仿宋" w:hAnsi="仿宋" w:eastAsia="仿宋"/>
          <w:bCs/>
          <w:color w:val="auto"/>
          <w:sz w:val="24"/>
          <w:highlight w:val="none"/>
        </w:rPr>
        <w:t>月</w:t>
      </w:r>
      <w:r>
        <w:rPr>
          <w:rFonts w:hint="eastAsia" w:ascii="仿宋" w:hAnsi="仿宋" w:eastAsia="仿宋"/>
          <w:bCs/>
          <w:color w:val="auto"/>
          <w:sz w:val="24"/>
          <w:highlight w:val="none"/>
          <w:lang w:val="en-US" w:eastAsia="zh-CN"/>
        </w:rPr>
        <w:t>十八</w:t>
      </w:r>
      <w:r>
        <w:rPr>
          <w:rFonts w:ascii="仿宋" w:hAnsi="仿宋" w:eastAsia="仿宋"/>
          <w:bCs/>
          <w:color w:val="auto"/>
          <w:sz w:val="24"/>
          <w:highlight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034D"/>
    <w:rsid w:val="001827E3"/>
    <w:rsid w:val="0022248E"/>
    <w:rsid w:val="0032321A"/>
    <w:rsid w:val="003365D3"/>
    <w:rsid w:val="00493046"/>
    <w:rsid w:val="00573681"/>
    <w:rsid w:val="00595CD1"/>
    <w:rsid w:val="0063687C"/>
    <w:rsid w:val="006E557C"/>
    <w:rsid w:val="00763332"/>
    <w:rsid w:val="007849A0"/>
    <w:rsid w:val="007A6B46"/>
    <w:rsid w:val="007A758A"/>
    <w:rsid w:val="00804AD1"/>
    <w:rsid w:val="00884A9A"/>
    <w:rsid w:val="00A81D5D"/>
    <w:rsid w:val="00A867FC"/>
    <w:rsid w:val="00B4363E"/>
    <w:rsid w:val="00B75F0F"/>
    <w:rsid w:val="00BB3522"/>
    <w:rsid w:val="00BE1704"/>
    <w:rsid w:val="00C24D44"/>
    <w:rsid w:val="00C7034D"/>
    <w:rsid w:val="00C71F35"/>
    <w:rsid w:val="00D12231"/>
    <w:rsid w:val="00DA2CE8"/>
    <w:rsid w:val="00DE66D2"/>
    <w:rsid w:val="00E273A8"/>
    <w:rsid w:val="00E320A3"/>
    <w:rsid w:val="00E47EA9"/>
    <w:rsid w:val="00EE324B"/>
    <w:rsid w:val="00FC7565"/>
    <w:rsid w:val="02A26512"/>
    <w:rsid w:val="28A9307B"/>
    <w:rsid w:val="2A471ECB"/>
    <w:rsid w:val="4F704E9A"/>
    <w:rsid w:val="50774B7D"/>
    <w:rsid w:val="52315DF5"/>
    <w:rsid w:val="75A731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2405</Words>
  <Characters>2471</Characters>
  <Lines>18</Lines>
  <Paragraphs>5</Paragraphs>
  <TotalTime>11</TotalTime>
  <ScaleCrop>false</ScaleCrop>
  <LinksUpToDate>false</LinksUpToDate>
  <CharactersWithSpaces>2477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2022-10-14T06:28:00Z</dcterms:created>
  <dc:creator>an</dc:creator>
  <cp:lastModifiedBy>赤檪</cp:lastModifiedBy>
  <cp:lastPrinted>2025-11-17T05:59:00Z</cp:lastPrinted>
  <dcterms:modified xsi:type="dcterms:W3CDTF">2025-11-18T09:55:44Z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eyJoZGlkIjoiMWJmYmVhMGQ2YWQwOTc0ZDFkYmVkZTE0NzFkNThlYzIiLCJ1c2VySWQiOiIzMTI0NjA5NDkifQ==</vt:lpwstr>
  </property>
  <property fmtid="{D5CDD505-2E9C-101B-9397-08002B2CF9AE}" pid="3" name="KSOProductBuildVer">
    <vt:lpwstr>2052-12.1.0.23542</vt:lpwstr>
  </property>
  <property fmtid="{D5CDD505-2E9C-101B-9397-08002B2CF9AE}" pid="4" name="ICV">
    <vt:lpwstr>3BB70F31844E4CD38B73648F72DC579A_12</vt:lpwstr>
  </property>
</Properties>
</file>