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626152">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华文中宋" w:hAnsi="华文中宋" w:eastAsia="华文中宋" w:cs="华文中宋"/>
          <w:b/>
          <w:color w:val="000000" w:themeColor="text1"/>
          <w:sz w:val="36"/>
          <w:szCs w:val="36"/>
          <w:highlight w:val="none"/>
          <w14:textFill>
            <w14:solidFill>
              <w14:schemeClr w14:val="tx1"/>
            </w14:solidFill>
          </w14:textFill>
        </w:rPr>
      </w:pPr>
      <w:bookmarkStart w:id="0" w:name="_GoBack"/>
      <w:r>
        <w:rPr>
          <w:rFonts w:hint="eastAsia" w:ascii="华文中宋" w:hAnsi="华文中宋" w:eastAsia="华文中宋" w:cs="华文中宋"/>
          <w:b/>
          <w:color w:val="000000" w:themeColor="text1"/>
          <w:sz w:val="36"/>
          <w:szCs w:val="36"/>
          <w:highlight w:val="none"/>
          <w:lang w:eastAsia="zh-CN"/>
          <w14:textFill>
            <w14:solidFill>
              <w14:schemeClr w14:val="tx1"/>
            </w14:solidFill>
          </w14:textFill>
        </w:rPr>
        <w:t>武汉华鑫汇通金属实业有限公司</w:t>
      </w:r>
      <w:r>
        <w:rPr>
          <w:rFonts w:hint="eastAsia" w:ascii="华文中宋" w:hAnsi="华文中宋" w:eastAsia="华文中宋" w:cs="华文中宋"/>
          <w:b/>
          <w:color w:val="000000" w:themeColor="text1"/>
          <w:sz w:val="36"/>
          <w:szCs w:val="36"/>
          <w:highlight w:val="none"/>
          <w14:textFill>
            <w14:solidFill>
              <w14:schemeClr w14:val="tx1"/>
            </w14:solidFill>
          </w14:textFill>
        </w:rPr>
        <w:t>重整意向投资人</w:t>
      </w:r>
    </w:p>
    <w:p w14:paraId="1B717F71">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华文中宋" w:hAnsi="华文中宋" w:eastAsia="华文中宋" w:cs="华文中宋"/>
          <w:b/>
          <w:color w:val="000000" w:themeColor="text1"/>
          <w:sz w:val="36"/>
          <w:szCs w:val="36"/>
          <w:highlight w:val="none"/>
          <w14:textFill>
            <w14:solidFill>
              <w14:schemeClr w14:val="tx1"/>
            </w14:solidFill>
          </w14:textFill>
        </w:rPr>
      </w:pPr>
      <w:r>
        <w:rPr>
          <w:rFonts w:hint="eastAsia" w:ascii="华文中宋" w:hAnsi="华文中宋" w:eastAsia="华文中宋" w:cs="华文中宋"/>
          <w:b/>
          <w:color w:val="000000" w:themeColor="text1"/>
          <w:sz w:val="36"/>
          <w:szCs w:val="36"/>
          <w:highlight w:val="none"/>
          <w14:textFill>
            <w14:solidFill>
              <w14:schemeClr w14:val="tx1"/>
            </w14:solidFill>
          </w14:textFill>
        </w:rPr>
        <w:t>招募说明书</w:t>
      </w:r>
    </w:p>
    <w:p w14:paraId="6EF3D045">
      <w:pPr>
        <w:keepNext w:val="0"/>
        <w:keepLines w:val="0"/>
        <w:pageBreakBefore w:val="0"/>
        <w:kinsoku/>
        <w:wordWrap/>
        <w:overflowPunct/>
        <w:topLinePunct w:val="0"/>
        <w:autoSpaceDE/>
        <w:autoSpaceDN/>
        <w:bidi w:val="0"/>
        <w:adjustRightInd/>
        <w:snapToGrid/>
        <w:spacing w:before="156" w:beforeLines="50" w:after="156" w:afterLines="50" w:line="360" w:lineRule="auto"/>
        <w:jc w:val="center"/>
        <w:textAlignment w:val="auto"/>
        <w:rPr>
          <w:rFonts w:hint="eastAsia" w:ascii="华文中宋" w:hAnsi="华文中宋" w:eastAsia="华文中宋" w:cs="华文中宋"/>
          <w:b/>
          <w:color w:val="000000" w:themeColor="text1"/>
          <w:sz w:val="28"/>
          <w:szCs w:val="28"/>
          <w:highlight w:val="none"/>
          <w14:textFill>
            <w14:solidFill>
              <w14:schemeClr w14:val="tx1"/>
            </w14:solidFill>
          </w14:textFill>
        </w:rPr>
      </w:pPr>
      <w:r>
        <w:rPr>
          <w:rFonts w:hint="eastAsia" w:ascii="华文中宋" w:hAnsi="华文中宋" w:eastAsia="华文中宋" w:cs="华文中宋"/>
          <w:b/>
          <w:color w:val="000000" w:themeColor="text1"/>
          <w:sz w:val="28"/>
          <w:szCs w:val="28"/>
          <w:highlight w:val="none"/>
          <w14:textFill>
            <w14:solidFill>
              <w14:schemeClr w14:val="tx1"/>
            </w14:solidFill>
          </w14:textFill>
        </w:rPr>
        <w:t>一、招募须知</w:t>
      </w:r>
    </w:p>
    <w:p w14:paraId="768C41D5">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（一）本招募说明书是由</w:t>
      </w:r>
      <w:r>
        <w:rPr>
          <w:rFonts w:hint="eastAsia" w:ascii="仿宋" w:hAnsi="仿宋" w:eastAsia="仿宋" w:cs="仿宋"/>
          <w:color w:val="000000" w:themeColor="text1"/>
          <w:sz w:val="28"/>
          <w:szCs w:val="28"/>
          <w:highlight w:val="none"/>
          <w:lang w:eastAsia="zh-CN"/>
          <w14:textFill>
            <w14:solidFill>
              <w14:schemeClr w14:val="tx1"/>
            </w14:solidFill>
          </w14:textFill>
        </w:rPr>
        <w:t>武汉华鑫汇通金属实业有限公司</w:t>
      </w:r>
      <w:r>
        <w:rPr>
          <w:rFonts w:hint="eastAsia" w:ascii="仿宋" w:hAnsi="仿宋" w:eastAsia="仿宋" w:cs="仿宋"/>
          <w:color w:val="000000" w:themeColor="text1"/>
          <w:sz w:val="28"/>
          <w:szCs w:val="28"/>
          <w:highlight w:val="none"/>
          <w14:textFill>
            <w14:solidFill>
              <w14:schemeClr w14:val="tx1"/>
            </w14:solidFill>
          </w14:textFill>
        </w:rPr>
        <w:t>（以下简称“</w:t>
      </w:r>
      <w:r>
        <w:rPr>
          <w:rFonts w:hint="eastAsia" w:ascii="仿宋" w:hAnsi="仿宋" w:eastAsia="仿宋" w:cs="仿宋"/>
          <w:color w:val="000000" w:themeColor="text1"/>
          <w:sz w:val="28"/>
          <w:szCs w:val="28"/>
          <w:highlight w:val="none"/>
          <w:lang w:eastAsia="zh-CN"/>
          <w14:textFill>
            <w14:solidFill>
              <w14:schemeClr w14:val="tx1"/>
            </w14:solidFill>
          </w14:textFill>
        </w:rPr>
        <w:t>华鑫汇通公司</w:t>
      </w:r>
      <w:r>
        <w:rPr>
          <w:rFonts w:hint="eastAsia" w:ascii="仿宋" w:hAnsi="仿宋" w:eastAsia="仿宋" w:cs="仿宋"/>
          <w:color w:val="000000" w:themeColor="text1"/>
          <w:sz w:val="28"/>
          <w:szCs w:val="28"/>
          <w:highlight w:val="none"/>
          <w14:textFill>
            <w14:solidFill>
              <w14:schemeClr w14:val="tx1"/>
            </w14:solidFill>
          </w14:textFill>
        </w:rPr>
        <w:t>”）管理人（以下简称“管理人”）编制。</w:t>
      </w:r>
    </w:p>
    <w:p w14:paraId="06010989">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（二）</w:t>
      </w:r>
      <w:r>
        <w:rPr>
          <w:rFonts w:hint="eastAsia" w:ascii="仿宋" w:hAnsi="仿宋" w:eastAsia="仿宋" w:cs="仿宋"/>
          <w:b/>
          <w:color w:val="000000" w:themeColor="text1"/>
          <w:sz w:val="28"/>
          <w:szCs w:val="28"/>
          <w:highlight w:val="none"/>
          <w14:textFill>
            <w14:solidFill>
              <w14:schemeClr w14:val="tx1"/>
            </w14:solidFill>
          </w14:textFill>
        </w:rPr>
        <w:t>本招募说明书仅供重整意向投资人参考，不替代重整意向投资人的尽职调查</w:t>
      </w:r>
      <w:r>
        <w:rPr>
          <w:rFonts w:hint="eastAsia" w:ascii="仿宋" w:hAnsi="仿宋" w:eastAsia="仿宋" w:cs="仿宋"/>
          <w:color w:val="000000" w:themeColor="text1"/>
          <w:sz w:val="28"/>
          <w:szCs w:val="28"/>
          <w:highlight w:val="none"/>
          <w14:textFill>
            <w14:solidFill>
              <w14:schemeClr w14:val="tx1"/>
            </w14:solidFill>
          </w14:textFill>
        </w:rPr>
        <w:t>。重整意向投资人在考虑参与债务人重整时，除参考本说明书外，请自行决定是否聘请专业投资顾问或法律顾问进行尽职调查、出具投资意见等。</w:t>
      </w:r>
    </w:p>
    <w:p w14:paraId="002F6504">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（三）本招募说明书并非要约文件，对管理人与重整意向投资人均不具有法律约束力，仅是参考资料。</w:t>
      </w:r>
    </w:p>
    <w:p w14:paraId="5C4A07E4">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（四）对本招募说明书的最终解释权属于管理人。</w:t>
      </w:r>
    </w:p>
    <w:p w14:paraId="4FAC44B1">
      <w:pPr>
        <w:keepNext w:val="0"/>
        <w:keepLines w:val="0"/>
        <w:pageBreakBefore w:val="0"/>
        <w:kinsoku/>
        <w:wordWrap/>
        <w:overflowPunct/>
        <w:topLinePunct w:val="0"/>
        <w:autoSpaceDE/>
        <w:autoSpaceDN/>
        <w:bidi w:val="0"/>
        <w:adjustRightInd/>
        <w:snapToGrid/>
        <w:spacing w:before="156" w:beforeLines="50" w:after="156" w:afterLines="50" w:line="360" w:lineRule="auto"/>
        <w:jc w:val="center"/>
        <w:textAlignment w:val="auto"/>
        <w:rPr>
          <w:rFonts w:hint="eastAsia" w:ascii="华文中宋" w:hAnsi="华文中宋" w:eastAsia="华文中宋" w:cs="华文中宋"/>
          <w:b/>
          <w:color w:val="000000" w:themeColor="text1"/>
          <w:sz w:val="28"/>
          <w:szCs w:val="28"/>
          <w:highlight w:val="none"/>
          <w14:textFill>
            <w14:solidFill>
              <w14:schemeClr w14:val="tx1"/>
            </w14:solidFill>
          </w14:textFill>
        </w:rPr>
      </w:pPr>
      <w:r>
        <w:rPr>
          <w:rFonts w:hint="eastAsia" w:ascii="华文中宋" w:hAnsi="华文中宋" w:eastAsia="华文中宋" w:cs="华文中宋"/>
          <w:b/>
          <w:color w:val="000000" w:themeColor="text1"/>
          <w:sz w:val="28"/>
          <w:szCs w:val="28"/>
          <w:highlight w:val="none"/>
          <w14:textFill>
            <w14:solidFill>
              <w14:schemeClr w14:val="tx1"/>
            </w14:solidFill>
          </w14:textFill>
        </w:rPr>
        <w:t>二、</w:t>
      </w:r>
      <w:r>
        <w:rPr>
          <w:rFonts w:hint="eastAsia" w:ascii="华文中宋" w:hAnsi="华文中宋" w:eastAsia="华文中宋" w:cs="华文中宋"/>
          <w:b/>
          <w:color w:val="000000" w:themeColor="text1"/>
          <w:sz w:val="28"/>
          <w:szCs w:val="28"/>
          <w:highlight w:val="none"/>
          <w:lang w:eastAsia="zh-CN"/>
          <w14:textFill>
            <w14:solidFill>
              <w14:schemeClr w14:val="tx1"/>
            </w14:solidFill>
          </w14:textFill>
        </w:rPr>
        <w:t>华鑫汇通公司</w:t>
      </w:r>
      <w:r>
        <w:rPr>
          <w:rFonts w:hint="eastAsia" w:ascii="华文中宋" w:hAnsi="华文中宋" w:eastAsia="华文中宋" w:cs="华文中宋"/>
          <w:b/>
          <w:color w:val="000000" w:themeColor="text1"/>
          <w:sz w:val="28"/>
          <w:szCs w:val="28"/>
          <w:highlight w:val="none"/>
          <w14:textFill>
            <w14:solidFill>
              <w14:schemeClr w14:val="tx1"/>
            </w14:solidFill>
          </w14:textFill>
        </w:rPr>
        <w:t>简介</w:t>
      </w:r>
    </w:p>
    <w:p w14:paraId="141F2A26">
      <w:pPr>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color w:val="000000" w:themeColor="text1"/>
          <w:sz w:val="28"/>
          <w:szCs w:val="28"/>
          <w:highlight w:val="none"/>
          <w14:textFill>
            <w14:solidFill>
              <w14:schemeClr w14:val="tx1"/>
            </w14:solidFill>
          </w14:textFill>
        </w:rPr>
      </w:pPr>
      <w:r>
        <w:rPr>
          <w:rFonts w:hint="eastAsia" w:ascii="仿宋" w:hAnsi="仿宋" w:eastAsia="仿宋" w:cs="仿宋"/>
          <w:b/>
          <w:color w:val="000000" w:themeColor="text1"/>
          <w:sz w:val="28"/>
          <w:szCs w:val="28"/>
          <w:highlight w:val="none"/>
          <w14:textFill>
            <w14:solidFill>
              <w14:schemeClr w14:val="tx1"/>
            </w14:solidFill>
          </w14:textFill>
        </w:rPr>
        <w:t>（一）</w:t>
      </w:r>
      <w:r>
        <w:rPr>
          <w:rFonts w:hint="eastAsia" w:ascii="仿宋" w:hAnsi="仿宋" w:eastAsia="仿宋" w:cs="仿宋"/>
          <w:b/>
          <w:color w:val="000000" w:themeColor="text1"/>
          <w:sz w:val="28"/>
          <w:szCs w:val="28"/>
          <w:highlight w:val="none"/>
          <w:lang w:eastAsia="zh-CN"/>
          <w14:textFill>
            <w14:solidFill>
              <w14:schemeClr w14:val="tx1"/>
            </w14:solidFill>
          </w14:textFill>
        </w:rPr>
        <w:t>华鑫汇通公司</w:t>
      </w:r>
      <w:r>
        <w:rPr>
          <w:rFonts w:hint="eastAsia" w:ascii="仿宋" w:hAnsi="仿宋" w:eastAsia="仿宋" w:cs="仿宋"/>
          <w:b/>
          <w:color w:val="000000" w:themeColor="text1"/>
          <w:sz w:val="28"/>
          <w:szCs w:val="28"/>
          <w:highlight w:val="none"/>
          <w14:textFill>
            <w14:solidFill>
              <w14:schemeClr w14:val="tx1"/>
            </w14:solidFill>
          </w14:textFill>
        </w:rPr>
        <w:t>概况</w:t>
      </w:r>
    </w:p>
    <w:p w14:paraId="6FBD9E39">
      <w:pPr>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bCs/>
          <w:color w:val="000000" w:themeColor="text1"/>
          <w:sz w:val="28"/>
          <w:szCs w:val="28"/>
          <w:highlight w:val="none"/>
          <w14:textFill>
            <w14:solidFill>
              <w14:schemeClr w14:val="tx1"/>
            </w14:solidFill>
          </w14:textFill>
        </w:rPr>
      </w:pPr>
      <w:r>
        <w:rPr>
          <w:rFonts w:hint="eastAsia" w:ascii="仿宋" w:hAnsi="仿宋" w:eastAsia="仿宋" w:cs="仿宋"/>
          <w:b/>
          <w:bCs/>
          <w:color w:val="000000" w:themeColor="text1"/>
          <w:sz w:val="28"/>
          <w:szCs w:val="28"/>
          <w:highlight w:val="none"/>
          <w14:textFill>
            <w14:solidFill>
              <w14:schemeClr w14:val="tx1"/>
            </w14:solidFill>
          </w14:textFill>
        </w:rPr>
        <w:t>1、基本情况</w:t>
      </w:r>
    </w:p>
    <w:p w14:paraId="11AF682C">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lang w:eastAsia="zh-CN"/>
          <w14:textFill>
            <w14:solidFill>
              <w14:schemeClr w14:val="tx1"/>
            </w14:solidFill>
          </w14:textFill>
        </w:rPr>
      </w:pPr>
      <w:r>
        <w:rPr>
          <w:rFonts w:hint="eastAsia" w:ascii="仿宋" w:hAnsi="仿宋" w:eastAsia="仿宋" w:cs="仿宋"/>
          <w:color w:val="000000" w:themeColor="text1"/>
          <w:sz w:val="28"/>
          <w:szCs w:val="28"/>
          <w:highlight w:val="none"/>
          <w:lang w:eastAsia="zh-CN"/>
          <w14:textFill>
            <w14:solidFill>
              <w14:schemeClr w14:val="tx1"/>
            </w14:solidFill>
          </w14:textFill>
        </w:rPr>
        <w:t>华鑫汇通公司</w:t>
      </w:r>
      <w:r>
        <w:rPr>
          <w:rFonts w:hint="eastAsia" w:ascii="仿宋" w:hAnsi="仿宋" w:eastAsia="仿宋" w:cs="仿宋"/>
          <w:color w:val="000000" w:themeColor="text1"/>
          <w:sz w:val="28"/>
          <w:szCs w:val="28"/>
          <w:highlight w:val="none"/>
          <w14:textFill>
            <w14:solidFill>
              <w14:schemeClr w14:val="tx1"/>
            </w14:solidFill>
          </w14:textFill>
        </w:rPr>
        <w:t>成立于20</w:t>
      </w:r>
      <w:r>
        <w:rPr>
          <w:rFonts w:hint="eastAsia" w:ascii="仿宋" w:hAnsi="仿宋" w:eastAsia="仿宋" w:cs="仿宋"/>
          <w:color w:val="000000" w:themeColor="text1"/>
          <w:sz w:val="28"/>
          <w:szCs w:val="28"/>
          <w:highlight w:val="none"/>
          <w:lang w:val="en-US" w:eastAsia="zh-CN"/>
          <w14:textFill>
            <w14:solidFill>
              <w14:schemeClr w14:val="tx1"/>
            </w14:solidFill>
          </w14:textFill>
        </w:rPr>
        <w:t>08</w:t>
      </w:r>
      <w:r>
        <w:rPr>
          <w:rFonts w:hint="eastAsia" w:ascii="仿宋" w:hAnsi="仿宋" w:eastAsia="仿宋" w:cs="仿宋"/>
          <w:color w:val="000000" w:themeColor="text1"/>
          <w:sz w:val="28"/>
          <w:szCs w:val="28"/>
          <w:highlight w:val="none"/>
          <w14:textFill>
            <w14:solidFill>
              <w14:schemeClr w14:val="tx1"/>
            </w14:solidFill>
          </w14:textFill>
        </w:rPr>
        <w:t>年1</w:t>
      </w:r>
      <w:r>
        <w:rPr>
          <w:rFonts w:hint="eastAsia" w:ascii="仿宋" w:hAnsi="仿宋" w:eastAsia="仿宋" w:cs="仿宋"/>
          <w:color w:val="000000" w:themeColor="text1"/>
          <w:sz w:val="28"/>
          <w:szCs w:val="28"/>
          <w:highlight w:val="none"/>
          <w:lang w:val="en-US" w:eastAsia="zh-CN"/>
          <w14:textFill>
            <w14:solidFill>
              <w14:schemeClr w14:val="tx1"/>
            </w14:solidFill>
          </w14:textFill>
        </w:rPr>
        <w:t>2</w:t>
      </w:r>
      <w:r>
        <w:rPr>
          <w:rFonts w:hint="eastAsia" w:ascii="仿宋" w:hAnsi="仿宋" w:eastAsia="仿宋" w:cs="仿宋"/>
          <w:color w:val="000000" w:themeColor="text1"/>
          <w:sz w:val="28"/>
          <w:szCs w:val="28"/>
          <w:highlight w:val="none"/>
          <w14:textFill>
            <w14:solidFill>
              <w14:schemeClr w14:val="tx1"/>
            </w14:solidFill>
          </w14:textFill>
        </w:rPr>
        <w:t>月</w:t>
      </w:r>
      <w:r>
        <w:rPr>
          <w:rFonts w:hint="eastAsia" w:ascii="仿宋" w:hAnsi="仿宋" w:eastAsia="仿宋" w:cs="仿宋"/>
          <w:color w:val="000000" w:themeColor="text1"/>
          <w:sz w:val="28"/>
          <w:szCs w:val="28"/>
          <w:highlight w:val="none"/>
          <w:lang w:val="en-US" w:eastAsia="zh-CN"/>
          <w14:textFill>
            <w14:solidFill>
              <w14:schemeClr w14:val="tx1"/>
            </w14:solidFill>
          </w14:textFill>
        </w:rPr>
        <w:t>17</w:t>
      </w:r>
      <w:r>
        <w:rPr>
          <w:rFonts w:hint="eastAsia" w:ascii="仿宋" w:hAnsi="仿宋" w:eastAsia="仿宋" w:cs="仿宋"/>
          <w:color w:val="000000" w:themeColor="text1"/>
          <w:sz w:val="28"/>
          <w:szCs w:val="28"/>
          <w:highlight w:val="none"/>
          <w14:textFill>
            <w14:solidFill>
              <w14:schemeClr w14:val="tx1"/>
            </w14:solidFill>
          </w14:textFill>
        </w:rPr>
        <w:t>日，住所地</w:t>
      </w:r>
      <w:r>
        <w:rPr>
          <w:rFonts w:hint="eastAsia" w:ascii="仿宋" w:hAnsi="仿宋" w:eastAsia="仿宋" w:cs="仿宋"/>
          <w:color w:val="000000" w:themeColor="text1"/>
          <w:sz w:val="28"/>
          <w:szCs w:val="28"/>
          <w:highlight w:val="none"/>
          <w:lang w:val="en-US" w:eastAsia="zh-CN"/>
          <w14:textFill>
            <w14:solidFill>
              <w14:schemeClr w14:val="tx1"/>
            </w14:solidFill>
          </w14:textFill>
        </w:rPr>
        <w:t>为湖北省武汉市长江新区武湖农场沙口分场。</w:t>
      </w:r>
      <w:r>
        <w:rPr>
          <w:rFonts w:hint="eastAsia" w:ascii="仿宋" w:hAnsi="仿宋" w:eastAsia="仿宋" w:cs="仿宋"/>
          <w:color w:val="000000" w:themeColor="text1"/>
          <w:sz w:val="28"/>
          <w:szCs w:val="28"/>
          <w:highlight w:val="none"/>
          <w14:textFill>
            <w14:solidFill>
              <w14:schemeClr w14:val="tx1"/>
            </w14:solidFill>
          </w14:textFill>
        </w:rPr>
        <w:t>公司注册资本为</w:t>
      </w:r>
      <w:r>
        <w:rPr>
          <w:rFonts w:hint="eastAsia" w:ascii="仿宋" w:hAnsi="仿宋" w:eastAsia="仿宋" w:cs="仿宋"/>
          <w:color w:val="000000" w:themeColor="text1"/>
          <w:sz w:val="28"/>
          <w:szCs w:val="28"/>
          <w:highlight w:val="none"/>
          <w:lang w:val="en-US" w:eastAsia="zh-CN"/>
          <w14:textFill>
            <w14:solidFill>
              <w14:schemeClr w14:val="tx1"/>
            </w14:solidFill>
          </w14:textFill>
        </w:rPr>
        <w:t>1</w:t>
      </w:r>
      <w:r>
        <w:rPr>
          <w:rFonts w:hint="eastAsia" w:ascii="仿宋" w:hAnsi="仿宋" w:eastAsia="仿宋" w:cs="仿宋"/>
          <w:color w:val="000000" w:themeColor="text1"/>
          <w:sz w:val="28"/>
          <w:szCs w:val="28"/>
          <w:highlight w:val="none"/>
          <w14:textFill>
            <w14:solidFill>
              <w14:schemeClr w14:val="tx1"/>
            </w14:solidFill>
          </w14:textFill>
        </w:rPr>
        <w:t>0000万元人民币，</w:t>
      </w:r>
      <w:r>
        <w:rPr>
          <w:rFonts w:hint="eastAsia" w:ascii="仿宋" w:hAnsi="仿宋" w:eastAsia="仿宋" w:cs="仿宋"/>
          <w:color w:val="000000" w:themeColor="text1"/>
          <w:sz w:val="28"/>
          <w:szCs w:val="28"/>
          <w:highlight w:val="none"/>
          <w:lang w:val="en-US" w:eastAsia="zh-CN"/>
          <w14:textFill>
            <w14:solidFill>
              <w14:schemeClr w14:val="tx1"/>
            </w14:solidFill>
          </w14:textFill>
        </w:rPr>
        <w:t>武汉友盟投资股份有限公司6</w:t>
      </w:r>
      <w:r>
        <w:rPr>
          <w:rFonts w:hint="eastAsia" w:ascii="仿宋" w:hAnsi="仿宋" w:eastAsia="仿宋" w:cs="仿宋"/>
          <w:color w:val="000000" w:themeColor="text1"/>
          <w:sz w:val="28"/>
          <w:szCs w:val="28"/>
          <w:highlight w:val="none"/>
          <w14:textFill>
            <w14:solidFill>
              <w14:schemeClr w14:val="tx1"/>
            </w14:solidFill>
          </w14:textFill>
        </w:rPr>
        <w:t>0%股权（认缴出资额6000万人民币），武汉聚力通达工业投资有限公司20%的股权（认缴出资额</w:t>
      </w:r>
      <w:r>
        <w:rPr>
          <w:rFonts w:hint="eastAsia" w:ascii="仿宋" w:hAnsi="仿宋" w:eastAsia="仿宋" w:cs="仿宋"/>
          <w:color w:val="000000" w:themeColor="text1"/>
          <w:sz w:val="28"/>
          <w:szCs w:val="28"/>
          <w:highlight w:val="none"/>
          <w:lang w:val="en-US" w:eastAsia="zh-CN"/>
          <w14:textFill>
            <w14:solidFill>
              <w14:schemeClr w14:val="tx1"/>
            </w14:solidFill>
          </w14:textFill>
        </w:rPr>
        <w:t>2</w:t>
      </w:r>
      <w:r>
        <w:rPr>
          <w:rFonts w:hint="eastAsia" w:ascii="仿宋" w:hAnsi="仿宋" w:eastAsia="仿宋" w:cs="仿宋"/>
          <w:color w:val="000000" w:themeColor="text1"/>
          <w:sz w:val="28"/>
          <w:szCs w:val="28"/>
          <w:highlight w:val="none"/>
          <w14:textFill>
            <w14:solidFill>
              <w14:schemeClr w14:val="tx1"/>
            </w14:solidFill>
          </w14:textFill>
        </w:rPr>
        <w:t>000万人民币），武汉华高投资有限公司20%的股权（认缴出资额</w:t>
      </w:r>
      <w:r>
        <w:rPr>
          <w:rFonts w:hint="eastAsia" w:ascii="仿宋" w:hAnsi="仿宋" w:eastAsia="仿宋" w:cs="仿宋"/>
          <w:color w:val="000000" w:themeColor="text1"/>
          <w:sz w:val="28"/>
          <w:szCs w:val="28"/>
          <w:highlight w:val="none"/>
          <w:lang w:val="en-US" w:eastAsia="zh-CN"/>
          <w14:textFill>
            <w14:solidFill>
              <w14:schemeClr w14:val="tx1"/>
            </w14:solidFill>
          </w14:textFill>
        </w:rPr>
        <w:t>2</w:t>
      </w:r>
      <w:r>
        <w:rPr>
          <w:rFonts w:hint="eastAsia" w:ascii="仿宋" w:hAnsi="仿宋" w:eastAsia="仿宋" w:cs="仿宋"/>
          <w:color w:val="000000" w:themeColor="text1"/>
          <w:sz w:val="28"/>
          <w:szCs w:val="28"/>
          <w:highlight w:val="none"/>
          <w14:textFill>
            <w14:solidFill>
              <w14:schemeClr w14:val="tx1"/>
            </w14:solidFill>
          </w14:textFill>
        </w:rPr>
        <w:t>000万人民币），法定代表人喻小华</w:t>
      </w:r>
      <w:r>
        <w:rPr>
          <w:rFonts w:hint="eastAsia" w:ascii="仿宋" w:hAnsi="仿宋" w:eastAsia="仿宋" w:cs="仿宋"/>
          <w:color w:val="000000" w:themeColor="text1"/>
          <w:sz w:val="28"/>
          <w:szCs w:val="28"/>
          <w:highlight w:val="none"/>
          <w:lang w:val="en-US" w:eastAsia="zh-CN"/>
          <w14:textFill>
            <w14:solidFill>
              <w14:schemeClr w14:val="tx1"/>
            </w14:solidFill>
          </w14:textFill>
        </w:rPr>
        <w:t>。</w:t>
      </w:r>
      <w:r>
        <w:rPr>
          <w:rFonts w:hint="eastAsia" w:ascii="仿宋" w:hAnsi="仿宋" w:eastAsia="仿宋" w:cs="仿宋"/>
          <w:color w:val="000000" w:themeColor="text1"/>
          <w:sz w:val="28"/>
          <w:szCs w:val="28"/>
          <w:highlight w:val="none"/>
          <w14:textFill>
            <w14:solidFill>
              <w14:schemeClr w14:val="tx1"/>
            </w14:solidFill>
          </w14:textFill>
        </w:rPr>
        <w:t>公司经营范围为金属材料、建筑材料、装饰材料、化工材料（不含化学危险品）加工、销售；商品房销售；房地产开发；中国长江金属交易中心园区内物业管理，房屋租赁；装卸、搬运服务，仓储服务，停车服务</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14:textFill>
            <w14:solidFill>
              <w14:schemeClr w14:val="tx1"/>
            </w14:solidFill>
          </w14:textFill>
        </w:rPr>
        <w:t>（依法须经审批的项目，经相关部门审批后方可开展经营活动）</w:t>
      </w:r>
    </w:p>
    <w:p w14:paraId="2C328204">
      <w:pPr>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bCs/>
          <w:color w:val="000000" w:themeColor="text1"/>
          <w:sz w:val="28"/>
          <w:szCs w:val="28"/>
          <w:highlight w:val="none"/>
          <w14:textFill>
            <w14:solidFill>
              <w14:schemeClr w14:val="tx1"/>
            </w14:solidFill>
          </w14:textFill>
        </w:rPr>
      </w:pPr>
      <w:r>
        <w:rPr>
          <w:rFonts w:hint="eastAsia" w:ascii="仿宋" w:hAnsi="仿宋" w:eastAsia="仿宋" w:cs="仿宋"/>
          <w:b/>
          <w:bCs/>
          <w:color w:val="000000" w:themeColor="text1"/>
          <w:sz w:val="28"/>
          <w:szCs w:val="28"/>
          <w:highlight w:val="none"/>
          <w14:textFill>
            <w14:solidFill>
              <w14:schemeClr w14:val="tx1"/>
            </w14:solidFill>
          </w14:textFill>
        </w:rPr>
        <w:t>2、主要资产情况</w:t>
      </w:r>
    </w:p>
    <w:p w14:paraId="1D4CB09D">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（1）土地使用权</w:t>
      </w:r>
    </w:p>
    <w:p w14:paraId="4EB2ECFC">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微软雅黑" w:hAnsi="微软雅黑" w:eastAsia="微软雅黑" w:cs="微软雅黑"/>
          <w:color w:val="000000" w:themeColor="text1"/>
          <w:sz w:val="28"/>
          <w:szCs w:val="28"/>
          <w:highlight w:val="none"/>
          <w14:textFill>
            <w14:solidFill>
              <w14:schemeClr w14:val="tx1"/>
            </w14:solidFill>
          </w14:textFill>
        </w:rPr>
        <w:t>①</w:t>
      </w:r>
      <w:r>
        <w:rPr>
          <w:rFonts w:hint="eastAsia" w:ascii="仿宋" w:hAnsi="仿宋" w:eastAsia="仿宋" w:cs="仿宋"/>
          <w:color w:val="000000" w:themeColor="text1"/>
          <w:sz w:val="28"/>
          <w:szCs w:val="28"/>
          <w:highlight w:val="none"/>
          <w:lang w:val="en-US" w:eastAsia="zh-CN"/>
          <w14:textFill>
            <w14:solidFill>
              <w14:schemeClr w14:val="tx1"/>
            </w14:solidFill>
          </w14:textFill>
        </w:rPr>
        <w:t>7</w:t>
      </w:r>
      <w:r>
        <w:rPr>
          <w:rFonts w:hint="eastAsia" w:ascii="仿宋" w:hAnsi="仿宋" w:eastAsia="仿宋" w:cs="仿宋"/>
          <w:color w:val="000000" w:themeColor="text1"/>
          <w:sz w:val="28"/>
          <w:szCs w:val="28"/>
          <w:highlight w:val="none"/>
          <w14:textFill>
            <w14:solidFill>
              <w14:schemeClr w14:val="tx1"/>
            </w14:solidFill>
          </w14:textFill>
        </w:rPr>
        <w:t>宗土地使用权</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已办理土地使用权证</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14:textFill>
            <w14:solidFill>
              <w14:schemeClr w14:val="tx1"/>
            </w14:solidFill>
          </w14:textFill>
        </w:rPr>
        <w:t>，坐落于</w:t>
      </w:r>
      <w:r>
        <w:rPr>
          <w:rFonts w:hint="eastAsia" w:ascii="仿宋" w:hAnsi="仿宋" w:eastAsia="仿宋" w:cs="仿宋"/>
          <w:color w:val="000000" w:themeColor="text1"/>
          <w:sz w:val="28"/>
          <w:szCs w:val="28"/>
          <w:highlight w:val="none"/>
          <w:lang w:val="en-US" w:eastAsia="zh-CN"/>
          <w14:textFill>
            <w14:solidFill>
              <w14:schemeClr w14:val="tx1"/>
            </w14:solidFill>
          </w14:textFill>
        </w:rPr>
        <w:t>武汉市长江新区武湖农场沙口分场。7宗土地使用权地类（</w:t>
      </w:r>
      <w:r>
        <w:rPr>
          <w:rFonts w:hint="eastAsia" w:ascii="仿宋" w:hAnsi="仿宋" w:eastAsia="仿宋" w:cs="仿宋"/>
          <w:color w:val="000000" w:themeColor="text1"/>
          <w:sz w:val="28"/>
          <w:szCs w:val="28"/>
          <w:highlight w:val="none"/>
          <w14:textFill>
            <w14:solidFill>
              <w14:schemeClr w14:val="tx1"/>
            </w14:solidFill>
          </w14:textFill>
        </w:rPr>
        <w:t>用途</w:t>
      </w:r>
      <w:r>
        <w:rPr>
          <w:rFonts w:hint="eastAsia" w:ascii="仿宋" w:hAnsi="仿宋" w:eastAsia="仿宋" w:cs="仿宋"/>
          <w:color w:val="000000" w:themeColor="text1"/>
          <w:sz w:val="28"/>
          <w:szCs w:val="28"/>
          <w:highlight w:val="none"/>
          <w:lang w:val="en-US" w:eastAsia="zh-CN"/>
          <w14:textFill>
            <w14:solidFill>
              <w14:schemeClr w14:val="tx1"/>
            </w14:solidFill>
          </w14:textFill>
        </w:rPr>
        <w:t>）</w:t>
      </w:r>
      <w:r>
        <w:rPr>
          <w:rFonts w:hint="eastAsia" w:ascii="仿宋" w:hAnsi="仿宋" w:eastAsia="仿宋" w:cs="仿宋"/>
          <w:color w:val="000000" w:themeColor="text1"/>
          <w:sz w:val="28"/>
          <w:szCs w:val="28"/>
          <w:highlight w:val="none"/>
          <w14:textFill>
            <w14:solidFill>
              <w14:schemeClr w14:val="tx1"/>
            </w14:solidFill>
          </w14:textFill>
        </w:rPr>
        <w:t>为</w:t>
      </w:r>
      <w:r>
        <w:rPr>
          <w:rFonts w:hint="eastAsia" w:ascii="仿宋" w:hAnsi="仿宋" w:eastAsia="仿宋" w:cs="仿宋"/>
          <w:color w:val="000000" w:themeColor="text1"/>
          <w:sz w:val="28"/>
          <w:szCs w:val="28"/>
          <w:highlight w:val="none"/>
          <w:lang w:val="en-US" w:eastAsia="zh-CN"/>
          <w14:textFill>
            <w14:solidFill>
              <w14:schemeClr w14:val="tx1"/>
            </w14:solidFill>
          </w14:textFill>
        </w:rPr>
        <w:t>仓储用地、仓储（综合物流）</w:t>
      </w:r>
      <w:r>
        <w:rPr>
          <w:rFonts w:hint="eastAsia" w:ascii="仿宋" w:hAnsi="仿宋" w:eastAsia="仿宋" w:cs="仿宋"/>
          <w:color w:val="000000" w:themeColor="text1"/>
          <w:sz w:val="28"/>
          <w:szCs w:val="28"/>
          <w:highlight w:val="none"/>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使用权类型</w:t>
      </w:r>
      <w:r>
        <w:rPr>
          <w:rFonts w:hint="eastAsia" w:ascii="仿宋" w:hAnsi="仿宋" w:eastAsia="仿宋" w:cs="仿宋"/>
          <w:color w:val="000000" w:themeColor="text1"/>
          <w:sz w:val="28"/>
          <w:szCs w:val="28"/>
          <w:highlight w:val="none"/>
          <w14:textFill>
            <w14:solidFill>
              <w14:schemeClr w14:val="tx1"/>
            </w14:solidFill>
          </w14:textFill>
        </w:rPr>
        <w:t>为出让，</w:t>
      </w:r>
      <w:r>
        <w:rPr>
          <w:rFonts w:hint="eastAsia" w:ascii="仿宋" w:hAnsi="仿宋" w:eastAsia="仿宋" w:cs="仿宋"/>
          <w:color w:val="000000" w:themeColor="text1"/>
          <w:sz w:val="28"/>
          <w:szCs w:val="28"/>
          <w:highlight w:val="none"/>
          <w:lang w:val="en-US" w:eastAsia="zh-CN"/>
          <w14:textFill>
            <w14:solidFill>
              <w14:schemeClr w14:val="tx1"/>
            </w14:solidFill>
          </w14:textFill>
        </w:rPr>
        <w:t>合计面积：</w:t>
      </w:r>
      <w:r>
        <w:rPr>
          <w:rFonts w:hint="eastAsia" w:ascii="仿宋" w:hAnsi="仿宋" w:eastAsia="仿宋" w:cs="仿宋"/>
          <w:b w:val="0"/>
          <w:bCs w:val="0"/>
          <w:color w:val="000000" w:themeColor="text1"/>
          <w:sz w:val="28"/>
          <w:szCs w:val="28"/>
          <w:highlight w:val="none"/>
          <w:vertAlign w:val="baseline"/>
          <w:lang w:val="en-US" w:eastAsia="zh-CN"/>
          <w14:textFill>
            <w14:solidFill>
              <w14:schemeClr w14:val="tx1"/>
            </w14:solidFill>
          </w14:textFill>
        </w:rPr>
        <w:t>647871.37</w:t>
      </w:r>
      <w:r>
        <w:rPr>
          <w:rFonts w:hint="eastAsia" w:ascii="仿宋" w:hAnsi="仿宋" w:eastAsia="仿宋" w:cs="仿宋"/>
          <w:color w:val="000000" w:themeColor="text1"/>
          <w:sz w:val="28"/>
          <w:szCs w:val="28"/>
          <w:highlight w:val="none"/>
          <w:lang w:val="en-US" w:eastAsia="zh-CN"/>
          <w14:textFill>
            <w14:solidFill>
              <w14:schemeClr w14:val="tx1"/>
            </w14:solidFill>
          </w14:textFill>
        </w:rPr>
        <w:t>平方米。</w:t>
      </w:r>
    </w:p>
    <w:p w14:paraId="2B866B2D">
      <w:pPr>
        <w:spacing w:line="360" w:lineRule="auto"/>
        <w:ind w:firstLine="560" w:firstLineChars="200"/>
        <w:rPr>
          <w:rFonts w:hint="eastAsia" w:ascii="仿宋" w:hAnsi="仿宋" w:eastAsia="仿宋" w:cs="仿宋"/>
          <w:color w:val="000000" w:themeColor="text1"/>
          <w:sz w:val="28"/>
          <w:szCs w:val="28"/>
          <w:highlight w:val="none"/>
          <w:u w:val="singl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②2宗土地（未办理土地使用权证），分别是：</w:t>
      </w:r>
      <w:r>
        <w:rPr>
          <w:rFonts w:hint="eastAsia" w:ascii="仿宋" w:hAnsi="仿宋" w:eastAsia="仿宋" w:cs="仿宋"/>
          <w:color w:val="000000" w:themeColor="text1"/>
          <w:sz w:val="28"/>
          <w:szCs w:val="28"/>
          <w:highlight w:val="none"/>
          <w:u w:val="single"/>
          <w14:textFill>
            <w14:solidFill>
              <w14:schemeClr w14:val="tx1"/>
            </w14:solidFill>
          </w14:textFill>
        </w:rPr>
        <w:t>HPP(2012)076号地块</w:t>
      </w:r>
      <w:r>
        <w:rPr>
          <w:rFonts w:hint="eastAsia" w:ascii="仿宋" w:hAnsi="仿宋" w:eastAsia="仿宋" w:cs="仿宋"/>
          <w:color w:val="000000" w:themeColor="text1"/>
          <w:sz w:val="28"/>
          <w:szCs w:val="28"/>
          <w:highlight w:val="none"/>
          <w:u w:val="none"/>
          <w14:textFill>
            <w14:solidFill>
              <w14:schemeClr w14:val="tx1"/>
            </w14:solidFill>
          </w14:textFill>
        </w:rPr>
        <w:t>，</w:t>
      </w:r>
      <w:r>
        <w:rPr>
          <w:rFonts w:hint="eastAsia" w:ascii="仿宋" w:hAnsi="仿宋" w:eastAsia="仿宋" w:cs="仿宋"/>
          <w:color w:val="000000" w:themeColor="text1"/>
          <w:sz w:val="28"/>
          <w:szCs w:val="28"/>
          <w:highlight w:val="none"/>
          <w14:textFill>
            <w14:solidFill>
              <w14:schemeClr w14:val="tx1"/>
            </w14:solidFill>
          </w14:textFill>
        </w:rPr>
        <w:t>已具备办理土地使用权证的条件（华鑫汇通公司于2012年8月14日取得《建设用地使用条件》，于2014年4月缴纳契税及交易服务费，于2019年11月26日取得《建设用地规划许可证》），但尚未办理土地使用权证，面积118905.7平方米；</w:t>
      </w:r>
      <w:r>
        <w:rPr>
          <w:rFonts w:hint="eastAsia" w:ascii="仿宋" w:hAnsi="仿宋" w:eastAsia="仿宋" w:cs="仿宋"/>
          <w:color w:val="000000" w:themeColor="text1"/>
          <w:sz w:val="28"/>
          <w:szCs w:val="28"/>
          <w:highlight w:val="none"/>
          <w:u w:val="single"/>
          <w14:textFill>
            <w14:solidFill>
              <w14:schemeClr w14:val="tx1"/>
            </w14:solidFill>
          </w14:textFill>
        </w:rPr>
        <w:t>HPP[2013]007号地块</w:t>
      </w:r>
      <w:r>
        <w:rPr>
          <w:rFonts w:hint="eastAsia" w:ascii="仿宋" w:hAnsi="仿宋" w:eastAsia="仿宋" w:cs="仿宋"/>
          <w:color w:val="000000" w:themeColor="text1"/>
          <w:sz w:val="28"/>
          <w:szCs w:val="28"/>
          <w:highlight w:val="none"/>
          <w:u w:val="none"/>
          <w14:textFill>
            <w14:solidFill>
              <w14:schemeClr w14:val="tx1"/>
            </w14:solidFill>
          </w14:textFill>
        </w:rPr>
        <w:t>，已签署</w:t>
      </w:r>
      <w:r>
        <w:rPr>
          <w:rFonts w:hint="eastAsia" w:ascii="仿宋" w:hAnsi="仿宋" w:eastAsia="仿宋" w:cs="仿宋"/>
          <w:color w:val="000000" w:themeColor="text1"/>
          <w:sz w:val="28"/>
          <w:szCs w:val="28"/>
          <w:highlight w:val="none"/>
          <w14:textFill>
            <w14:solidFill>
              <w14:schemeClr w14:val="tx1"/>
            </w14:solidFill>
          </w14:textFill>
        </w:rPr>
        <w:t>《国有土地使用权成交确认书》，面积114364平方米，根据初步调查，华鑫汇通公司尚欠国有土地出让金</w:t>
      </w:r>
      <w:r>
        <w:rPr>
          <w:rFonts w:hint="eastAsia" w:ascii="仿宋" w:hAnsi="仿宋" w:eastAsia="仿宋" w:cs="仿宋"/>
          <w:color w:val="000000" w:themeColor="text1"/>
          <w:sz w:val="28"/>
          <w:szCs w:val="28"/>
          <w:highlight w:val="none"/>
          <w:lang w:val="en-US" w:eastAsia="zh-CN"/>
          <w14:textFill>
            <w14:solidFill>
              <w14:schemeClr w14:val="tx1"/>
            </w14:solidFill>
          </w14:textFill>
        </w:rPr>
        <w:t>本金</w:t>
      </w:r>
      <w:r>
        <w:rPr>
          <w:rFonts w:hint="eastAsia" w:ascii="仿宋" w:hAnsi="仿宋" w:eastAsia="仿宋" w:cs="仿宋"/>
          <w:color w:val="000000" w:themeColor="text1"/>
          <w:sz w:val="28"/>
          <w:szCs w:val="28"/>
          <w:highlight w:val="none"/>
          <w14:textFill>
            <w14:solidFill>
              <w14:schemeClr w14:val="tx1"/>
            </w14:solidFill>
          </w14:textFill>
        </w:rPr>
        <w:t>近4000万元，未办理土地使用权证。</w:t>
      </w:r>
    </w:p>
    <w:p w14:paraId="4AD0515D">
      <w:pPr>
        <w:spacing w:line="360" w:lineRule="auto"/>
        <w:ind w:firstLine="560" w:firstLineChars="200"/>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具体如下：</w:t>
      </w:r>
    </w:p>
    <w:tbl>
      <w:tblPr>
        <w:tblStyle w:val="13"/>
        <w:tblW w:w="8628" w:type="dxa"/>
        <w:tblInd w:w="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6"/>
        <w:gridCol w:w="2304"/>
        <w:gridCol w:w="1968"/>
        <w:gridCol w:w="1284"/>
        <w:gridCol w:w="1536"/>
      </w:tblGrid>
      <w:tr w14:paraId="02C2E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vAlign w:val="center"/>
          </w:tcPr>
          <w:p w14:paraId="20F2A555">
            <w:pPr>
              <w:jc w:val="center"/>
              <w:rPr>
                <w:rFonts w:hint="eastAsia" w:ascii="仿宋" w:hAnsi="仿宋" w:eastAsia="仿宋" w:cs="仿宋"/>
                <w:b/>
                <w:bCs/>
                <w:color w:val="000000" w:themeColor="text1"/>
                <w:sz w:val="21"/>
                <w:szCs w:val="21"/>
                <w:highlight w:val="none"/>
                <w14:textFill>
                  <w14:solidFill>
                    <w14:schemeClr w14:val="tx1"/>
                  </w14:solidFill>
                </w14:textFill>
              </w:rPr>
            </w:pPr>
            <w:r>
              <w:rPr>
                <w:rFonts w:hint="eastAsia" w:ascii="仿宋" w:hAnsi="仿宋" w:eastAsia="仿宋" w:cs="仿宋"/>
                <w:b/>
                <w:bCs/>
                <w:color w:val="000000" w:themeColor="text1"/>
                <w:sz w:val="21"/>
                <w:szCs w:val="21"/>
                <w:highlight w:val="none"/>
                <w14:textFill>
                  <w14:solidFill>
                    <w14:schemeClr w14:val="tx1"/>
                  </w14:solidFill>
                </w14:textFill>
              </w:rPr>
              <w:t>宗地编号</w:t>
            </w:r>
          </w:p>
        </w:tc>
        <w:tc>
          <w:tcPr>
            <w:tcW w:w="2304" w:type="dxa"/>
            <w:vAlign w:val="center"/>
          </w:tcPr>
          <w:p w14:paraId="31707CF8">
            <w:pPr>
              <w:jc w:val="center"/>
              <w:rPr>
                <w:rFonts w:hint="eastAsia" w:ascii="仿宋" w:hAnsi="仿宋" w:eastAsia="仿宋" w:cs="仿宋"/>
                <w:b/>
                <w:bCs/>
                <w:color w:val="000000" w:themeColor="text1"/>
                <w:sz w:val="21"/>
                <w:szCs w:val="21"/>
                <w:highlight w:val="none"/>
                <w14:textFill>
                  <w14:solidFill>
                    <w14:schemeClr w14:val="tx1"/>
                  </w14:solidFill>
                </w14:textFill>
              </w:rPr>
            </w:pPr>
            <w:r>
              <w:rPr>
                <w:rFonts w:hint="eastAsia" w:ascii="仿宋" w:hAnsi="仿宋" w:eastAsia="仿宋" w:cs="仿宋"/>
                <w:b/>
                <w:bCs/>
                <w:color w:val="000000" w:themeColor="text1"/>
                <w:sz w:val="21"/>
                <w:szCs w:val="21"/>
                <w:highlight w:val="none"/>
                <w14:textFill>
                  <w14:solidFill>
                    <w14:schemeClr w14:val="tx1"/>
                  </w14:solidFill>
                </w14:textFill>
              </w:rPr>
              <w:t>土地证号</w:t>
            </w:r>
          </w:p>
        </w:tc>
        <w:tc>
          <w:tcPr>
            <w:tcW w:w="1968" w:type="dxa"/>
            <w:vAlign w:val="center"/>
          </w:tcPr>
          <w:p w14:paraId="69C2D804">
            <w:pPr>
              <w:jc w:val="center"/>
              <w:rPr>
                <w:rFonts w:hint="eastAsia" w:ascii="仿宋" w:hAnsi="仿宋" w:eastAsia="仿宋" w:cs="仿宋"/>
                <w:b/>
                <w:bCs/>
                <w:color w:val="000000" w:themeColor="text1"/>
                <w:sz w:val="21"/>
                <w:szCs w:val="21"/>
                <w:highlight w:val="none"/>
                <w14:textFill>
                  <w14:solidFill>
                    <w14:schemeClr w14:val="tx1"/>
                  </w14:solidFill>
                </w14:textFill>
              </w:rPr>
            </w:pPr>
            <w:r>
              <w:rPr>
                <w:rFonts w:hint="eastAsia" w:ascii="仿宋" w:hAnsi="仿宋" w:eastAsia="仿宋" w:cs="仿宋"/>
                <w:b/>
                <w:bCs/>
                <w:color w:val="000000" w:themeColor="text1"/>
                <w:sz w:val="21"/>
                <w:szCs w:val="21"/>
                <w:highlight w:val="none"/>
                <w14:textFill>
                  <w14:solidFill>
                    <w14:schemeClr w14:val="tx1"/>
                  </w14:solidFill>
                </w14:textFill>
              </w:rPr>
              <w:t>建设用地许可证号</w:t>
            </w:r>
          </w:p>
        </w:tc>
        <w:tc>
          <w:tcPr>
            <w:tcW w:w="1284" w:type="dxa"/>
            <w:vAlign w:val="center"/>
          </w:tcPr>
          <w:p w14:paraId="30B1F4B1">
            <w:pPr>
              <w:jc w:val="center"/>
              <w:rPr>
                <w:rFonts w:hint="eastAsia" w:ascii="仿宋" w:hAnsi="仿宋" w:eastAsia="仿宋" w:cs="仿宋"/>
                <w:b/>
                <w:bCs/>
                <w:color w:val="000000" w:themeColor="text1"/>
                <w:sz w:val="21"/>
                <w:szCs w:val="21"/>
                <w:highlight w:val="none"/>
                <w14:textFill>
                  <w14:solidFill>
                    <w14:schemeClr w14:val="tx1"/>
                  </w14:solidFill>
                </w14:textFill>
              </w:rPr>
            </w:pPr>
            <w:r>
              <w:rPr>
                <w:rFonts w:hint="eastAsia" w:ascii="仿宋" w:hAnsi="仿宋" w:eastAsia="仿宋" w:cs="仿宋"/>
                <w:b/>
                <w:bCs/>
                <w:color w:val="000000" w:themeColor="text1"/>
                <w:sz w:val="21"/>
                <w:szCs w:val="21"/>
                <w:highlight w:val="none"/>
                <w14:textFill>
                  <w14:solidFill>
                    <w14:schemeClr w14:val="tx1"/>
                  </w14:solidFill>
                </w14:textFill>
              </w:rPr>
              <w:t>面积（㎡）</w:t>
            </w:r>
          </w:p>
        </w:tc>
        <w:tc>
          <w:tcPr>
            <w:tcW w:w="1536" w:type="dxa"/>
            <w:vAlign w:val="center"/>
          </w:tcPr>
          <w:p w14:paraId="50E7FC36">
            <w:pPr>
              <w:jc w:val="center"/>
              <w:rPr>
                <w:rFonts w:hint="eastAsia" w:ascii="仿宋" w:hAnsi="仿宋" w:eastAsia="仿宋" w:cs="仿宋"/>
                <w:b/>
                <w:bCs/>
                <w:color w:val="000000" w:themeColor="text1"/>
                <w:sz w:val="21"/>
                <w:szCs w:val="21"/>
                <w:highlight w:val="none"/>
                <w14:textFill>
                  <w14:solidFill>
                    <w14:schemeClr w14:val="tx1"/>
                  </w14:solidFill>
                </w14:textFill>
              </w:rPr>
            </w:pPr>
            <w:r>
              <w:rPr>
                <w:rFonts w:hint="eastAsia" w:ascii="仿宋" w:hAnsi="仿宋" w:eastAsia="仿宋" w:cs="仿宋"/>
                <w:b/>
                <w:bCs/>
                <w:color w:val="000000" w:themeColor="text1"/>
                <w:sz w:val="21"/>
                <w:szCs w:val="21"/>
                <w:highlight w:val="none"/>
                <w14:textFill>
                  <w14:solidFill>
                    <w14:schemeClr w14:val="tx1"/>
                  </w14:solidFill>
                </w14:textFill>
              </w:rPr>
              <w:t>使用权</w:t>
            </w:r>
          </w:p>
          <w:p w14:paraId="45FCF97A">
            <w:pPr>
              <w:jc w:val="center"/>
              <w:rPr>
                <w:rFonts w:hint="eastAsia" w:ascii="仿宋" w:hAnsi="仿宋" w:eastAsia="仿宋" w:cs="仿宋"/>
                <w:b/>
                <w:bCs/>
                <w:color w:val="000000" w:themeColor="text1"/>
                <w:sz w:val="21"/>
                <w:szCs w:val="21"/>
                <w:highlight w:val="none"/>
                <w14:textFill>
                  <w14:solidFill>
                    <w14:schemeClr w14:val="tx1"/>
                  </w14:solidFill>
                </w14:textFill>
              </w:rPr>
            </w:pPr>
            <w:r>
              <w:rPr>
                <w:rFonts w:hint="eastAsia" w:ascii="仿宋" w:hAnsi="仿宋" w:eastAsia="仿宋" w:cs="仿宋"/>
                <w:b/>
                <w:bCs/>
                <w:color w:val="000000" w:themeColor="text1"/>
                <w:sz w:val="21"/>
                <w:szCs w:val="21"/>
                <w:highlight w:val="none"/>
                <w14:textFill>
                  <w14:solidFill>
                    <w14:schemeClr w14:val="tx1"/>
                  </w14:solidFill>
                </w14:textFill>
              </w:rPr>
              <w:t>终止日期</w:t>
            </w:r>
          </w:p>
        </w:tc>
      </w:tr>
      <w:tr w14:paraId="35739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vAlign w:val="center"/>
          </w:tcPr>
          <w:p w14:paraId="5E1A9A27">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P(2009)097号</w:t>
            </w:r>
          </w:p>
        </w:tc>
        <w:tc>
          <w:tcPr>
            <w:tcW w:w="2304" w:type="dxa"/>
            <w:vAlign w:val="center"/>
          </w:tcPr>
          <w:p w14:paraId="07CA293F">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黄陂国用（2010）第554号</w:t>
            </w:r>
          </w:p>
        </w:tc>
        <w:tc>
          <w:tcPr>
            <w:tcW w:w="1968" w:type="dxa"/>
            <w:vAlign w:val="center"/>
          </w:tcPr>
          <w:p w14:paraId="2E6A27EC">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武规（陂）[2010]</w:t>
            </w:r>
          </w:p>
          <w:p w14:paraId="282BD3AD">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017号</w:t>
            </w:r>
          </w:p>
        </w:tc>
        <w:tc>
          <w:tcPr>
            <w:tcW w:w="1284" w:type="dxa"/>
            <w:vAlign w:val="center"/>
          </w:tcPr>
          <w:p w14:paraId="25899152">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143479.44</w:t>
            </w:r>
          </w:p>
        </w:tc>
        <w:tc>
          <w:tcPr>
            <w:tcW w:w="1536" w:type="dxa"/>
            <w:vAlign w:val="center"/>
          </w:tcPr>
          <w:p w14:paraId="68EE767C">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2060年1月17日</w:t>
            </w:r>
          </w:p>
        </w:tc>
      </w:tr>
      <w:tr w14:paraId="567C8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vAlign w:val="center"/>
          </w:tcPr>
          <w:p w14:paraId="1A63C199">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P(2009)095号</w:t>
            </w:r>
          </w:p>
        </w:tc>
        <w:tc>
          <w:tcPr>
            <w:tcW w:w="2304" w:type="dxa"/>
            <w:vAlign w:val="center"/>
          </w:tcPr>
          <w:p w14:paraId="60E23816">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黄陂国用（2010）第555号</w:t>
            </w:r>
          </w:p>
        </w:tc>
        <w:tc>
          <w:tcPr>
            <w:tcW w:w="1968" w:type="dxa"/>
            <w:vAlign w:val="center"/>
          </w:tcPr>
          <w:p w14:paraId="6A66F3A2">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武规（陂）地[2010]016号</w:t>
            </w:r>
          </w:p>
        </w:tc>
        <w:tc>
          <w:tcPr>
            <w:tcW w:w="1284" w:type="dxa"/>
            <w:vAlign w:val="center"/>
          </w:tcPr>
          <w:p w14:paraId="1FA2FF9A">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120121.73</w:t>
            </w:r>
          </w:p>
        </w:tc>
        <w:tc>
          <w:tcPr>
            <w:tcW w:w="1536" w:type="dxa"/>
            <w:vAlign w:val="center"/>
          </w:tcPr>
          <w:p w14:paraId="33797D08">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2060年1月17日</w:t>
            </w:r>
          </w:p>
        </w:tc>
      </w:tr>
      <w:tr w14:paraId="744CB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vAlign w:val="center"/>
          </w:tcPr>
          <w:p w14:paraId="54C1A46D">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P(2009)096号</w:t>
            </w:r>
          </w:p>
        </w:tc>
        <w:tc>
          <w:tcPr>
            <w:tcW w:w="2304" w:type="dxa"/>
            <w:vAlign w:val="center"/>
          </w:tcPr>
          <w:p w14:paraId="699A9977">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黄陂国用（2010）第556号</w:t>
            </w:r>
          </w:p>
        </w:tc>
        <w:tc>
          <w:tcPr>
            <w:tcW w:w="1968" w:type="dxa"/>
            <w:vAlign w:val="center"/>
          </w:tcPr>
          <w:p w14:paraId="026935EA">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武规（陂）地[2010]019号</w:t>
            </w:r>
          </w:p>
        </w:tc>
        <w:tc>
          <w:tcPr>
            <w:tcW w:w="1284" w:type="dxa"/>
            <w:vAlign w:val="center"/>
          </w:tcPr>
          <w:p w14:paraId="289D8A73">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73110.86</w:t>
            </w:r>
          </w:p>
        </w:tc>
        <w:tc>
          <w:tcPr>
            <w:tcW w:w="1536" w:type="dxa"/>
            <w:vAlign w:val="center"/>
          </w:tcPr>
          <w:p w14:paraId="0883EF5A">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2060年1月17日</w:t>
            </w:r>
          </w:p>
        </w:tc>
      </w:tr>
      <w:tr w14:paraId="7DAF5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vAlign w:val="center"/>
          </w:tcPr>
          <w:p w14:paraId="7D46256E">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P(2009)094号</w:t>
            </w:r>
          </w:p>
        </w:tc>
        <w:tc>
          <w:tcPr>
            <w:tcW w:w="2304" w:type="dxa"/>
            <w:vAlign w:val="center"/>
          </w:tcPr>
          <w:p w14:paraId="781B523E">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黄陂国用（2010）第557号</w:t>
            </w:r>
          </w:p>
        </w:tc>
        <w:tc>
          <w:tcPr>
            <w:tcW w:w="1968" w:type="dxa"/>
            <w:vAlign w:val="center"/>
          </w:tcPr>
          <w:p w14:paraId="3D4C707A">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武规（陂）地[2010]018号</w:t>
            </w:r>
          </w:p>
        </w:tc>
        <w:tc>
          <w:tcPr>
            <w:tcW w:w="1284" w:type="dxa"/>
            <w:vAlign w:val="center"/>
          </w:tcPr>
          <w:p w14:paraId="5612BA5E">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24891.44</w:t>
            </w:r>
          </w:p>
        </w:tc>
        <w:tc>
          <w:tcPr>
            <w:tcW w:w="1536" w:type="dxa"/>
            <w:vAlign w:val="center"/>
          </w:tcPr>
          <w:p w14:paraId="27523B7E">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2060年1月17日</w:t>
            </w:r>
          </w:p>
        </w:tc>
      </w:tr>
      <w:tr w14:paraId="76C89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vAlign w:val="center"/>
          </w:tcPr>
          <w:p w14:paraId="52CCAFE3">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P(2009)034号</w:t>
            </w:r>
          </w:p>
        </w:tc>
        <w:tc>
          <w:tcPr>
            <w:tcW w:w="2304" w:type="dxa"/>
            <w:vAlign w:val="center"/>
          </w:tcPr>
          <w:p w14:paraId="44CC1222">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黄陂国用（2009）第1831号</w:t>
            </w:r>
          </w:p>
        </w:tc>
        <w:tc>
          <w:tcPr>
            <w:tcW w:w="1968" w:type="dxa"/>
            <w:vAlign w:val="center"/>
          </w:tcPr>
          <w:p w14:paraId="73DCF624">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武规（陂）地[2009]019号</w:t>
            </w:r>
          </w:p>
        </w:tc>
        <w:tc>
          <w:tcPr>
            <w:tcW w:w="1284" w:type="dxa"/>
            <w:vAlign w:val="center"/>
          </w:tcPr>
          <w:p w14:paraId="33F92F6D">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29005.16</w:t>
            </w:r>
          </w:p>
        </w:tc>
        <w:tc>
          <w:tcPr>
            <w:tcW w:w="1536" w:type="dxa"/>
            <w:vAlign w:val="center"/>
          </w:tcPr>
          <w:p w14:paraId="237B032A">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2059年5月13日</w:t>
            </w:r>
          </w:p>
        </w:tc>
      </w:tr>
      <w:tr w14:paraId="54062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vAlign w:val="center"/>
          </w:tcPr>
          <w:p w14:paraId="6471548C">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P(2009)034号</w:t>
            </w:r>
          </w:p>
        </w:tc>
        <w:tc>
          <w:tcPr>
            <w:tcW w:w="2304" w:type="dxa"/>
            <w:vAlign w:val="center"/>
          </w:tcPr>
          <w:p w14:paraId="441B1F24">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黄陂国用（2009）第1832号</w:t>
            </w:r>
          </w:p>
        </w:tc>
        <w:tc>
          <w:tcPr>
            <w:tcW w:w="1968" w:type="dxa"/>
            <w:vAlign w:val="center"/>
          </w:tcPr>
          <w:p w14:paraId="05F2C900">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武规（陂）地[2009]019号</w:t>
            </w:r>
          </w:p>
        </w:tc>
        <w:tc>
          <w:tcPr>
            <w:tcW w:w="1284" w:type="dxa"/>
            <w:vAlign w:val="center"/>
          </w:tcPr>
          <w:p w14:paraId="1F093614">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117285.97</w:t>
            </w:r>
          </w:p>
        </w:tc>
        <w:tc>
          <w:tcPr>
            <w:tcW w:w="1536" w:type="dxa"/>
            <w:vAlign w:val="center"/>
          </w:tcPr>
          <w:p w14:paraId="088040CC">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2059年5月13日</w:t>
            </w:r>
          </w:p>
        </w:tc>
      </w:tr>
      <w:tr w14:paraId="7A388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vAlign w:val="center"/>
          </w:tcPr>
          <w:p w14:paraId="71281FA7">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HPP(2012)084号</w:t>
            </w:r>
          </w:p>
        </w:tc>
        <w:tc>
          <w:tcPr>
            <w:tcW w:w="2304" w:type="dxa"/>
            <w:vAlign w:val="center"/>
          </w:tcPr>
          <w:p w14:paraId="0F22FD9A">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黄陂国用（2014）第1315号</w:t>
            </w:r>
          </w:p>
        </w:tc>
        <w:tc>
          <w:tcPr>
            <w:tcW w:w="1968" w:type="dxa"/>
            <w:vAlign w:val="center"/>
          </w:tcPr>
          <w:p w14:paraId="634710B8">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武规（陂）地[2014]031号</w:t>
            </w:r>
          </w:p>
        </w:tc>
        <w:tc>
          <w:tcPr>
            <w:tcW w:w="1284" w:type="dxa"/>
            <w:vAlign w:val="center"/>
          </w:tcPr>
          <w:p w14:paraId="1C1207A8">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139976.77</w:t>
            </w:r>
          </w:p>
        </w:tc>
        <w:tc>
          <w:tcPr>
            <w:tcW w:w="1536" w:type="dxa"/>
            <w:vAlign w:val="center"/>
          </w:tcPr>
          <w:p w14:paraId="31491DDD">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2062年12月31日</w:t>
            </w:r>
          </w:p>
        </w:tc>
      </w:tr>
      <w:tr w14:paraId="515CF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vAlign w:val="center"/>
          </w:tcPr>
          <w:p w14:paraId="04708322">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HPP(2012)076号</w:t>
            </w:r>
          </w:p>
        </w:tc>
        <w:tc>
          <w:tcPr>
            <w:tcW w:w="2304" w:type="dxa"/>
            <w:vAlign w:val="center"/>
          </w:tcPr>
          <w:p w14:paraId="621A95EE">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无</w:t>
            </w:r>
          </w:p>
        </w:tc>
        <w:tc>
          <w:tcPr>
            <w:tcW w:w="1968" w:type="dxa"/>
            <w:vAlign w:val="center"/>
          </w:tcPr>
          <w:p w14:paraId="267466B0">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武规（陂）地[2019]097号</w:t>
            </w:r>
          </w:p>
        </w:tc>
        <w:tc>
          <w:tcPr>
            <w:tcW w:w="1284" w:type="dxa"/>
            <w:vAlign w:val="center"/>
          </w:tcPr>
          <w:p w14:paraId="4BD22476">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118905.7</w:t>
            </w:r>
          </w:p>
        </w:tc>
        <w:tc>
          <w:tcPr>
            <w:tcW w:w="1536" w:type="dxa"/>
            <w:vAlign w:val="center"/>
          </w:tcPr>
          <w:p w14:paraId="2E15648C">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无</w:t>
            </w:r>
          </w:p>
        </w:tc>
      </w:tr>
      <w:tr w14:paraId="69EFF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vAlign w:val="center"/>
          </w:tcPr>
          <w:p w14:paraId="449663D4">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HPP[2013]007号</w:t>
            </w:r>
          </w:p>
        </w:tc>
        <w:tc>
          <w:tcPr>
            <w:tcW w:w="2304" w:type="dxa"/>
            <w:vAlign w:val="center"/>
          </w:tcPr>
          <w:p w14:paraId="399BEBF2">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无</w:t>
            </w:r>
          </w:p>
        </w:tc>
        <w:tc>
          <w:tcPr>
            <w:tcW w:w="1968" w:type="dxa"/>
            <w:vAlign w:val="center"/>
          </w:tcPr>
          <w:p w14:paraId="4E97356F">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无</w:t>
            </w:r>
          </w:p>
        </w:tc>
        <w:tc>
          <w:tcPr>
            <w:tcW w:w="1284" w:type="dxa"/>
            <w:vAlign w:val="center"/>
          </w:tcPr>
          <w:p w14:paraId="08A418EC">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114364</w:t>
            </w:r>
          </w:p>
        </w:tc>
        <w:tc>
          <w:tcPr>
            <w:tcW w:w="1536" w:type="dxa"/>
            <w:vAlign w:val="center"/>
          </w:tcPr>
          <w:p w14:paraId="05CACDE4">
            <w:pPr>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无</w:t>
            </w:r>
          </w:p>
        </w:tc>
      </w:tr>
      <w:tr w14:paraId="4CBF5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08" w:type="dxa"/>
            <w:gridSpan w:val="3"/>
            <w:vAlign w:val="center"/>
          </w:tcPr>
          <w:p w14:paraId="4E7707DF">
            <w:pPr>
              <w:spacing w:line="360" w:lineRule="auto"/>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合计</w:t>
            </w:r>
          </w:p>
        </w:tc>
        <w:tc>
          <w:tcPr>
            <w:tcW w:w="1284" w:type="dxa"/>
            <w:vAlign w:val="center"/>
          </w:tcPr>
          <w:p w14:paraId="25BFC1E5">
            <w:pPr>
              <w:spacing w:line="360" w:lineRule="auto"/>
              <w:jc w:val="center"/>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b/>
                <w:bCs/>
                <w:color w:val="000000" w:themeColor="text1"/>
                <w:sz w:val="21"/>
                <w:szCs w:val="21"/>
                <w:highlight w:val="none"/>
                <w14:textFill>
                  <w14:solidFill>
                    <w14:schemeClr w14:val="tx1"/>
                  </w14:solidFill>
                </w14:textFill>
              </w:rPr>
              <w:t>881141.07</w:t>
            </w:r>
          </w:p>
        </w:tc>
        <w:tc>
          <w:tcPr>
            <w:tcW w:w="1536" w:type="dxa"/>
            <w:vAlign w:val="center"/>
          </w:tcPr>
          <w:p w14:paraId="384F556C">
            <w:pPr>
              <w:jc w:val="center"/>
              <w:rPr>
                <w:rFonts w:hint="eastAsia" w:ascii="仿宋" w:hAnsi="仿宋" w:eastAsia="仿宋" w:cs="仿宋"/>
                <w:b/>
                <w:bCs/>
                <w:color w:val="000000" w:themeColor="text1"/>
                <w:sz w:val="21"/>
                <w:szCs w:val="21"/>
                <w:highlight w:val="none"/>
                <w14:textFill>
                  <w14:solidFill>
                    <w14:schemeClr w14:val="tx1"/>
                  </w14:solidFill>
                </w14:textFill>
              </w:rPr>
            </w:pPr>
          </w:p>
        </w:tc>
      </w:tr>
    </w:tbl>
    <w:p w14:paraId="310A3CD0">
      <w:pPr>
        <w:spacing w:line="360" w:lineRule="auto"/>
        <w:ind w:firstLine="480" w:firstLineChars="200"/>
        <w:rPr>
          <w:rFonts w:hint="eastAsia"/>
          <w:color w:val="000000" w:themeColor="text1"/>
          <w:highlight w:val="none"/>
          <w:lang w:val="en-US" w:eastAsia="zh-CN"/>
          <w14:textFill>
            <w14:solidFill>
              <w14:schemeClr w14:val="tx1"/>
            </w14:solidFill>
          </w14:textFill>
        </w:rPr>
      </w:pPr>
    </w:p>
    <w:p w14:paraId="1B14B1F1">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房屋建筑物及构筑物</w:t>
      </w:r>
    </w:p>
    <w:p w14:paraId="617955B2">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根据接管资料以及管理人在武汉市房地产市场管理信息系统调查</w:t>
      </w:r>
      <w:r>
        <w:rPr>
          <w:rFonts w:hint="eastAsia" w:ascii="仿宋" w:hAnsi="仿宋" w:eastAsia="仿宋" w:cs="仿宋"/>
          <w:color w:val="000000" w:themeColor="text1"/>
          <w:sz w:val="28"/>
          <w:szCs w:val="28"/>
          <w:highlight w:val="none"/>
          <w:lang w:val="en-US" w:eastAsia="zh-Hans"/>
          <w14:textFill>
            <w14:solidFill>
              <w14:schemeClr w14:val="tx1"/>
            </w14:solidFill>
          </w14:textFill>
        </w:rPr>
        <w:t>的结果</w:t>
      </w:r>
      <w:r>
        <w:rPr>
          <w:rFonts w:hint="eastAsia" w:ascii="仿宋" w:hAnsi="仿宋" w:eastAsia="仿宋" w:cs="仿宋"/>
          <w:color w:val="000000" w:themeColor="text1"/>
          <w:sz w:val="28"/>
          <w:szCs w:val="28"/>
          <w:highlight w:val="none"/>
          <w:lang w:val="en-US" w:eastAsia="zh-CN"/>
          <w14:textFill>
            <w14:solidFill>
              <w14:schemeClr w14:val="tx1"/>
            </w14:solidFill>
          </w14:textFill>
        </w:rPr>
        <w:t>显示，华鑫</w:t>
      </w:r>
      <w:r>
        <w:rPr>
          <w:rFonts w:hint="eastAsia" w:ascii="仿宋" w:hAnsi="仿宋" w:eastAsia="仿宋" w:cs="仿宋"/>
          <w:color w:val="000000" w:themeColor="text1"/>
          <w:sz w:val="28"/>
          <w:szCs w:val="28"/>
          <w:highlight w:val="none"/>
          <w:lang w:val="en-US" w:eastAsia="zh-Hans"/>
          <w14:textFill>
            <w14:solidFill>
              <w14:schemeClr w14:val="tx1"/>
            </w14:solidFill>
          </w14:textFill>
        </w:rPr>
        <w:t>汇通</w:t>
      </w:r>
      <w:r>
        <w:rPr>
          <w:rFonts w:hint="eastAsia" w:ascii="仿宋" w:hAnsi="仿宋" w:eastAsia="仿宋" w:cs="仿宋"/>
          <w:color w:val="000000" w:themeColor="text1"/>
          <w:sz w:val="28"/>
          <w:szCs w:val="28"/>
          <w:highlight w:val="none"/>
          <w:lang w:val="en-US" w:eastAsia="zh-CN"/>
          <w14:textFill>
            <w14:solidFill>
              <w14:schemeClr w14:val="tx1"/>
            </w14:solidFill>
          </w14:textFill>
        </w:rPr>
        <w:t>公司在上述土地的中国长江金属交易中心已建成69栋办公及仓储物流用房，分为A-G分割仓、B区、S区、J区，已建造面积约49.5万㎡，合计1600多套。其中部分已完成对外转让交易登记。目前园区办公区域多为闲置状态，仓储及零售区域多处在经营状态。</w:t>
      </w:r>
    </w:p>
    <w:p w14:paraId="7B689EBB">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厂区分布示意图如下：</w:t>
      </w:r>
    </w:p>
    <w:p w14:paraId="54ECB734">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drawing>
          <wp:inline distT="0" distB="0" distL="114300" distR="114300">
            <wp:extent cx="5058410" cy="2113915"/>
            <wp:effectExtent l="0" t="0" r="8890" b="635"/>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7"/>
                    <a:srcRect l="-622" t="9319" r="119" b="13887"/>
                    <a:stretch>
                      <a:fillRect/>
                    </a:stretch>
                  </pic:blipFill>
                  <pic:spPr>
                    <a:xfrm>
                      <a:off x="0" y="0"/>
                      <a:ext cx="5058410" cy="2113915"/>
                    </a:xfrm>
                    <a:prstGeom prst="rect">
                      <a:avLst/>
                    </a:prstGeom>
                    <a:noFill/>
                    <a:ln w="9525">
                      <a:noFill/>
                    </a:ln>
                  </pic:spPr>
                </pic:pic>
              </a:graphicData>
            </a:graphic>
          </wp:inline>
        </w:drawing>
      </w:r>
    </w:p>
    <w:p w14:paraId="27628547">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（3）</w:t>
      </w:r>
      <w:r>
        <w:rPr>
          <w:rFonts w:hint="eastAsia" w:ascii="仿宋" w:hAnsi="仿宋" w:eastAsia="仿宋" w:cs="仿宋"/>
          <w:color w:val="000000" w:themeColor="text1"/>
          <w:sz w:val="28"/>
          <w:szCs w:val="28"/>
          <w:highlight w:val="none"/>
          <w:lang w:val="en-US" w:eastAsia="zh-CN"/>
          <w14:textFill>
            <w14:solidFill>
              <w14:schemeClr w14:val="tx1"/>
            </w14:solidFill>
          </w14:textFill>
        </w:rPr>
        <w:t>在建工程</w:t>
      </w:r>
    </w:p>
    <w:p w14:paraId="36D48BA3">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破产受理时，华鑫</w:t>
      </w:r>
      <w:r>
        <w:rPr>
          <w:rFonts w:hint="eastAsia" w:ascii="仿宋" w:hAnsi="仿宋" w:eastAsia="仿宋" w:cs="仿宋"/>
          <w:color w:val="000000" w:themeColor="text1"/>
          <w:sz w:val="28"/>
          <w:szCs w:val="28"/>
          <w:highlight w:val="none"/>
          <w:lang w:val="en-US" w:eastAsia="zh-Hans"/>
          <w14:textFill>
            <w14:solidFill>
              <w14:schemeClr w14:val="tx1"/>
            </w14:solidFill>
          </w14:textFill>
        </w:rPr>
        <w:t>汇通</w:t>
      </w:r>
      <w:r>
        <w:rPr>
          <w:rFonts w:hint="eastAsia" w:ascii="仿宋" w:hAnsi="仿宋" w:eastAsia="仿宋" w:cs="仿宋"/>
          <w:color w:val="000000" w:themeColor="text1"/>
          <w:sz w:val="28"/>
          <w:szCs w:val="28"/>
          <w:highlight w:val="none"/>
          <w:lang w:val="en-US" w:eastAsia="zh-CN"/>
          <w14:textFill>
            <w14:solidFill>
              <w14:schemeClr w14:val="tx1"/>
            </w14:solidFill>
          </w14:textFill>
        </w:rPr>
        <w:t>公司正在建设的工程有Ha栋及S24栋。</w:t>
      </w:r>
    </w:p>
    <w:p w14:paraId="00211501">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微软雅黑" w:hAnsi="微软雅黑" w:eastAsia="微软雅黑" w:cs="微软雅黑"/>
          <w:color w:val="000000" w:themeColor="text1"/>
          <w:sz w:val="28"/>
          <w:szCs w:val="28"/>
          <w:highlight w:val="none"/>
          <w14:textFill>
            <w14:solidFill>
              <w14:schemeClr w14:val="tx1"/>
            </w14:solidFill>
          </w14:textFill>
        </w:rPr>
        <w:t>①</w:t>
      </w:r>
      <w:r>
        <w:rPr>
          <w:rFonts w:hint="eastAsia" w:ascii="仿宋" w:hAnsi="仿宋" w:eastAsia="仿宋" w:cs="仿宋"/>
          <w:color w:val="000000" w:themeColor="text1"/>
          <w:sz w:val="28"/>
          <w:szCs w:val="28"/>
          <w:highlight w:val="none"/>
          <w:lang w:val="en-US" w:eastAsia="zh-CN"/>
          <w14:textFill>
            <w14:solidFill>
              <w14:schemeClr w14:val="tx1"/>
            </w14:solidFill>
          </w14:textFill>
        </w:rPr>
        <w:t>Ha栋为临建分割仓钢结构厂房。华鑫</w:t>
      </w:r>
      <w:r>
        <w:rPr>
          <w:rFonts w:hint="eastAsia" w:ascii="仿宋" w:hAnsi="仿宋" w:eastAsia="仿宋" w:cs="仿宋"/>
          <w:color w:val="000000" w:themeColor="text1"/>
          <w:sz w:val="28"/>
          <w:szCs w:val="28"/>
          <w:highlight w:val="none"/>
          <w:lang w:val="en-US" w:eastAsia="zh-Hans"/>
          <w14:textFill>
            <w14:solidFill>
              <w14:schemeClr w14:val="tx1"/>
            </w14:solidFill>
          </w14:textFill>
        </w:rPr>
        <w:t>汇通</w:t>
      </w:r>
      <w:r>
        <w:rPr>
          <w:rFonts w:hint="eastAsia" w:ascii="仿宋" w:hAnsi="仿宋" w:eastAsia="仿宋" w:cs="仿宋"/>
          <w:color w:val="000000" w:themeColor="text1"/>
          <w:sz w:val="28"/>
          <w:szCs w:val="28"/>
          <w:highlight w:val="none"/>
          <w:lang w:val="en-US" w:eastAsia="zh-CN"/>
          <w14:textFill>
            <w14:solidFill>
              <w14:schemeClr w14:val="tx1"/>
            </w14:solidFill>
          </w14:textFill>
        </w:rPr>
        <w:t>公司与武汉特斯拉彩钢结构有限公司2021年3月18日签订《建筑安装工程施工承包合同》，合同约定建筑面积为8800㎡因华鑫</w:t>
      </w:r>
      <w:r>
        <w:rPr>
          <w:rFonts w:hint="eastAsia" w:ascii="仿宋" w:hAnsi="仿宋" w:eastAsia="仿宋" w:cs="仿宋"/>
          <w:color w:val="000000" w:themeColor="text1"/>
          <w:sz w:val="28"/>
          <w:szCs w:val="28"/>
          <w:highlight w:val="none"/>
          <w:lang w:val="en-US" w:eastAsia="zh-Hans"/>
          <w14:textFill>
            <w14:solidFill>
              <w14:schemeClr w14:val="tx1"/>
            </w14:solidFill>
          </w14:textFill>
        </w:rPr>
        <w:t>汇通</w:t>
      </w:r>
      <w:r>
        <w:rPr>
          <w:rFonts w:hint="eastAsia" w:ascii="仿宋" w:hAnsi="仿宋" w:eastAsia="仿宋" w:cs="仿宋"/>
          <w:color w:val="000000" w:themeColor="text1"/>
          <w:sz w:val="28"/>
          <w:szCs w:val="28"/>
          <w:highlight w:val="none"/>
          <w:lang w:val="en-US" w:eastAsia="zh-CN"/>
          <w14:textFill>
            <w14:solidFill>
              <w14:schemeClr w14:val="tx1"/>
            </w14:solidFill>
          </w14:textFill>
        </w:rPr>
        <w:t>公司进入破产程序，武汉特斯拉彩钢结构有限公司已停止施工，该工程实际上仅完成基础回填、圈梁预埋等土建部分。其已就完工部分向管理人</w:t>
      </w:r>
      <w:r>
        <w:rPr>
          <w:rFonts w:hint="eastAsia" w:ascii="仿宋" w:hAnsi="仿宋" w:eastAsia="仿宋" w:cs="仿宋"/>
          <w:color w:val="000000" w:themeColor="text1"/>
          <w:sz w:val="28"/>
          <w:szCs w:val="28"/>
          <w:highlight w:val="none"/>
          <w:lang w:val="en-US" w:eastAsia="zh-Hans"/>
          <w14:textFill>
            <w14:solidFill>
              <w14:schemeClr w14:val="tx1"/>
            </w14:solidFill>
          </w14:textFill>
        </w:rPr>
        <w:t>进行</w:t>
      </w:r>
      <w:r>
        <w:rPr>
          <w:rFonts w:hint="eastAsia" w:ascii="仿宋" w:hAnsi="仿宋" w:eastAsia="仿宋" w:cs="仿宋"/>
          <w:color w:val="000000" w:themeColor="text1"/>
          <w:sz w:val="28"/>
          <w:szCs w:val="28"/>
          <w:highlight w:val="none"/>
          <w:lang w:val="en-US" w:eastAsia="zh-CN"/>
          <w14:textFill>
            <w14:solidFill>
              <w14:schemeClr w14:val="tx1"/>
            </w14:solidFill>
          </w14:textFill>
        </w:rPr>
        <w:t>债权申报。</w:t>
      </w:r>
    </w:p>
    <w:p w14:paraId="295F6E4E">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outlineLvl w:val="9"/>
        <w:rPr>
          <w:rFonts w:hint="eastAsia"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②</w:t>
      </w:r>
      <w:r>
        <w:rPr>
          <w:rFonts w:hint="eastAsia" w:ascii="仿宋" w:hAnsi="仿宋" w:eastAsia="仿宋" w:cs="仿宋"/>
          <w:color w:val="000000" w:themeColor="text1"/>
          <w:sz w:val="28"/>
          <w:szCs w:val="28"/>
          <w:highlight w:val="none"/>
          <w:lang w:val="en-US" w:eastAsia="zh-CN"/>
          <w14:textFill>
            <w14:solidFill>
              <w14:schemeClr w14:val="tx1"/>
            </w14:solidFill>
          </w14:textFill>
        </w:rPr>
        <w:t>S24栋为中国长江金属交易中心展示厅。华鑫</w:t>
      </w:r>
      <w:r>
        <w:rPr>
          <w:rFonts w:hint="eastAsia" w:ascii="仿宋" w:hAnsi="仿宋" w:eastAsia="仿宋" w:cs="仿宋"/>
          <w:color w:val="000000" w:themeColor="text1"/>
          <w:sz w:val="28"/>
          <w:szCs w:val="28"/>
          <w:highlight w:val="none"/>
          <w:lang w:val="en-US" w:eastAsia="zh-Hans"/>
          <w14:textFill>
            <w14:solidFill>
              <w14:schemeClr w14:val="tx1"/>
            </w14:solidFill>
          </w14:textFill>
        </w:rPr>
        <w:t>汇通</w:t>
      </w:r>
      <w:r>
        <w:rPr>
          <w:rFonts w:hint="eastAsia" w:ascii="仿宋" w:hAnsi="仿宋" w:eastAsia="仿宋" w:cs="仿宋"/>
          <w:color w:val="000000" w:themeColor="text1"/>
          <w:sz w:val="28"/>
          <w:szCs w:val="28"/>
          <w:highlight w:val="none"/>
          <w:lang w:val="en-US" w:eastAsia="zh-CN"/>
          <w14:textFill>
            <w14:solidFill>
              <w14:schemeClr w14:val="tx1"/>
            </w14:solidFill>
          </w14:textFill>
        </w:rPr>
        <w:t>公司与武汉众承亿方钢结构有限公司2020年12月29日签订《建筑安装工程施工承包合同》，合同约定面积3630.80㎡。经管理人调查，了解到S24栋计划用途为两层办公用房，主体部分基本已完工。其已就完工部分向管理人</w:t>
      </w:r>
      <w:r>
        <w:rPr>
          <w:rFonts w:hint="eastAsia" w:ascii="仿宋" w:hAnsi="仿宋" w:eastAsia="仿宋" w:cs="仿宋"/>
          <w:color w:val="000000" w:themeColor="text1"/>
          <w:sz w:val="28"/>
          <w:szCs w:val="28"/>
          <w:highlight w:val="none"/>
          <w:lang w:val="en-US" w:eastAsia="zh-Hans"/>
          <w14:textFill>
            <w14:solidFill>
              <w14:schemeClr w14:val="tx1"/>
            </w14:solidFill>
          </w14:textFill>
        </w:rPr>
        <w:t>进行</w:t>
      </w:r>
      <w:r>
        <w:rPr>
          <w:rFonts w:hint="eastAsia" w:ascii="仿宋" w:hAnsi="仿宋" w:eastAsia="仿宋" w:cs="仿宋"/>
          <w:color w:val="000000" w:themeColor="text1"/>
          <w:sz w:val="28"/>
          <w:szCs w:val="28"/>
          <w:highlight w:val="none"/>
          <w:lang w:val="en-US" w:eastAsia="zh-CN"/>
          <w14:textFill>
            <w14:solidFill>
              <w14:schemeClr w14:val="tx1"/>
            </w14:solidFill>
          </w14:textFill>
        </w:rPr>
        <w:t>债权申报。</w:t>
      </w:r>
    </w:p>
    <w:p w14:paraId="09AFF8B6">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outlineLvl w:val="9"/>
        <w:rPr>
          <w:rFonts w:hint="default"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此外，华鑫汇通公司还存在大量不同程度手续未完善的工程。</w:t>
      </w:r>
    </w:p>
    <w:p w14:paraId="11E1FB0E">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（4）其他财产：应收债权、设备、商标、专利等无形资产等。</w:t>
      </w:r>
    </w:p>
    <w:p w14:paraId="68FF6DC0">
      <w:pPr>
        <w:pStyle w:val="5"/>
        <w:rPr>
          <w:rFonts w:hint="default"/>
          <w:color w:val="000000" w:themeColor="text1"/>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 xml:space="preserve">    华鑫汇通的核心资产为土地、房产，无商标、专利等无形资产，其他财产可在签订保密协议后，在尽调中核查。</w:t>
      </w:r>
    </w:p>
    <w:p w14:paraId="352C1E1E">
      <w:pPr>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bCs/>
          <w:color w:val="000000" w:themeColor="text1"/>
          <w:sz w:val="28"/>
          <w:szCs w:val="28"/>
          <w:highlight w:val="none"/>
          <w14:textFill>
            <w14:solidFill>
              <w14:schemeClr w14:val="tx1"/>
            </w14:solidFill>
          </w14:textFill>
        </w:rPr>
      </w:pPr>
      <w:r>
        <w:rPr>
          <w:rFonts w:hint="eastAsia" w:ascii="仿宋" w:hAnsi="仿宋" w:eastAsia="仿宋" w:cs="仿宋"/>
          <w:b/>
          <w:bCs/>
          <w:color w:val="000000" w:themeColor="text1"/>
          <w:sz w:val="28"/>
          <w:szCs w:val="28"/>
          <w:highlight w:val="none"/>
          <w14:textFill>
            <w14:solidFill>
              <w14:schemeClr w14:val="tx1"/>
            </w14:solidFill>
          </w14:textFill>
        </w:rPr>
        <w:t>3、经营业务情况</w:t>
      </w:r>
    </w:p>
    <w:p w14:paraId="5EC2B9CD">
      <w:pPr>
        <w:keepNext w:val="0"/>
        <w:keepLines w:val="0"/>
        <w:pageBreakBefore w:val="0"/>
        <w:numPr>
          <w:ilvl w:val="0"/>
          <w:numId w:val="0"/>
        </w:numPr>
        <w:kinsoku/>
        <w:wordWrap/>
        <w:overflowPunct/>
        <w:topLinePunct w:val="0"/>
        <w:autoSpaceDE/>
        <w:autoSpaceDN/>
        <w:bidi w:val="0"/>
        <w:adjustRightInd/>
        <w:snapToGrid/>
        <w:spacing w:line="360" w:lineRule="auto"/>
        <w:ind w:firstLine="560" w:firstLineChars="200"/>
        <w:jc w:val="left"/>
        <w:textAlignment w:val="auto"/>
        <w:outlineLvl w:val="9"/>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华鑫汇通公司开发的“中国长江金属交易中心”园区属于专业性的钢材贸易市场，位于武汉市长江新区，该园区现阶段分为五大区域：（1）仓储物流区；（2）零售区域，作为仓储物流区域的补充；（3）加工区，现有十几条开平生产线；（4）商务区，原拟以科技为先导，打造以大健康为中心的干细胞等生物医药研发基地，为长江金属后期转型做准备，以配合长江新城建设和发展的需要；（5）人才公寓，为园区内企业提供增值服务的区域。由于受金融债务等影响，华鑫汇通公司陷入债务危机，于2021年5月14日被法院裁定进入破产程序。</w:t>
      </w:r>
    </w:p>
    <w:p w14:paraId="7512B6C4">
      <w:pPr>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color w:val="000000" w:themeColor="text1"/>
          <w:sz w:val="28"/>
          <w:szCs w:val="28"/>
          <w:highlight w:val="none"/>
          <w14:textFill>
            <w14:solidFill>
              <w14:schemeClr w14:val="tx1"/>
            </w14:solidFill>
          </w14:textFill>
        </w:rPr>
      </w:pPr>
      <w:r>
        <w:rPr>
          <w:rFonts w:hint="eastAsia" w:ascii="仿宋" w:hAnsi="仿宋" w:eastAsia="仿宋" w:cs="仿宋"/>
          <w:b/>
          <w:color w:val="000000" w:themeColor="text1"/>
          <w:sz w:val="28"/>
          <w:szCs w:val="28"/>
          <w:highlight w:val="none"/>
          <w14:textFill>
            <w14:solidFill>
              <w14:schemeClr w14:val="tx1"/>
            </w14:solidFill>
          </w14:textFill>
        </w:rPr>
        <w:t>（二）企业的核心竞争优势</w:t>
      </w:r>
    </w:p>
    <w:p w14:paraId="504855FA">
      <w:pPr>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bCs/>
          <w:color w:val="000000" w:themeColor="text1"/>
          <w:sz w:val="28"/>
          <w:szCs w:val="28"/>
          <w:highlight w:val="none"/>
          <w:lang w:val="en-US" w:eastAsia="zh-CN"/>
          <w14:textFill>
            <w14:solidFill>
              <w14:schemeClr w14:val="tx1"/>
            </w14:solidFill>
          </w14:textFill>
        </w:rPr>
      </w:pPr>
      <w:r>
        <w:rPr>
          <w:rFonts w:hint="eastAsia" w:ascii="仿宋" w:hAnsi="仿宋" w:eastAsia="仿宋" w:cs="仿宋"/>
          <w:b/>
          <w:bCs/>
          <w:color w:val="000000" w:themeColor="text1"/>
          <w:sz w:val="28"/>
          <w:szCs w:val="28"/>
          <w:highlight w:val="none"/>
          <w14:textFill>
            <w14:solidFill>
              <w14:schemeClr w14:val="tx1"/>
            </w14:solidFill>
          </w14:textFill>
        </w:rPr>
        <w:t>1、</w:t>
      </w:r>
      <w:r>
        <w:rPr>
          <w:rFonts w:hint="eastAsia" w:ascii="仿宋" w:hAnsi="仿宋" w:eastAsia="仿宋" w:cs="仿宋"/>
          <w:b/>
          <w:bCs/>
          <w:color w:val="000000" w:themeColor="text1"/>
          <w:sz w:val="28"/>
          <w:szCs w:val="28"/>
          <w:highlight w:val="none"/>
          <w:lang w:val="en-US" w:eastAsia="zh-CN"/>
          <w14:textFill>
            <w14:solidFill>
              <w14:schemeClr w14:val="tx1"/>
            </w14:solidFill>
          </w14:textFill>
        </w:rPr>
        <w:t>发展前景</w:t>
      </w:r>
    </w:p>
    <w:p w14:paraId="2E4725DF">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中国长江金属交易中心位于武汉长江新区中心位置江湾中心。长江新区于2022年2月28日正式成立，是湖北省政府规划的一个新区，位于武汉中北部的长江边上。长江新区建设坚持高起点规划、高标准，奋力打造武汉国家中心城市重要支撑，辐射带动武汉城市圈同城化发展和鄂东地区高质量发展。</w:t>
      </w:r>
    </w:p>
    <w:p w14:paraId="317B9C38">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default" w:ascii="仿宋" w:hAnsi="仿宋" w:eastAsia="仿宋" w:cs="仿宋"/>
          <w:b/>
          <w:bCs/>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中国长江金属交易中心园区有经营区和商务区综合功能，经营区处于持续经营状态，能提供持续的现金流；整个园区面积大，功能多，结合长江新区的定位，园区具有转型升级的巨大潜力和发展契机。</w:t>
      </w:r>
    </w:p>
    <w:p w14:paraId="1B274098">
      <w:pPr>
        <w:keepNext w:val="0"/>
        <w:keepLines w:val="0"/>
        <w:pageBreakBefore w:val="0"/>
        <w:numPr>
          <w:ilvl w:val="0"/>
          <w:numId w:val="2"/>
        </w:numPr>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bCs/>
          <w:color w:val="000000" w:themeColor="text1"/>
          <w:sz w:val="28"/>
          <w:szCs w:val="28"/>
          <w:highlight w:val="none"/>
          <w:lang w:eastAsia="zh-CN"/>
          <w14:textFill>
            <w14:solidFill>
              <w14:schemeClr w14:val="tx1"/>
            </w14:solidFill>
          </w14:textFill>
        </w:rPr>
      </w:pPr>
      <w:r>
        <w:rPr>
          <w:rFonts w:hint="eastAsia" w:ascii="仿宋" w:hAnsi="仿宋" w:eastAsia="仿宋" w:cs="仿宋"/>
          <w:b/>
          <w:bCs/>
          <w:color w:val="000000" w:themeColor="text1"/>
          <w:sz w:val="28"/>
          <w:szCs w:val="28"/>
          <w:highlight w:val="none"/>
          <w:lang w:val="en-US" w:eastAsia="zh-CN"/>
          <w14:textFill>
            <w14:solidFill>
              <w14:schemeClr w14:val="tx1"/>
            </w14:solidFill>
          </w14:textFill>
        </w:rPr>
        <w:t>交通区位优势</w:t>
      </w:r>
    </w:p>
    <w:p w14:paraId="0B5ADFDC">
      <w:pPr>
        <w:keepNext w:val="0"/>
        <w:keepLines w:val="0"/>
        <w:pageBreakBefore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lang w:eastAsia="zh-CN"/>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中国长江金属交易中心</w:t>
      </w:r>
      <w:r>
        <w:rPr>
          <w:rFonts w:hint="eastAsia" w:ascii="仿宋" w:hAnsi="仿宋" w:eastAsia="仿宋" w:cs="仿宋"/>
          <w:color w:val="000000" w:themeColor="text1"/>
          <w:sz w:val="28"/>
          <w:szCs w:val="28"/>
          <w:highlight w:val="none"/>
          <w:lang w:eastAsia="zh-CN"/>
          <w14:textFill>
            <w14:solidFill>
              <w14:schemeClr w14:val="tx1"/>
            </w14:solidFill>
          </w14:textFill>
        </w:rPr>
        <w:t>位于湖北省武汉市</w:t>
      </w:r>
      <w:r>
        <w:rPr>
          <w:rFonts w:hint="eastAsia" w:ascii="仿宋" w:hAnsi="仿宋" w:eastAsia="仿宋" w:cs="仿宋"/>
          <w:color w:val="000000" w:themeColor="text1"/>
          <w:sz w:val="28"/>
          <w:szCs w:val="28"/>
          <w:highlight w:val="none"/>
          <w:lang w:val="en-US" w:eastAsia="zh-CN"/>
          <w14:textFill>
            <w14:solidFill>
              <w14:schemeClr w14:val="tx1"/>
            </w14:solidFill>
          </w14:textFill>
        </w:rPr>
        <w:t>长江新区</w:t>
      </w:r>
      <w:r>
        <w:rPr>
          <w:rFonts w:hint="eastAsia" w:ascii="仿宋" w:hAnsi="仿宋" w:eastAsia="仿宋" w:cs="仿宋"/>
          <w:color w:val="000000" w:themeColor="text1"/>
          <w:sz w:val="28"/>
          <w:szCs w:val="28"/>
          <w:highlight w:val="none"/>
          <w:lang w:eastAsia="zh-CN"/>
          <w14:textFill>
            <w14:solidFill>
              <w14:schemeClr w14:val="tx1"/>
            </w14:solidFill>
          </w14:textFill>
        </w:rPr>
        <w:t>武湖农场沙口镇。武湖农场位于武汉两环(外环、中环)、两港(阳逻深水港、天河空港)、两桥(阳逻大桥、天兴洲大桥)之间，区域面积71.76平方公里，人口3.4万，武湖距市中心商业区16公里，汉口火车站22公里，天河机场</w:t>
      </w:r>
      <w:r>
        <w:rPr>
          <w:rFonts w:hint="eastAsia" w:ascii="仿宋" w:hAnsi="仿宋" w:eastAsia="仿宋" w:cs="仿宋"/>
          <w:color w:val="000000" w:themeColor="text1"/>
          <w:sz w:val="28"/>
          <w:szCs w:val="28"/>
          <w:highlight w:val="none"/>
          <w:lang w:val="en-US" w:eastAsia="zh-CN"/>
          <w14:textFill>
            <w14:solidFill>
              <w14:schemeClr w14:val="tx1"/>
            </w14:solidFill>
          </w14:textFill>
        </w:rPr>
        <w:t>32</w:t>
      </w:r>
      <w:r>
        <w:rPr>
          <w:rFonts w:hint="eastAsia" w:ascii="仿宋" w:hAnsi="仿宋" w:eastAsia="仿宋" w:cs="仿宋"/>
          <w:color w:val="000000" w:themeColor="text1"/>
          <w:sz w:val="28"/>
          <w:szCs w:val="28"/>
          <w:highlight w:val="none"/>
          <w:lang w:eastAsia="zh-CN"/>
          <w14:textFill>
            <w14:solidFill>
              <w14:schemeClr w14:val="tx1"/>
            </w14:solidFill>
          </w14:textFill>
        </w:rPr>
        <w:t>公里，长江客运码头21公里。交通极为便利。</w:t>
      </w:r>
    </w:p>
    <w:p w14:paraId="783397E4">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lang w:eastAsia="zh-CN"/>
          <w14:textFill>
            <w14:solidFill>
              <w14:schemeClr w14:val="tx1"/>
            </w14:solidFill>
          </w14:textFill>
        </w:rPr>
      </w:pPr>
      <w:r>
        <w:rPr>
          <w:rFonts w:hint="eastAsia" w:ascii="仿宋" w:hAnsi="仿宋" w:eastAsia="仿宋" w:cs="仿宋"/>
          <w:color w:val="000000" w:themeColor="text1"/>
          <w:sz w:val="28"/>
          <w:szCs w:val="28"/>
          <w:highlight w:val="none"/>
          <w:lang w:eastAsia="zh-CN"/>
          <w14:textFill>
            <w14:solidFill>
              <w14:schemeClr w14:val="tx1"/>
            </w14:solidFill>
          </w14:textFill>
        </w:rPr>
        <w:t>武湖位</w:t>
      </w:r>
      <w:r>
        <w:rPr>
          <w:rFonts w:hint="eastAsia" w:ascii="仿宋" w:hAnsi="仿宋" w:eastAsia="仿宋" w:cs="仿宋"/>
          <w:color w:val="000000" w:themeColor="text1"/>
          <w:sz w:val="28"/>
          <w:szCs w:val="28"/>
          <w:highlight w:val="none"/>
          <w:lang w:val="en-US" w:eastAsia="zh-CN"/>
          <w14:textFill>
            <w14:solidFill>
              <w14:schemeClr w14:val="tx1"/>
            </w14:solidFill>
          </w14:textFill>
        </w:rPr>
        <w:t>于</w:t>
      </w:r>
      <w:r>
        <w:rPr>
          <w:rFonts w:hint="eastAsia" w:ascii="仿宋" w:hAnsi="仿宋" w:eastAsia="仿宋" w:cs="仿宋"/>
          <w:color w:val="000000" w:themeColor="text1"/>
          <w:sz w:val="28"/>
          <w:szCs w:val="28"/>
          <w:highlight w:val="none"/>
          <w:lang w:eastAsia="zh-CN"/>
          <w14:textFill>
            <w14:solidFill>
              <w14:schemeClr w14:val="tx1"/>
            </w14:solidFill>
          </w14:textFill>
        </w:rPr>
        <w:t>武汉市中环线与外环线之间，汉(口)施(岗)公路和滠(口)阳(逻)铁路横贯农场东西，距亚洲最大的铁路编组站仅20公里，黄(陂)武(湖)公路纵穿南北，巨龙大道在武通口镇区与汉施公路相对接，长江天兴洲大桥位于其左，长江阳逻大桥雄居其右。“八纵八横”的道路网络已经形成，交通物流优势明显。</w:t>
      </w:r>
    </w:p>
    <w:p w14:paraId="072E14F0">
      <w:pPr>
        <w:keepNext w:val="0"/>
        <w:keepLines w:val="0"/>
        <w:pageBreakBefore w:val="0"/>
        <w:numPr>
          <w:ilvl w:val="0"/>
          <w:numId w:val="2"/>
        </w:numPr>
        <w:kinsoku/>
        <w:wordWrap/>
        <w:overflowPunct/>
        <w:topLinePunct w:val="0"/>
        <w:autoSpaceDE/>
        <w:autoSpaceDN/>
        <w:bidi w:val="0"/>
        <w:adjustRightInd/>
        <w:snapToGrid/>
        <w:spacing w:line="360" w:lineRule="auto"/>
        <w:ind w:left="0" w:leftChars="0" w:firstLine="562" w:firstLineChars="200"/>
        <w:textAlignment w:val="auto"/>
        <w:rPr>
          <w:rFonts w:hint="eastAsia" w:ascii="仿宋" w:hAnsi="仿宋" w:eastAsia="仿宋" w:cs="仿宋"/>
          <w:b/>
          <w:bCs/>
          <w:color w:val="000000" w:themeColor="text1"/>
          <w:sz w:val="28"/>
          <w:szCs w:val="28"/>
          <w:highlight w:val="none"/>
          <w14:textFill>
            <w14:solidFill>
              <w14:schemeClr w14:val="tx1"/>
            </w14:solidFill>
          </w14:textFill>
        </w:rPr>
      </w:pPr>
      <w:r>
        <w:rPr>
          <w:rFonts w:hint="eastAsia" w:ascii="仿宋" w:hAnsi="仿宋" w:eastAsia="仿宋" w:cs="仿宋"/>
          <w:b/>
          <w:bCs/>
          <w:color w:val="000000" w:themeColor="text1"/>
          <w:sz w:val="28"/>
          <w:szCs w:val="28"/>
          <w:highlight w:val="none"/>
          <w14:textFill>
            <w14:solidFill>
              <w14:schemeClr w14:val="tx1"/>
            </w14:solidFill>
          </w14:textFill>
        </w:rPr>
        <w:t>仓储优势</w:t>
      </w:r>
    </w:p>
    <w:p w14:paraId="1EEFC845">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中国长江金属交易中心的库房拥有满足</w:t>
      </w:r>
      <w:r>
        <w:rPr>
          <w:rFonts w:hint="eastAsia" w:ascii="仿宋" w:hAnsi="仿宋" w:eastAsia="仿宋" w:cs="仿宋"/>
          <w:color w:val="000000" w:themeColor="text1"/>
          <w:sz w:val="28"/>
          <w:szCs w:val="28"/>
          <w:highlight w:val="none"/>
          <w:lang w:val="en-US" w:eastAsia="zh-CN"/>
          <w14:textFill>
            <w14:solidFill>
              <w14:schemeClr w14:val="tx1"/>
            </w14:solidFill>
          </w14:textFill>
        </w:rPr>
        <w:t>较大规模</w:t>
      </w:r>
      <w:r>
        <w:rPr>
          <w:rFonts w:hint="eastAsia" w:ascii="仿宋" w:hAnsi="仿宋" w:eastAsia="仿宋" w:cs="仿宋"/>
          <w:color w:val="000000" w:themeColor="text1"/>
          <w:sz w:val="28"/>
          <w:szCs w:val="28"/>
          <w:highlight w:val="none"/>
          <w14:textFill>
            <w14:solidFill>
              <w14:schemeClr w14:val="tx1"/>
            </w14:solidFill>
          </w14:textFill>
        </w:rPr>
        <w:t>钢材</w:t>
      </w:r>
      <w:r>
        <w:rPr>
          <w:rFonts w:hint="eastAsia" w:ascii="仿宋" w:hAnsi="仿宋" w:eastAsia="仿宋" w:cs="仿宋"/>
          <w:color w:val="000000" w:themeColor="text1"/>
          <w:sz w:val="28"/>
          <w:szCs w:val="28"/>
          <w:highlight w:val="none"/>
          <w:lang w:val="en-US" w:eastAsia="zh-CN"/>
          <w14:textFill>
            <w14:solidFill>
              <w14:schemeClr w14:val="tx1"/>
            </w14:solidFill>
          </w14:textFill>
        </w:rPr>
        <w:t>交易</w:t>
      </w:r>
      <w:r>
        <w:rPr>
          <w:rFonts w:hint="eastAsia" w:ascii="仿宋" w:hAnsi="仿宋" w:eastAsia="仿宋" w:cs="仿宋"/>
          <w:color w:val="000000" w:themeColor="text1"/>
          <w:sz w:val="28"/>
          <w:szCs w:val="28"/>
          <w:highlight w:val="none"/>
          <w14:textFill>
            <w14:solidFill>
              <w14:schemeClr w14:val="tx1"/>
            </w14:solidFill>
          </w14:textFill>
        </w:rPr>
        <w:t>的运输和仓储能力。</w:t>
      </w:r>
    </w:p>
    <w:p w14:paraId="18220833">
      <w:pPr>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bCs/>
          <w:color w:val="000000" w:themeColor="text1"/>
          <w:sz w:val="28"/>
          <w:szCs w:val="28"/>
          <w:highlight w:val="none"/>
          <w14:textFill>
            <w14:solidFill>
              <w14:schemeClr w14:val="tx1"/>
            </w14:solidFill>
          </w14:textFill>
        </w:rPr>
      </w:pPr>
      <w:r>
        <w:rPr>
          <w:rFonts w:hint="eastAsia" w:ascii="仿宋" w:hAnsi="仿宋" w:eastAsia="仿宋" w:cs="仿宋"/>
          <w:b/>
          <w:bCs/>
          <w:color w:val="000000" w:themeColor="text1"/>
          <w:sz w:val="28"/>
          <w:szCs w:val="28"/>
          <w:highlight w:val="none"/>
          <w:lang w:val="en-US" w:eastAsia="zh-CN"/>
          <w14:textFill>
            <w14:solidFill>
              <w14:schemeClr w14:val="tx1"/>
            </w14:solidFill>
          </w14:textFill>
        </w:rPr>
        <w:t>4</w:t>
      </w:r>
      <w:r>
        <w:rPr>
          <w:rFonts w:hint="eastAsia" w:ascii="仿宋" w:hAnsi="仿宋" w:eastAsia="仿宋" w:cs="仿宋"/>
          <w:b/>
          <w:bCs/>
          <w:color w:val="000000" w:themeColor="text1"/>
          <w:sz w:val="28"/>
          <w:szCs w:val="28"/>
          <w:highlight w:val="none"/>
          <w14:textFill>
            <w14:solidFill>
              <w14:schemeClr w14:val="tx1"/>
            </w14:solidFill>
          </w14:textFill>
        </w:rPr>
        <w:t>、市场客户基础优势</w:t>
      </w:r>
    </w:p>
    <w:p w14:paraId="03229253">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kern w:val="0"/>
          <w:sz w:val="28"/>
          <w:szCs w:val="28"/>
          <w:highlight w:val="none"/>
          <w:lang w:val="zh-CN"/>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中国长江金属交易中心目前已形成比较稳定的客户群体，</w:t>
      </w:r>
      <w:r>
        <w:rPr>
          <w:rFonts w:hint="eastAsia" w:ascii="仿宋" w:hAnsi="仿宋" w:eastAsia="仿宋" w:cs="仿宋"/>
          <w:color w:val="000000" w:themeColor="text1"/>
          <w:sz w:val="28"/>
          <w:szCs w:val="28"/>
          <w:highlight w:val="none"/>
          <w14:textFill>
            <w14:solidFill>
              <w14:schemeClr w14:val="tx1"/>
            </w14:solidFill>
          </w14:textFill>
        </w:rPr>
        <w:t>承接了江岸区超凡钢材市场和部分其它市场商户，一批优质</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14:textFill>
            <w14:solidFill>
              <w14:schemeClr w14:val="tx1"/>
            </w14:solidFill>
          </w14:textFill>
        </w:rPr>
        <w:t>知名</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14:textFill>
            <w14:solidFill>
              <w14:schemeClr w14:val="tx1"/>
            </w14:solidFill>
          </w14:textFill>
        </w:rPr>
        <w:t>在行业内具有较大影响力的企业（商户）已经入驻。同时加工龙头企业和部分板材、型材、卷材等企业入驻，在园区内形成了产品类别较齐全、功能较完备的大型钢材市场</w:t>
      </w:r>
      <w:r>
        <w:rPr>
          <w:rFonts w:hint="eastAsia" w:ascii="仿宋" w:hAnsi="仿宋" w:eastAsia="仿宋" w:cs="仿宋"/>
          <w:color w:val="000000" w:themeColor="text1"/>
          <w:kern w:val="0"/>
          <w:sz w:val="28"/>
          <w:szCs w:val="28"/>
          <w:highlight w:val="none"/>
          <w:lang w:val="zh-CN"/>
          <w14:textFill>
            <w14:solidFill>
              <w14:schemeClr w14:val="tx1"/>
            </w14:solidFill>
          </w14:textFill>
        </w:rPr>
        <w:t>。</w:t>
      </w:r>
    </w:p>
    <w:p w14:paraId="799402B2">
      <w:pPr>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color w:val="000000" w:themeColor="text1"/>
          <w:sz w:val="28"/>
          <w:szCs w:val="28"/>
          <w:highlight w:val="none"/>
          <w14:textFill>
            <w14:solidFill>
              <w14:schemeClr w14:val="tx1"/>
            </w14:solidFill>
          </w14:textFill>
        </w:rPr>
      </w:pPr>
      <w:r>
        <w:rPr>
          <w:rFonts w:hint="eastAsia" w:ascii="仿宋" w:hAnsi="仿宋" w:eastAsia="仿宋" w:cs="仿宋"/>
          <w:b/>
          <w:color w:val="000000" w:themeColor="text1"/>
          <w:sz w:val="28"/>
          <w:szCs w:val="28"/>
          <w:highlight w:val="none"/>
          <w14:textFill>
            <w14:solidFill>
              <w14:schemeClr w14:val="tx1"/>
            </w14:solidFill>
          </w14:textFill>
        </w:rPr>
        <w:t>（三）负债情况</w:t>
      </w:r>
    </w:p>
    <w:p w14:paraId="0326BA11">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截至2025年11月20日，管理人共收到317户债权人递交资料申报债权，因存在部分债权变更债权申报请求及金额，目前317户债权人申报总金额为人民币</w:t>
      </w:r>
      <w:r>
        <w:rPr>
          <w:rFonts w:hint="eastAsia" w:ascii="仿宋" w:hAnsi="仿宋" w:eastAsia="仿宋" w:cs="仿宋"/>
          <w:color w:val="000000" w:themeColor="text1"/>
          <w:sz w:val="28"/>
          <w:szCs w:val="28"/>
          <w:highlight w:val="none"/>
          <w14:textFill>
            <w14:solidFill>
              <w14:schemeClr w14:val="tx1"/>
            </w14:solidFill>
          </w14:textFill>
        </w:rPr>
        <w:t>3</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14:textFill>
            <w14:solidFill>
              <w14:schemeClr w14:val="tx1"/>
            </w14:solidFill>
          </w14:textFill>
        </w:rPr>
        <w:t>053</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14:textFill>
            <w14:solidFill>
              <w14:schemeClr w14:val="tx1"/>
            </w14:solidFill>
          </w14:textFill>
        </w:rPr>
        <w:t>908</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14:textFill>
            <w14:solidFill>
              <w14:schemeClr w14:val="tx1"/>
            </w14:solidFill>
          </w14:textFill>
        </w:rPr>
        <w:t>692.63</w:t>
      </w:r>
      <w:r>
        <w:rPr>
          <w:rFonts w:hint="eastAsia" w:ascii="仿宋" w:hAnsi="仿宋" w:eastAsia="仿宋" w:cs="仿宋"/>
          <w:color w:val="000000" w:themeColor="text1"/>
          <w:sz w:val="28"/>
          <w:szCs w:val="28"/>
          <w:highlight w:val="none"/>
          <w:lang w:val="en-US" w:eastAsia="zh-CN"/>
          <w14:textFill>
            <w14:solidFill>
              <w14:schemeClr w14:val="tx1"/>
            </w14:solidFill>
          </w14:textFill>
        </w:rPr>
        <w:t>元。已申请</w:t>
      </w:r>
      <w:r>
        <w:rPr>
          <w:rFonts w:hint="eastAsia" w:ascii="仿宋" w:hAnsi="仿宋" w:eastAsia="仿宋" w:cs="仿宋"/>
          <w:color w:val="000000" w:themeColor="text1"/>
          <w:sz w:val="28"/>
          <w:szCs w:val="28"/>
          <w:highlight w:val="none"/>
          <w14:textFill>
            <w14:solidFill>
              <w14:schemeClr w14:val="tx1"/>
            </w14:solidFill>
          </w14:textFill>
        </w:rPr>
        <w:t>法院裁定确认</w:t>
      </w:r>
      <w:r>
        <w:rPr>
          <w:rFonts w:hint="eastAsia" w:ascii="仿宋" w:hAnsi="仿宋" w:eastAsia="仿宋" w:cs="仿宋"/>
          <w:color w:val="000000" w:themeColor="text1"/>
          <w:sz w:val="28"/>
          <w:szCs w:val="28"/>
          <w:highlight w:val="none"/>
          <w:lang w:val="en-US" w:eastAsia="zh-CN"/>
          <w14:textFill>
            <w14:solidFill>
              <w14:schemeClr w14:val="tx1"/>
            </w14:solidFill>
          </w14:textFill>
        </w:rPr>
        <w:t>债权金额共计1,889,583,487.517元，其中税款债权1,235,112.30元，优先债权829,670,391.39元，普通债权1,058,677,983.83元。尚有部分债权未最终裁定确认。</w:t>
      </w:r>
    </w:p>
    <w:p w14:paraId="5AF78238">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lang w:eastAsia="zh-CN"/>
          <w14:textFill>
            <w14:solidFill>
              <w14:schemeClr w14:val="tx1"/>
            </w14:solidFill>
          </w14:textFill>
        </w:rPr>
        <w:t>华鑫汇通公司</w:t>
      </w:r>
      <w:r>
        <w:rPr>
          <w:rFonts w:hint="eastAsia" w:ascii="仿宋" w:hAnsi="仿宋" w:eastAsia="仿宋" w:cs="仿宋"/>
          <w:color w:val="000000" w:themeColor="text1"/>
          <w:sz w:val="28"/>
          <w:szCs w:val="28"/>
          <w:highlight w:val="none"/>
          <w14:textFill>
            <w14:solidFill>
              <w14:schemeClr w14:val="tx1"/>
            </w14:solidFill>
          </w14:textFill>
        </w:rPr>
        <w:t>的负债情况最终以债权人申报、管理人审查、债权人会议核查且经人民法院裁定确认</w:t>
      </w:r>
      <w:r>
        <w:rPr>
          <w:rFonts w:hint="eastAsia" w:ascii="仿宋" w:hAnsi="仿宋" w:eastAsia="仿宋" w:cs="仿宋"/>
          <w:color w:val="000000" w:themeColor="text1"/>
          <w:sz w:val="28"/>
          <w:szCs w:val="28"/>
          <w:highlight w:val="none"/>
          <w:lang w:val="en-US" w:eastAsia="zh-CN"/>
          <w14:textFill>
            <w14:solidFill>
              <w14:schemeClr w14:val="tx1"/>
            </w14:solidFill>
          </w14:textFill>
        </w:rPr>
        <w:t>等法定程序确认</w:t>
      </w:r>
      <w:r>
        <w:rPr>
          <w:rFonts w:hint="eastAsia" w:ascii="仿宋" w:hAnsi="仿宋" w:eastAsia="仿宋" w:cs="仿宋"/>
          <w:color w:val="000000" w:themeColor="text1"/>
          <w:sz w:val="28"/>
          <w:szCs w:val="28"/>
          <w:highlight w:val="none"/>
          <w14:textFill>
            <w14:solidFill>
              <w14:schemeClr w14:val="tx1"/>
            </w14:solidFill>
          </w14:textFill>
        </w:rPr>
        <w:t>的债权金额为准。重整意向投资人需进一步了解</w:t>
      </w:r>
      <w:r>
        <w:rPr>
          <w:rFonts w:hint="eastAsia" w:ascii="仿宋" w:hAnsi="仿宋" w:eastAsia="仿宋" w:cs="仿宋"/>
          <w:color w:val="000000" w:themeColor="text1"/>
          <w:sz w:val="28"/>
          <w:szCs w:val="28"/>
          <w:highlight w:val="none"/>
          <w:lang w:eastAsia="zh-CN"/>
          <w14:textFill>
            <w14:solidFill>
              <w14:schemeClr w14:val="tx1"/>
            </w14:solidFill>
          </w14:textFill>
        </w:rPr>
        <w:t>华鑫汇通公司</w:t>
      </w:r>
      <w:r>
        <w:rPr>
          <w:rFonts w:hint="eastAsia" w:ascii="仿宋" w:hAnsi="仿宋" w:eastAsia="仿宋" w:cs="仿宋"/>
          <w:color w:val="000000" w:themeColor="text1"/>
          <w:sz w:val="28"/>
          <w:szCs w:val="28"/>
          <w:highlight w:val="none"/>
          <w14:textFill>
            <w14:solidFill>
              <w14:schemeClr w14:val="tx1"/>
            </w14:solidFill>
          </w14:textFill>
        </w:rPr>
        <w:t>的负债情况的，可与管理人联系咨询了解。</w:t>
      </w:r>
    </w:p>
    <w:p w14:paraId="78FE3783">
      <w:pPr>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color w:val="000000" w:themeColor="text1"/>
          <w:sz w:val="28"/>
          <w:szCs w:val="28"/>
          <w:highlight w:val="none"/>
          <w14:textFill>
            <w14:solidFill>
              <w14:schemeClr w14:val="tx1"/>
            </w14:solidFill>
          </w14:textFill>
        </w:rPr>
      </w:pPr>
      <w:r>
        <w:rPr>
          <w:rFonts w:hint="eastAsia" w:ascii="仿宋" w:hAnsi="仿宋" w:eastAsia="仿宋" w:cs="仿宋"/>
          <w:b/>
          <w:color w:val="000000" w:themeColor="text1"/>
          <w:sz w:val="28"/>
          <w:szCs w:val="28"/>
          <w:highlight w:val="none"/>
          <w:lang w:eastAsia="zh-CN"/>
          <w14:textFill>
            <w14:solidFill>
              <w14:schemeClr w14:val="tx1"/>
            </w14:solidFill>
          </w14:textFill>
        </w:rPr>
        <w:t>华鑫汇通公司</w:t>
      </w:r>
      <w:r>
        <w:rPr>
          <w:rFonts w:hint="eastAsia" w:ascii="仿宋" w:hAnsi="仿宋" w:eastAsia="仿宋" w:cs="仿宋"/>
          <w:b/>
          <w:color w:val="000000" w:themeColor="text1"/>
          <w:sz w:val="28"/>
          <w:szCs w:val="28"/>
          <w:highlight w:val="none"/>
          <w14:textFill>
            <w14:solidFill>
              <w14:schemeClr w14:val="tx1"/>
            </w14:solidFill>
          </w14:textFill>
        </w:rPr>
        <w:t>的工商登记情况、历史沿革及其股权结构、生产经营现状、员工情况、税费欠缴情况、主要资产状况、负债等详细信息，重整意向投资人与管理人签订保密协议后，可自行决定对</w:t>
      </w:r>
      <w:r>
        <w:rPr>
          <w:rFonts w:hint="eastAsia" w:ascii="仿宋" w:hAnsi="仿宋" w:eastAsia="仿宋" w:cs="仿宋"/>
          <w:b/>
          <w:color w:val="000000" w:themeColor="text1"/>
          <w:sz w:val="28"/>
          <w:szCs w:val="28"/>
          <w:highlight w:val="none"/>
          <w:lang w:eastAsia="zh-CN"/>
          <w14:textFill>
            <w14:solidFill>
              <w14:schemeClr w14:val="tx1"/>
            </w14:solidFill>
          </w14:textFill>
        </w:rPr>
        <w:t>华鑫汇通公司</w:t>
      </w:r>
      <w:r>
        <w:rPr>
          <w:rFonts w:hint="eastAsia" w:ascii="仿宋" w:hAnsi="仿宋" w:eastAsia="仿宋" w:cs="仿宋"/>
          <w:b/>
          <w:color w:val="000000" w:themeColor="text1"/>
          <w:sz w:val="28"/>
          <w:szCs w:val="28"/>
          <w:highlight w:val="none"/>
          <w14:textFill>
            <w14:solidFill>
              <w14:schemeClr w14:val="tx1"/>
            </w14:solidFill>
          </w14:textFill>
        </w:rPr>
        <w:t>进行尽职调查获取，管理人将协助配合。</w:t>
      </w:r>
    </w:p>
    <w:p w14:paraId="6ABFF753">
      <w:pPr>
        <w:keepNext w:val="0"/>
        <w:keepLines w:val="0"/>
        <w:pageBreakBefore w:val="0"/>
        <w:kinsoku/>
        <w:wordWrap/>
        <w:overflowPunct/>
        <w:topLinePunct w:val="0"/>
        <w:autoSpaceDE/>
        <w:autoSpaceDN/>
        <w:bidi w:val="0"/>
        <w:adjustRightInd/>
        <w:snapToGrid/>
        <w:spacing w:before="156" w:beforeLines="50" w:after="156" w:afterLines="50" w:line="360" w:lineRule="auto"/>
        <w:jc w:val="center"/>
        <w:textAlignment w:val="auto"/>
        <w:rPr>
          <w:rFonts w:hint="eastAsia" w:ascii="华文中宋" w:hAnsi="华文中宋" w:eastAsia="华文中宋" w:cs="华文中宋"/>
          <w:b/>
          <w:color w:val="000000" w:themeColor="text1"/>
          <w:sz w:val="28"/>
          <w:szCs w:val="28"/>
          <w:highlight w:val="none"/>
          <w14:textFill>
            <w14:solidFill>
              <w14:schemeClr w14:val="tx1"/>
            </w14:solidFill>
          </w14:textFill>
        </w:rPr>
      </w:pPr>
      <w:r>
        <w:rPr>
          <w:rFonts w:hint="eastAsia" w:ascii="华文中宋" w:hAnsi="华文中宋" w:eastAsia="华文中宋" w:cs="华文中宋"/>
          <w:b/>
          <w:color w:val="000000" w:themeColor="text1"/>
          <w:sz w:val="28"/>
          <w:szCs w:val="28"/>
          <w:highlight w:val="none"/>
          <w14:textFill>
            <w14:solidFill>
              <w14:schemeClr w14:val="tx1"/>
            </w14:solidFill>
          </w14:textFill>
        </w:rPr>
        <w:t>三、招募方案</w:t>
      </w:r>
    </w:p>
    <w:p w14:paraId="7B517005">
      <w:pPr>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color w:val="000000" w:themeColor="text1"/>
          <w:sz w:val="28"/>
          <w:szCs w:val="28"/>
          <w:highlight w:val="none"/>
          <w14:textFill>
            <w14:solidFill>
              <w14:schemeClr w14:val="tx1"/>
            </w14:solidFill>
          </w14:textFill>
        </w:rPr>
      </w:pPr>
      <w:r>
        <w:rPr>
          <w:rFonts w:hint="eastAsia" w:ascii="仿宋" w:hAnsi="仿宋" w:eastAsia="仿宋" w:cs="仿宋"/>
          <w:b/>
          <w:color w:val="000000" w:themeColor="text1"/>
          <w:sz w:val="28"/>
          <w:szCs w:val="28"/>
          <w:highlight w:val="none"/>
          <w14:textFill>
            <w14:solidFill>
              <w14:schemeClr w14:val="tx1"/>
            </w14:solidFill>
          </w14:textFill>
        </w:rPr>
        <w:t>（一）重整意向投资人的基本条件</w:t>
      </w:r>
    </w:p>
    <w:p w14:paraId="1113216A">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b w:val="0"/>
          <w:bCs/>
          <w:color w:val="000000" w:themeColor="text1"/>
          <w:sz w:val="28"/>
          <w:szCs w:val="28"/>
          <w:highlight w:val="none"/>
          <w14:textFill>
            <w14:solidFill>
              <w14:schemeClr w14:val="tx1"/>
            </w14:solidFill>
          </w14:textFill>
        </w:rPr>
      </w:pPr>
      <w:r>
        <w:rPr>
          <w:rFonts w:hint="eastAsia" w:ascii="仿宋" w:hAnsi="仿宋" w:eastAsia="仿宋" w:cs="仿宋"/>
          <w:b w:val="0"/>
          <w:bCs/>
          <w:color w:val="000000" w:themeColor="text1"/>
          <w:sz w:val="28"/>
          <w:szCs w:val="28"/>
          <w:highlight w:val="none"/>
          <w14:textFill>
            <w14:solidFill>
              <w14:schemeClr w14:val="tx1"/>
            </w14:solidFill>
          </w14:textFill>
        </w:rPr>
        <w:t>重整意向投资人可独自或与他人联合参与重整投资。重整意向投资人需满足以下基本条件：</w:t>
      </w:r>
    </w:p>
    <w:p w14:paraId="7113B638">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1、具有较高的社会责任感和良好的商业信誉（国内、省内知名企业优先）。</w:t>
      </w:r>
    </w:p>
    <w:p w14:paraId="6AF471FA">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2、拥有足够的资金实力进行重整投资，</w:t>
      </w:r>
      <w:r>
        <w:rPr>
          <w:rFonts w:hint="eastAsia" w:ascii="仿宋" w:hAnsi="仿宋" w:eastAsia="仿宋" w:cs="仿宋"/>
          <w:color w:val="000000" w:themeColor="text1"/>
          <w:sz w:val="28"/>
          <w:szCs w:val="28"/>
          <w:highlight w:val="none"/>
          <w:lang w:val="en-US" w:eastAsia="zh-CN"/>
          <w14:textFill>
            <w14:solidFill>
              <w14:schemeClr w14:val="tx1"/>
            </w14:solidFill>
          </w14:textFill>
        </w:rPr>
        <w:t>且资金来源合法合规，</w:t>
      </w:r>
      <w:r>
        <w:rPr>
          <w:rFonts w:hint="eastAsia" w:ascii="仿宋" w:hAnsi="仿宋" w:eastAsia="仿宋" w:cs="仿宋"/>
          <w:color w:val="000000" w:themeColor="text1"/>
          <w:sz w:val="28"/>
          <w:szCs w:val="28"/>
          <w:highlight w:val="none"/>
          <w14:textFill>
            <w14:solidFill>
              <w14:schemeClr w14:val="tx1"/>
            </w14:solidFill>
          </w14:textFill>
        </w:rPr>
        <w:t>并提供相应的资信证明或</w:t>
      </w:r>
      <w:r>
        <w:rPr>
          <w:rFonts w:hint="eastAsia" w:ascii="仿宋" w:hAnsi="仿宋" w:eastAsia="仿宋" w:cs="仿宋"/>
          <w:color w:val="000000" w:themeColor="text1"/>
          <w:sz w:val="28"/>
          <w:szCs w:val="28"/>
          <w:highlight w:val="none"/>
          <w:lang w:val="en-US" w:eastAsia="zh-CN"/>
          <w14:textFill>
            <w14:solidFill>
              <w14:schemeClr w14:val="tx1"/>
            </w14:solidFill>
          </w14:textFill>
        </w:rPr>
        <w:t>有明确可行的</w:t>
      </w:r>
      <w:r>
        <w:rPr>
          <w:rFonts w:hint="eastAsia" w:ascii="仿宋" w:hAnsi="仿宋" w:eastAsia="仿宋" w:cs="仿宋"/>
          <w:color w:val="000000" w:themeColor="text1"/>
          <w:sz w:val="28"/>
          <w:szCs w:val="28"/>
          <w:highlight w:val="none"/>
          <w14:textFill>
            <w14:solidFill>
              <w14:schemeClr w14:val="tx1"/>
            </w14:solidFill>
          </w14:textFill>
        </w:rPr>
        <w:t>履约</w:t>
      </w:r>
      <w:r>
        <w:rPr>
          <w:rFonts w:hint="eastAsia" w:ascii="仿宋" w:hAnsi="仿宋" w:eastAsia="仿宋" w:cs="仿宋"/>
          <w:color w:val="000000" w:themeColor="text1"/>
          <w:sz w:val="28"/>
          <w:szCs w:val="28"/>
          <w:highlight w:val="none"/>
          <w:lang w:val="en-US" w:eastAsia="zh-CN"/>
          <w14:textFill>
            <w14:solidFill>
              <w14:schemeClr w14:val="tx1"/>
            </w14:solidFill>
          </w14:textFill>
        </w:rPr>
        <w:t>方案</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14:textFill>
            <w14:solidFill>
              <w14:schemeClr w14:val="tx1"/>
            </w14:solidFill>
          </w14:textFill>
        </w:rPr>
        <w:t>具备与拟投资的</w:t>
      </w:r>
      <w:r>
        <w:rPr>
          <w:rFonts w:hint="eastAsia" w:ascii="仿宋" w:hAnsi="仿宋" w:eastAsia="仿宋" w:cs="仿宋"/>
          <w:color w:val="000000" w:themeColor="text1"/>
          <w:sz w:val="28"/>
          <w:szCs w:val="28"/>
          <w:highlight w:val="none"/>
          <w:lang w:eastAsia="zh-CN"/>
          <w14:textFill>
            <w14:solidFill>
              <w14:schemeClr w14:val="tx1"/>
            </w14:solidFill>
          </w14:textFill>
        </w:rPr>
        <w:t>华鑫汇通公司</w:t>
      </w:r>
      <w:r>
        <w:rPr>
          <w:rFonts w:hint="eastAsia" w:ascii="仿宋" w:hAnsi="仿宋" w:eastAsia="仿宋" w:cs="仿宋"/>
          <w:color w:val="000000" w:themeColor="text1"/>
          <w:sz w:val="28"/>
          <w:szCs w:val="28"/>
          <w:highlight w:val="none"/>
          <w14:textFill>
            <w14:solidFill>
              <w14:schemeClr w14:val="tx1"/>
            </w14:solidFill>
          </w14:textFill>
        </w:rPr>
        <w:t>的经营规模相适应的经营管理能力（对</w:t>
      </w:r>
      <w:r>
        <w:rPr>
          <w:rFonts w:hint="eastAsia" w:ascii="仿宋" w:hAnsi="仿宋" w:eastAsia="仿宋" w:cs="仿宋"/>
          <w:color w:val="000000" w:themeColor="text1"/>
          <w:sz w:val="28"/>
          <w:szCs w:val="28"/>
          <w:highlight w:val="none"/>
          <w:lang w:val="en-US" w:eastAsia="zh-CN"/>
          <w14:textFill>
            <w14:solidFill>
              <w14:schemeClr w14:val="tx1"/>
            </w14:solidFill>
          </w14:textFill>
        </w:rPr>
        <w:t>钢材市场</w:t>
      </w:r>
      <w:r>
        <w:rPr>
          <w:rFonts w:hint="eastAsia" w:ascii="仿宋" w:hAnsi="仿宋" w:eastAsia="仿宋" w:cs="仿宋"/>
          <w:color w:val="000000" w:themeColor="text1"/>
          <w:sz w:val="28"/>
          <w:szCs w:val="28"/>
          <w:highlight w:val="none"/>
          <w14:textFill>
            <w14:solidFill>
              <w14:schemeClr w14:val="tx1"/>
            </w14:solidFill>
          </w14:textFill>
        </w:rPr>
        <w:t>行业、产业链有投资、经营、管理经验者）</w:t>
      </w:r>
      <w:r>
        <w:rPr>
          <w:rFonts w:hint="eastAsia" w:ascii="仿宋" w:hAnsi="仿宋" w:eastAsia="仿宋" w:cs="仿宋"/>
          <w:color w:val="000000" w:themeColor="text1"/>
          <w:sz w:val="28"/>
          <w:szCs w:val="28"/>
          <w:highlight w:val="none"/>
          <w:lang w:val="en-US" w:eastAsia="zh-CN"/>
          <w14:textFill>
            <w14:solidFill>
              <w14:schemeClr w14:val="tx1"/>
            </w14:solidFill>
          </w14:textFill>
        </w:rPr>
        <w:t>的条件可适当放宽</w:t>
      </w:r>
      <w:r>
        <w:rPr>
          <w:rFonts w:hint="eastAsia" w:ascii="仿宋" w:hAnsi="仿宋" w:eastAsia="仿宋" w:cs="仿宋"/>
          <w:color w:val="000000" w:themeColor="text1"/>
          <w:sz w:val="28"/>
          <w:szCs w:val="28"/>
          <w:highlight w:val="none"/>
          <w14:textFill>
            <w14:solidFill>
              <w14:schemeClr w14:val="tx1"/>
            </w14:solidFill>
          </w14:textFill>
        </w:rPr>
        <w:t>。</w:t>
      </w:r>
    </w:p>
    <w:p w14:paraId="7DD4F8F4">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3、无数额较大到期未清偿债务，最近三年</w:t>
      </w:r>
      <w:r>
        <w:rPr>
          <w:rFonts w:hint="eastAsia" w:ascii="仿宋" w:hAnsi="仿宋" w:eastAsia="仿宋" w:cs="仿宋"/>
          <w:color w:val="000000" w:themeColor="text1"/>
          <w:sz w:val="28"/>
          <w:szCs w:val="28"/>
          <w:highlight w:val="none"/>
          <w:lang w:val="en-US" w:eastAsia="zh-CN"/>
          <w14:textFill>
            <w14:solidFill>
              <w14:schemeClr w14:val="tx1"/>
            </w14:solidFill>
          </w14:textFill>
        </w:rPr>
        <w:t>无重大或涉嫌违法行为，</w:t>
      </w:r>
      <w:r>
        <w:rPr>
          <w:rFonts w:hint="eastAsia" w:ascii="仿宋" w:hAnsi="仿宋" w:eastAsia="仿宋" w:cs="仿宋"/>
          <w:color w:val="000000" w:themeColor="text1"/>
          <w:sz w:val="28"/>
          <w:szCs w:val="28"/>
          <w:highlight w:val="none"/>
          <w14:textFill>
            <w14:solidFill>
              <w14:schemeClr w14:val="tx1"/>
            </w14:solidFill>
          </w14:textFill>
        </w:rPr>
        <w:t>未列入失信</w:t>
      </w:r>
      <w:r>
        <w:rPr>
          <w:rFonts w:hint="eastAsia" w:ascii="仿宋" w:hAnsi="仿宋" w:eastAsia="仿宋" w:cs="仿宋"/>
          <w:color w:val="000000" w:themeColor="text1"/>
          <w:sz w:val="28"/>
          <w:szCs w:val="28"/>
          <w:highlight w:val="none"/>
          <w:lang w:val="en-US" w:eastAsia="zh-CN"/>
          <w14:textFill>
            <w14:solidFill>
              <w14:schemeClr w14:val="tx1"/>
            </w14:solidFill>
          </w14:textFill>
        </w:rPr>
        <w:t>名单</w:t>
      </w:r>
      <w:r>
        <w:rPr>
          <w:rFonts w:hint="eastAsia" w:ascii="仿宋" w:hAnsi="仿宋" w:eastAsia="仿宋" w:cs="仿宋"/>
          <w:color w:val="000000" w:themeColor="text1"/>
          <w:sz w:val="28"/>
          <w:szCs w:val="28"/>
          <w:highlight w:val="none"/>
          <w14:textFill>
            <w14:solidFill>
              <w14:schemeClr w14:val="tx1"/>
            </w14:solidFill>
          </w14:textFill>
        </w:rPr>
        <w:t>（重整意向投资人及/或其控股股东、实际控制人财务状况或信用记录不良的，管理人有权认定重整意向投资人不具备重整意向投资人资格）</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经营状态正常</w:t>
      </w:r>
      <w:r>
        <w:rPr>
          <w:rFonts w:hint="eastAsia" w:ascii="仿宋" w:hAnsi="仿宋" w:eastAsia="仿宋" w:cs="仿宋"/>
          <w:color w:val="000000" w:themeColor="text1"/>
          <w:sz w:val="28"/>
          <w:szCs w:val="28"/>
          <w:highlight w:val="none"/>
          <w14:textFill>
            <w14:solidFill>
              <w14:schemeClr w14:val="tx1"/>
            </w14:solidFill>
          </w14:textFill>
        </w:rPr>
        <w:t>。</w:t>
      </w:r>
    </w:p>
    <w:p w14:paraId="703F135D">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default"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4、两个及以上的企业/自然人可以自行组成联合体，但须以一个整体的重整意向投资人的身份参与重整。</w:t>
      </w:r>
      <w:r>
        <w:rPr>
          <w:rFonts w:hint="eastAsia" w:ascii="仿宋" w:hAnsi="仿宋" w:eastAsia="仿宋" w:cs="仿宋"/>
          <w:color w:val="000000" w:themeColor="text1"/>
          <w:sz w:val="28"/>
          <w:szCs w:val="28"/>
          <w:highlight w:val="none"/>
          <w:lang w:val="en-US" w:eastAsia="zh-CN"/>
          <w14:textFill>
            <w14:solidFill>
              <w14:schemeClr w14:val="tx1"/>
            </w14:solidFill>
          </w14:textFill>
        </w:rPr>
        <w:t>其中至少有一个投资人符合上述全部条件。</w:t>
      </w:r>
    </w:p>
    <w:p w14:paraId="4195345F">
      <w:pPr>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color w:val="000000" w:themeColor="text1"/>
          <w:sz w:val="28"/>
          <w:szCs w:val="28"/>
          <w:highlight w:val="none"/>
          <w14:textFill>
            <w14:solidFill>
              <w14:schemeClr w14:val="tx1"/>
            </w14:solidFill>
          </w14:textFill>
        </w:rPr>
      </w:pPr>
      <w:r>
        <w:rPr>
          <w:rFonts w:hint="eastAsia" w:ascii="仿宋" w:hAnsi="仿宋" w:eastAsia="仿宋" w:cs="仿宋"/>
          <w:b/>
          <w:color w:val="000000" w:themeColor="text1"/>
          <w:sz w:val="28"/>
          <w:szCs w:val="28"/>
          <w:highlight w:val="none"/>
          <w14:textFill>
            <w14:solidFill>
              <w14:schemeClr w14:val="tx1"/>
            </w14:solidFill>
          </w14:textFill>
        </w:rPr>
        <w:t>（二）重整意向投资报名文件</w:t>
      </w:r>
    </w:p>
    <w:p w14:paraId="64FE8967">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重整意向投资人报名时应提交重整意向投资报名文件</w:t>
      </w:r>
      <w:r>
        <w:rPr>
          <w:rFonts w:hint="eastAsia" w:ascii="仿宋" w:hAnsi="仿宋" w:eastAsia="仿宋" w:cs="仿宋"/>
          <w:b/>
          <w:color w:val="000000" w:themeColor="text1"/>
          <w:sz w:val="28"/>
          <w:szCs w:val="28"/>
          <w:highlight w:val="none"/>
          <w14:textFill>
            <w14:solidFill>
              <w14:schemeClr w14:val="tx1"/>
            </w14:solidFill>
          </w14:textFill>
        </w:rPr>
        <w:t>（报名文件须加盖企业公章或自然人签字捺手印，报名时需提供营业执照副本或居民身份证原件核对）</w:t>
      </w:r>
      <w:r>
        <w:rPr>
          <w:rFonts w:hint="eastAsia" w:ascii="仿宋" w:hAnsi="仿宋" w:eastAsia="仿宋" w:cs="仿宋"/>
          <w:color w:val="000000" w:themeColor="text1"/>
          <w:sz w:val="28"/>
          <w:szCs w:val="28"/>
          <w:highlight w:val="none"/>
          <w14:textFill>
            <w14:solidFill>
              <w14:schemeClr w14:val="tx1"/>
            </w14:solidFill>
          </w14:textFill>
        </w:rPr>
        <w:t>，包括以下内容：</w:t>
      </w:r>
    </w:p>
    <w:p w14:paraId="43FEAF31">
      <w:pPr>
        <w:keepNext w:val="0"/>
        <w:keepLines w:val="0"/>
        <w:pageBreakBefore w:val="0"/>
        <w:numPr>
          <w:ilvl w:val="0"/>
          <w:numId w:val="3"/>
        </w:numPr>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参与重整投资的意向书</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14:textFill>
            <w14:solidFill>
              <w14:schemeClr w14:val="tx1"/>
            </w14:solidFill>
          </w14:textFill>
        </w:rPr>
        <w:t>意向书内容包括明确的参与重整</w:t>
      </w:r>
      <w:r>
        <w:rPr>
          <w:rFonts w:hint="eastAsia" w:ascii="仿宋" w:hAnsi="仿宋" w:eastAsia="仿宋" w:cs="仿宋"/>
          <w:color w:val="000000" w:themeColor="text1"/>
          <w:sz w:val="28"/>
          <w:szCs w:val="28"/>
          <w:highlight w:val="none"/>
          <w:lang w:eastAsia="zh-CN"/>
          <w14:textFill>
            <w14:solidFill>
              <w14:schemeClr w14:val="tx1"/>
            </w14:solidFill>
          </w14:textFill>
        </w:rPr>
        <w:t>华鑫汇通公司</w:t>
      </w:r>
      <w:r>
        <w:rPr>
          <w:rFonts w:hint="eastAsia" w:ascii="仿宋" w:hAnsi="仿宋" w:eastAsia="仿宋" w:cs="仿宋"/>
          <w:color w:val="000000" w:themeColor="text1"/>
          <w:sz w:val="28"/>
          <w:szCs w:val="28"/>
          <w:highlight w:val="none"/>
          <w14:textFill>
            <w14:solidFill>
              <w14:schemeClr w14:val="tx1"/>
            </w14:solidFill>
          </w14:textFill>
        </w:rPr>
        <w:t>的意向、参与重整的</w:t>
      </w:r>
      <w:r>
        <w:rPr>
          <w:rFonts w:hint="eastAsia" w:ascii="仿宋" w:hAnsi="仿宋" w:eastAsia="仿宋" w:cs="仿宋"/>
          <w:color w:val="000000" w:themeColor="text1"/>
          <w:sz w:val="28"/>
          <w:szCs w:val="28"/>
          <w:highlight w:val="none"/>
          <w:lang w:val="en-US" w:eastAsia="zh-CN"/>
          <w14:textFill>
            <w14:solidFill>
              <w14:schemeClr w14:val="tx1"/>
            </w14:solidFill>
          </w14:textFill>
        </w:rPr>
        <w:t>初步思路等</w:t>
      </w:r>
      <w:r>
        <w:rPr>
          <w:rFonts w:hint="eastAsia" w:ascii="仿宋" w:hAnsi="仿宋" w:eastAsia="仿宋" w:cs="仿宋"/>
          <w:color w:val="000000" w:themeColor="text1"/>
          <w:sz w:val="28"/>
          <w:szCs w:val="28"/>
          <w:highlight w:val="none"/>
          <w14:textFill>
            <w14:solidFill>
              <w14:schemeClr w14:val="tx1"/>
            </w14:solidFill>
          </w14:textFill>
        </w:rPr>
        <w:t>。</w:t>
      </w:r>
    </w:p>
    <w:p w14:paraId="4F169437">
      <w:pPr>
        <w:keepNext w:val="0"/>
        <w:keepLines w:val="0"/>
        <w:pageBreakBefore w:val="0"/>
        <w:numPr>
          <w:ilvl w:val="0"/>
          <w:numId w:val="3"/>
        </w:numPr>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企业法人报名参与的应提交股东会决议，其他非法人组织应提交决策机构的同意参选的决策文件</w:t>
      </w:r>
      <w:r>
        <w:rPr>
          <w:rFonts w:hint="eastAsia" w:ascii="仿宋" w:hAnsi="仿宋" w:eastAsia="仿宋" w:cs="仿宋"/>
          <w:color w:val="000000" w:themeColor="text1"/>
          <w:sz w:val="28"/>
          <w:szCs w:val="28"/>
          <w:highlight w:val="none"/>
          <w:lang w:eastAsia="zh-CN"/>
          <w14:textFill>
            <w14:solidFill>
              <w14:schemeClr w14:val="tx1"/>
            </w14:solidFill>
          </w14:textFill>
        </w:rPr>
        <w:t>。</w:t>
      </w:r>
    </w:p>
    <w:p w14:paraId="26DFFDE8">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3</w:t>
      </w:r>
      <w:r>
        <w:rPr>
          <w:rFonts w:hint="eastAsia" w:ascii="仿宋" w:hAnsi="仿宋" w:eastAsia="仿宋" w:cs="仿宋"/>
          <w:color w:val="000000" w:themeColor="text1"/>
          <w:sz w:val="28"/>
          <w:szCs w:val="28"/>
          <w:highlight w:val="none"/>
          <w14:textFill>
            <w14:solidFill>
              <w14:schemeClr w14:val="tx1"/>
            </w14:solidFill>
          </w14:textFill>
        </w:rPr>
        <w:t>、重整意向投资人的主体资质文件：重整意向投资人是企业的，应提交企业法人营业执照副本复印件、法定代表人证明书及法定代表人居民身份证复印件、委托书原件及受托人居民身份证复印件；重整意向投资人是自然人的，应提交居民身份证复印件，委托书原件及受托人居民身份证复印件（如需委托代理人办理）。</w:t>
      </w:r>
    </w:p>
    <w:p w14:paraId="0A5EB12A">
      <w:pPr>
        <w:keepNext w:val="0"/>
        <w:keepLines w:val="0"/>
        <w:pageBreakBefore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4</w:t>
      </w:r>
      <w:r>
        <w:rPr>
          <w:rFonts w:hint="eastAsia" w:ascii="仿宋" w:hAnsi="仿宋" w:eastAsia="仿宋" w:cs="仿宋"/>
          <w:color w:val="000000" w:themeColor="text1"/>
          <w:sz w:val="28"/>
          <w:szCs w:val="28"/>
          <w:highlight w:val="none"/>
          <w14:textFill>
            <w14:solidFill>
              <w14:schemeClr w14:val="tx1"/>
            </w14:solidFill>
          </w14:textFill>
        </w:rPr>
        <w:t>、重整意向投资人简介：包括重整意向投资人个人或者企业情况（包括企业股东情况、注册资本金额认缴和实缴情况、生产经营情况、资产总规模，或自然人基本情况、资产情况等）。</w:t>
      </w:r>
    </w:p>
    <w:p w14:paraId="04A4F254">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5</w:t>
      </w:r>
      <w:r>
        <w:rPr>
          <w:rFonts w:hint="eastAsia" w:ascii="仿宋" w:hAnsi="仿宋" w:eastAsia="仿宋" w:cs="仿宋"/>
          <w:color w:val="000000" w:themeColor="text1"/>
          <w:sz w:val="28"/>
          <w:szCs w:val="28"/>
          <w:highlight w:val="none"/>
          <w14:textFill>
            <w14:solidFill>
              <w14:schemeClr w14:val="tx1"/>
            </w14:solidFill>
          </w14:textFill>
        </w:rPr>
        <w:t>、重整意向投资人资信介绍：</w:t>
      </w:r>
      <w:r>
        <w:rPr>
          <w:rFonts w:hint="eastAsia" w:ascii="仿宋" w:hAnsi="仿宋" w:eastAsia="仿宋" w:cs="仿宋"/>
          <w:color w:val="000000" w:themeColor="text1"/>
          <w:sz w:val="28"/>
          <w:szCs w:val="28"/>
          <w:highlight w:val="none"/>
          <w:lang w:val="en-US" w:eastAsia="zh-CN"/>
          <w14:textFill>
            <w14:solidFill>
              <w14:schemeClr w14:val="tx1"/>
            </w14:solidFill>
          </w14:textFill>
        </w:rPr>
        <w:t>近两年度</w:t>
      </w:r>
      <w:r>
        <w:rPr>
          <w:rFonts w:hint="eastAsia" w:ascii="仿宋" w:hAnsi="仿宋" w:eastAsia="仿宋" w:cs="仿宋"/>
          <w:color w:val="000000" w:themeColor="text1"/>
          <w:sz w:val="28"/>
          <w:szCs w:val="28"/>
          <w:highlight w:val="none"/>
          <w14:textFill>
            <w14:solidFill>
              <w14:schemeClr w14:val="tx1"/>
            </w14:solidFill>
          </w14:textFill>
        </w:rPr>
        <w:t>的</w:t>
      </w:r>
      <w:r>
        <w:rPr>
          <w:rFonts w:hint="eastAsia" w:ascii="仿宋" w:hAnsi="仿宋" w:eastAsia="仿宋" w:cs="仿宋"/>
          <w:color w:val="000000" w:themeColor="text1"/>
          <w:sz w:val="28"/>
          <w:szCs w:val="28"/>
          <w:highlight w:val="none"/>
          <w:lang w:val="en-US" w:eastAsia="zh-CN"/>
          <w14:textFill>
            <w14:solidFill>
              <w14:schemeClr w14:val="tx1"/>
            </w14:solidFill>
          </w14:textFill>
        </w:rPr>
        <w:t>财务报表（有</w:t>
      </w:r>
      <w:r>
        <w:rPr>
          <w:rFonts w:hint="eastAsia" w:ascii="仿宋" w:hAnsi="仿宋" w:eastAsia="仿宋" w:cs="仿宋"/>
          <w:color w:val="000000" w:themeColor="text1"/>
          <w:sz w:val="28"/>
          <w:szCs w:val="28"/>
          <w:highlight w:val="none"/>
          <w14:textFill>
            <w14:solidFill>
              <w14:schemeClr w14:val="tx1"/>
            </w14:solidFill>
          </w14:textFill>
        </w:rPr>
        <w:t>财务审计报告</w:t>
      </w:r>
      <w:r>
        <w:rPr>
          <w:rFonts w:hint="eastAsia" w:ascii="仿宋" w:hAnsi="仿宋" w:eastAsia="仿宋" w:cs="仿宋"/>
          <w:color w:val="000000" w:themeColor="text1"/>
          <w:sz w:val="28"/>
          <w:szCs w:val="28"/>
          <w:highlight w:val="none"/>
          <w:lang w:val="en-US" w:eastAsia="zh-CN"/>
          <w14:textFill>
            <w14:solidFill>
              <w14:schemeClr w14:val="tx1"/>
            </w14:solidFill>
          </w14:textFill>
        </w:rPr>
        <w:t>的提供该报告</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14:textFill>
            <w14:solidFill>
              <w14:schemeClr w14:val="tx1"/>
            </w14:solidFill>
          </w14:textFill>
        </w:rPr>
        <w:t>、存款证明</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资产登记</w:t>
      </w:r>
      <w:r>
        <w:rPr>
          <w:rFonts w:hint="eastAsia" w:ascii="仿宋" w:hAnsi="仿宋" w:eastAsia="仿宋" w:cs="仿宋"/>
          <w:color w:val="000000" w:themeColor="text1"/>
          <w:sz w:val="28"/>
          <w:szCs w:val="28"/>
          <w:highlight w:val="none"/>
          <w14:textFill>
            <w14:solidFill>
              <w14:schemeClr w14:val="tx1"/>
            </w14:solidFill>
          </w14:textFill>
        </w:rPr>
        <w:t>等可以说明财务状况和资金实力的文件</w:t>
      </w:r>
      <w:r>
        <w:rPr>
          <w:rFonts w:hint="eastAsia" w:ascii="仿宋" w:hAnsi="仿宋" w:eastAsia="仿宋" w:cs="仿宋"/>
          <w:color w:val="000000" w:themeColor="text1"/>
          <w:sz w:val="28"/>
          <w:szCs w:val="28"/>
          <w:highlight w:val="none"/>
          <w:lang w:val="en-US" w:eastAsia="zh-CN"/>
          <w14:textFill>
            <w14:solidFill>
              <w14:schemeClr w14:val="tx1"/>
            </w14:solidFill>
          </w14:textFill>
        </w:rPr>
        <w:t>或其他履约能力证明</w:t>
      </w:r>
      <w:r>
        <w:rPr>
          <w:rFonts w:hint="eastAsia" w:ascii="仿宋" w:hAnsi="仿宋" w:eastAsia="仿宋" w:cs="仿宋"/>
          <w:color w:val="000000" w:themeColor="text1"/>
          <w:sz w:val="28"/>
          <w:szCs w:val="28"/>
          <w:highlight w:val="none"/>
          <w14:textFill>
            <w14:solidFill>
              <w14:schemeClr w14:val="tx1"/>
            </w14:solidFill>
          </w14:textFill>
        </w:rPr>
        <w:t>；与</w:t>
      </w:r>
      <w:r>
        <w:rPr>
          <w:rFonts w:hint="eastAsia" w:ascii="仿宋" w:hAnsi="仿宋" w:eastAsia="仿宋" w:cs="仿宋"/>
          <w:color w:val="000000" w:themeColor="text1"/>
          <w:sz w:val="28"/>
          <w:szCs w:val="28"/>
          <w:highlight w:val="none"/>
          <w:lang w:val="en-US" w:eastAsia="zh-CN"/>
          <w14:textFill>
            <w14:solidFill>
              <w14:schemeClr w14:val="tx1"/>
            </w14:solidFill>
          </w14:textFill>
        </w:rPr>
        <w:t>钢材市场</w:t>
      </w:r>
      <w:r>
        <w:rPr>
          <w:rFonts w:hint="eastAsia" w:ascii="仿宋" w:hAnsi="仿宋" w:eastAsia="仿宋" w:cs="仿宋"/>
          <w:color w:val="000000" w:themeColor="text1"/>
          <w:sz w:val="28"/>
          <w:szCs w:val="28"/>
          <w:highlight w:val="none"/>
          <w14:textFill>
            <w14:solidFill>
              <w14:schemeClr w14:val="tx1"/>
            </w14:solidFill>
          </w14:textFill>
        </w:rPr>
        <w:t>产业的关联性及经营管理经验和优势（如有）；以往参与重整投资或者企业并购的经验（如有）。</w:t>
      </w:r>
    </w:p>
    <w:p w14:paraId="676DFBF1">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lang w:eastAsia="zh-CN"/>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6</w:t>
      </w:r>
      <w:r>
        <w:rPr>
          <w:rFonts w:hint="eastAsia" w:ascii="仿宋" w:hAnsi="仿宋" w:eastAsia="仿宋" w:cs="仿宋"/>
          <w:color w:val="000000" w:themeColor="text1"/>
          <w:sz w:val="28"/>
          <w:szCs w:val="28"/>
          <w:highlight w:val="none"/>
          <w14:textFill>
            <w14:solidFill>
              <w14:schemeClr w14:val="tx1"/>
            </w14:solidFill>
          </w14:textFill>
        </w:rPr>
        <w:t>、承诺书：承诺愿意依照招募公告、招募说明书等文件参与</w:t>
      </w:r>
      <w:r>
        <w:rPr>
          <w:rFonts w:hint="eastAsia" w:ascii="仿宋" w:hAnsi="仿宋" w:eastAsia="仿宋" w:cs="仿宋"/>
          <w:color w:val="000000" w:themeColor="text1"/>
          <w:sz w:val="28"/>
          <w:szCs w:val="28"/>
          <w:highlight w:val="none"/>
          <w:lang w:eastAsia="zh-CN"/>
          <w14:textFill>
            <w14:solidFill>
              <w14:schemeClr w14:val="tx1"/>
            </w14:solidFill>
          </w14:textFill>
        </w:rPr>
        <w:t>华鑫汇通公司</w:t>
      </w:r>
      <w:r>
        <w:rPr>
          <w:rFonts w:hint="eastAsia" w:ascii="仿宋" w:hAnsi="仿宋" w:eastAsia="仿宋" w:cs="仿宋"/>
          <w:color w:val="000000" w:themeColor="text1"/>
          <w:sz w:val="28"/>
          <w:szCs w:val="28"/>
          <w:highlight w:val="none"/>
          <w14:textFill>
            <w14:solidFill>
              <w14:schemeClr w14:val="tx1"/>
            </w14:solidFill>
          </w14:textFill>
        </w:rPr>
        <w:t>重整意向投资人的遴选成为重整投资人；愿意按招募公告与其他重整投资文件的安排在合理时间内签订重整投资协议及/或提交重整投资承诺</w:t>
      </w:r>
      <w:r>
        <w:rPr>
          <w:rFonts w:hint="eastAsia" w:ascii="仿宋" w:hAnsi="仿宋" w:eastAsia="仿宋" w:cs="仿宋"/>
          <w:color w:val="000000" w:themeColor="text1"/>
          <w:sz w:val="28"/>
          <w:szCs w:val="28"/>
          <w:highlight w:val="none"/>
          <w:lang w:val="en-US" w:eastAsia="zh-CN"/>
          <w14:textFill>
            <w14:solidFill>
              <w14:schemeClr w14:val="tx1"/>
            </w14:solidFill>
          </w14:textFill>
        </w:rPr>
        <w:t>；确认</w:t>
      </w:r>
      <w:r>
        <w:rPr>
          <w:rFonts w:hint="eastAsia" w:ascii="仿宋" w:hAnsi="仿宋" w:eastAsia="仿宋" w:cs="仿宋"/>
          <w:color w:val="000000" w:themeColor="text1"/>
          <w:sz w:val="28"/>
          <w:szCs w:val="28"/>
          <w:highlight w:val="none"/>
          <w14:textFill>
            <w14:solidFill>
              <w14:schemeClr w14:val="tx1"/>
            </w14:solidFill>
          </w14:textFill>
        </w:rPr>
        <w:t>无数额较大到期未清偿债务，最近三年</w:t>
      </w:r>
      <w:r>
        <w:rPr>
          <w:rFonts w:hint="eastAsia" w:ascii="仿宋" w:hAnsi="仿宋" w:eastAsia="仿宋" w:cs="仿宋"/>
          <w:color w:val="000000" w:themeColor="text1"/>
          <w:sz w:val="28"/>
          <w:szCs w:val="28"/>
          <w:highlight w:val="none"/>
          <w:lang w:val="en-US" w:eastAsia="zh-CN"/>
          <w14:textFill>
            <w14:solidFill>
              <w14:schemeClr w14:val="tx1"/>
            </w14:solidFill>
          </w14:textFill>
        </w:rPr>
        <w:t>无重大或涉嫌违法行为，</w:t>
      </w:r>
      <w:r>
        <w:rPr>
          <w:rFonts w:hint="eastAsia" w:ascii="仿宋" w:hAnsi="仿宋" w:eastAsia="仿宋" w:cs="仿宋"/>
          <w:color w:val="000000" w:themeColor="text1"/>
          <w:sz w:val="28"/>
          <w:szCs w:val="28"/>
          <w:highlight w:val="none"/>
          <w14:textFill>
            <w14:solidFill>
              <w14:schemeClr w14:val="tx1"/>
            </w14:solidFill>
          </w14:textFill>
        </w:rPr>
        <w:t>未列入失信</w:t>
      </w:r>
      <w:r>
        <w:rPr>
          <w:rFonts w:hint="eastAsia" w:ascii="仿宋" w:hAnsi="仿宋" w:eastAsia="仿宋" w:cs="仿宋"/>
          <w:color w:val="000000" w:themeColor="text1"/>
          <w:sz w:val="28"/>
          <w:szCs w:val="28"/>
          <w:highlight w:val="none"/>
          <w:lang w:val="en-US" w:eastAsia="zh-CN"/>
          <w14:textFill>
            <w14:solidFill>
              <w14:schemeClr w14:val="tx1"/>
            </w14:solidFill>
          </w14:textFill>
        </w:rPr>
        <w:t>名单</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经营状态正常；承诺</w:t>
      </w:r>
      <w:r>
        <w:rPr>
          <w:rFonts w:hint="eastAsia" w:ascii="仿宋" w:hAnsi="仿宋" w:eastAsia="仿宋" w:cs="仿宋"/>
          <w:color w:val="000000" w:themeColor="text1"/>
          <w:sz w:val="28"/>
          <w:szCs w:val="28"/>
          <w:highlight w:val="none"/>
          <w14:textFill>
            <w14:solidFill>
              <w14:schemeClr w14:val="tx1"/>
            </w14:solidFill>
          </w14:textFill>
        </w:rPr>
        <w:t>对知悉的债务人及案件办理、磋商等情况均予以保密并愿意签署保密协议</w:t>
      </w:r>
      <w:r>
        <w:rPr>
          <w:rFonts w:hint="eastAsia" w:ascii="仿宋" w:hAnsi="仿宋" w:eastAsia="仿宋" w:cs="仿宋"/>
          <w:color w:val="000000" w:themeColor="text1"/>
          <w:sz w:val="28"/>
          <w:szCs w:val="28"/>
          <w:highlight w:val="none"/>
          <w:lang w:eastAsia="zh-CN"/>
          <w14:textFill>
            <w14:solidFill>
              <w14:schemeClr w14:val="tx1"/>
            </w14:solidFill>
          </w14:textFill>
        </w:rPr>
        <w:t>。</w:t>
      </w:r>
    </w:p>
    <w:p w14:paraId="0D162D1A">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7、</w:t>
      </w:r>
      <w:r>
        <w:rPr>
          <w:rFonts w:hint="eastAsia" w:ascii="仿宋" w:hAnsi="仿宋" w:eastAsia="仿宋" w:cs="仿宋"/>
          <w:color w:val="000000" w:themeColor="text1"/>
          <w:sz w:val="28"/>
          <w:szCs w:val="28"/>
          <w:highlight w:val="none"/>
          <w14:textFill>
            <w14:solidFill>
              <w14:schemeClr w14:val="tx1"/>
            </w14:solidFill>
          </w14:textFill>
        </w:rPr>
        <w:t>载明联系人、联系电话、电子邮箱、通信地址。</w:t>
      </w:r>
    </w:p>
    <w:p w14:paraId="1B4A6BB8">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8</w:t>
      </w:r>
      <w:r>
        <w:rPr>
          <w:rFonts w:hint="eastAsia" w:ascii="仿宋" w:hAnsi="仿宋" w:eastAsia="仿宋" w:cs="仿宋"/>
          <w:color w:val="000000" w:themeColor="text1"/>
          <w:sz w:val="28"/>
          <w:szCs w:val="28"/>
          <w:highlight w:val="none"/>
          <w14:textFill>
            <w14:solidFill>
              <w14:schemeClr w14:val="tx1"/>
            </w14:solidFill>
          </w14:textFill>
        </w:rPr>
        <w:t>、重整意向</w:t>
      </w:r>
      <w:r>
        <w:rPr>
          <w:rFonts w:hint="eastAsia" w:ascii="仿宋" w:hAnsi="仿宋" w:eastAsia="仿宋" w:cs="仿宋"/>
          <w:color w:val="000000" w:themeColor="text1"/>
          <w:sz w:val="28"/>
          <w:szCs w:val="28"/>
          <w:highlight w:val="none"/>
          <w:lang w:val="en-US" w:eastAsia="zh-CN"/>
          <w14:textFill>
            <w14:solidFill>
              <w14:schemeClr w14:val="tx1"/>
            </w14:solidFill>
          </w14:textFill>
        </w:rPr>
        <w:t>投资</w:t>
      </w:r>
      <w:r>
        <w:rPr>
          <w:rFonts w:hint="eastAsia" w:ascii="仿宋" w:hAnsi="仿宋" w:eastAsia="仿宋" w:cs="仿宋"/>
          <w:color w:val="000000" w:themeColor="text1"/>
          <w:sz w:val="28"/>
          <w:szCs w:val="28"/>
          <w:highlight w:val="none"/>
          <w14:textFill>
            <w14:solidFill>
              <w14:schemeClr w14:val="tx1"/>
            </w14:solidFill>
          </w14:textFill>
        </w:rPr>
        <w:t>保证金支付凭证。</w:t>
      </w:r>
    </w:p>
    <w:p w14:paraId="2ED4B077">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default"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9</w:t>
      </w:r>
      <w:r>
        <w:rPr>
          <w:rFonts w:hint="eastAsia" w:ascii="仿宋" w:hAnsi="仿宋" w:eastAsia="仿宋" w:cs="仿宋"/>
          <w:color w:val="000000" w:themeColor="text1"/>
          <w:sz w:val="28"/>
          <w:szCs w:val="28"/>
          <w:highlight w:val="none"/>
          <w14:textFill>
            <w14:solidFill>
              <w14:schemeClr w14:val="tx1"/>
            </w14:solidFill>
          </w14:textFill>
        </w:rPr>
        <w:t>、若重整意向投资人是联合体的，还应提供联合体成员之间的联合协议及其他证明资料</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并注明各自职责分工、权利义务。</w:t>
      </w:r>
    </w:p>
    <w:p w14:paraId="3C682921">
      <w:pPr>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color w:val="000000" w:themeColor="text1"/>
          <w:sz w:val="28"/>
          <w:szCs w:val="28"/>
          <w:highlight w:val="none"/>
          <w14:textFill>
            <w14:solidFill>
              <w14:schemeClr w14:val="tx1"/>
            </w14:solidFill>
          </w14:textFill>
        </w:rPr>
      </w:pPr>
      <w:r>
        <w:rPr>
          <w:rFonts w:hint="eastAsia" w:ascii="仿宋" w:hAnsi="仿宋" w:eastAsia="仿宋" w:cs="仿宋"/>
          <w:b/>
          <w:color w:val="000000" w:themeColor="text1"/>
          <w:sz w:val="28"/>
          <w:szCs w:val="28"/>
          <w:highlight w:val="none"/>
          <w14:textFill>
            <w14:solidFill>
              <w14:schemeClr w14:val="tx1"/>
            </w14:solidFill>
          </w14:textFill>
        </w:rPr>
        <w:t>（三）</w:t>
      </w:r>
      <w:r>
        <w:rPr>
          <w:rFonts w:hint="eastAsia" w:ascii="仿宋" w:hAnsi="仿宋" w:eastAsia="仿宋" w:cs="仿宋"/>
          <w:b/>
          <w:color w:val="000000" w:themeColor="text1"/>
          <w:sz w:val="28"/>
          <w:szCs w:val="28"/>
          <w:highlight w:val="none"/>
          <w:lang w:val="en-US" w:eastAsia="zh-CN"/>
          <w14:textFill>
            <w14:solidFill>
              <w14:schemeClr w14:val="tx1"/>
            </w14:solidFill>
          </w14:textFill>
        </w:rPr>
        <w:t>招募流程</w:t>
      </w:r>
    </w:p>
    <w:p w14:paraId="6295AA97">
      <w:pPr>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bCs/>
          <w:color w:val="000000" w:themeColor="text1"/>
          <w:sz w:val="28"/>
          <w:szCs w:val="28"/>
          <w:highlight w:val="none"/>
          <w14:textFill>
            <w14:solidFill>
              <w14:schemeClr w14:val="tx1"/>
            </w14:solidFill>
          </w14:textFill>
        </w:rPr>
      </w:pPr>
      <w:r>
        <w:rPr>
          <w:rFonts w:hint="eastAsia" w:ascii="仿宋" w:hAnsi="仿宋" w:eastAsia="仿宋" w:cs="仿宋"/>
          <w:b/>
          <w:bCs/>
          <w:color w:val="000000" w:themeColor="text1"/>
          <w:sz w:val="28"/>
          <w:szCs w:val="28"/>
          <w:highlight w:val="none"/>
          <w14:textFill>
            <w14:solidFill>
              <w14:schemeClr w14:val="tx1"/>
            </w14:solidFill>
          </w14:textFill>
        </w:rPr>
        <w:t>1、报名</w:t>
      </w:r>
    </w:p>
    <w:p w14:paraId="2630CA70">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default"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意向投资人应于</w:t>
      </w:r>
      <w:r>
        <w:rPr>
          <w:rFonts w:hint="eastAsia" w:ascii="仿宋" w:hAnsi="仿宋" w:eastAsia="仿宋" w:cs="仿宋"/>
          <w:b/>
          <w:color w:val="000000" w:themeColor="text1"/>
          <w:sz w:val="28"/>
          <w:szCs w:val="28"/>
          <w:highlight w:val="none"/>
          <w:u w:val="single"/>
          <w14:textFill>
            <w14:solidFill>
              <w14:schemeClr w14:val="tx1"/>
            </w14:solidFill>
          </w14:textFill>
        </w:rPr>
        <w:t>202</w:t>
      </w:r>
      <w:r>
        <w:rPr>
          <w:rFonts w:hint="eastAsia" w:ascii="仿宋" w:hAnsi="仿宋" w:eastAsia="仿宋" w:cs="仿宋"/>
          <w:b/>
          <w:color w:val="000000" w:themeColor="text1"/>
          <w:sz w:val="28"/>
          <w:szCs w:val="28"/>
          <w:highlight w:val="none"/>
          <w:u w:val="single"/>
          <w:lang w:val="en-US" w:eastAsia="zh-CN"/>
          <w14:textFill>
            <w14:solidFill>
              <w14:schemeClr w14:val="tx1"/>
            </w14:solidFill>
          </w14:textFill>
        </w:rPr>
        <w:t>5</w:t>
      </w:r>
      <w:r>
        <w:rPr>
          <w:rFonts w:hint="eastAsia" w:ascii="仿宋" w:hAnsi="仿宋" w:eastAsia="仿宋" w:cs="仿宋"/>
          <w:b/>
          <w:color w:val="000000" w:themeColor="text1"/>
          <w:sz w:val="28"/>
          <w:szCs w:val="28"/>
          <w:highlight w:val="none"/>
          <w:u w:val="single"/>
          <w14:textFill>
            <w14:solidFill>
              <w14:schemeClr w14:val="tx1"/>
            </w14:solidFill>
          </w14:textFill>
        </w:rPr>
        <w:t>年</w:t>
      </w:r>
      <w:r>
        <w:rPr>
          <w:rFonts w:hint="eastAsia" w:ascii="仿宋" w:hAnsi="仿宋" w:eastAsia="仿宋" w:cs="仿宋"/>
          <w:b/>
          <w:color w:val="000000" w:themeColor="text1"/>
          <w:sz w:val="28"/>
          <w:szCs w:val="28"/>
          <w:highlight w:val="none"/>
          <w:u w:val="single"/>
          <w:lang w:val="en-US" w:eastAsia="zh-CN"/>
          <w14:textFill>
            <w14:solidFill>
              <w14:schemeClr w14:val="tx1"/>
            </w14:solidFill>
          </w14:textFill>
        </w:rPr>
        <w:t>12</w:t>
      </w:r>
      <w:r>
        <w:rPr>
          <w:rFonts w:hint="eastAsia" w:ascii="仿宋" w:hAnsi="仿宋" w:eastAsia="仿宋" w:cs="仿宋"/>
          <w:b/>
          <w:color w:val="000000" w:themeColor="text1"/>
          <w:sz w:val="28"/>
          <w:szCs w:val="28"/>
          <w:highlight w:val="none"/>
          <w:u w:val="single"/>
          <w14:textFill>
            <w14:solidFill>
              <w14:schemeClr w14:val="tx1"/>
            </w14:solidFill>
          </w14:textFill>
        </w:rPr>
        <w:t>月</w:t>
      </w:r>
      <w:r>
        <w:rPr>
          <w:rFonts w:hint="eastAsia" w:ascii="仿宋" w:hAnsi="仿宋" w:eastAsia="仿宋" w:cs="仿宋"/>
          <w:b/>
          <w:color w:val="000000" w:themeColor="text1"/>
          <w:sz w:val="28"/>
          <w:szCs w:val="28"/>
          <w:highlight w:val="none"/>
          <w:u w:val="single"/>
          <w:lang w:val="en-US" w:eastAsia="zh-CN"/>
          <w14:textFill>
            <w14:solidFill>
              <w14:schemeClr w14:val="tx1"/>
            </w14:solidFill>
          </w14:textFill>
        </w:rPr>
        <w:t>25</w:t>
      </w:r>
      <w:r>
        <w:rPr>
          <w:rFonts w:hint="eastAsia" w:ascii="仿宋" w:hAnsi="仿宋" w:eastAsia="仿宋" w:cs="仿宋"/>
          <w:b/>
          <w:color w:val="000000" w:themeColor="text1"/>
          <w:sz w:val="28"/>
          <w:szCs w:val="28"/>
          <w:highlight w:val="none"/>
          <w:u w:val="single"/>
          <w14:textFill>
            <w14:solidFill>
              <w14:schemeClr w14:val="tx1"/>
            </w14:solidFill>
          </w14:textFill>
        </w:rPr>
        <w:t>日16时</w:t>
      </w:r>
      <w:r>
        <w:rPr>
          <w:rFonts w:hint="eastAsia" w:ascii="仿宋" w:hAnsi="仿宋" w:eastAsia="仿宋" w:cs="仿宋"/>
          <w:color w:val="000000" w:themeColor="text1"/>
          <w:sz w:val="28"/>
          <w:szCs w:val="28"/>
          <w:highlight w:val="none"/>
          <w:lang w:val="en-US" w:eastAsia="zh-CN"/>
          <w14:textFill>
            <w14:solidFill>
              <w14:schemeClr w14:val="tx1"/>
            </w14:solidFill>
          </w14:textFill>
        </w:rPr>
        <w:t>前通过邮寄</w:t>
      </w:r>
      <w:r>
        <w:rPr>
          <w:rFonts w:hint="eastAsia" w:ascii="仿宋" w:hAnsi="仿宋" w:eastAsia="仿宋" w:cs="仿宋"/>
          <w:color w:val="000000" w:themeColor="text1"/>
          <w:sz w:val="28"/>
          <w:szCs w:val="28"/>
          <w:highlight w:val="none"/>
          <w14:textFill>
            <w14:solidFill>
              <w14:schemeClr w14:val="tx1"/>
            </w14:solidFill>
          </w14:textFill>
        </w:rPr>
        <w:t>（邮寄的以邮戳时间为准）</w:t>
      </w:r>
      <w:r>
        <w:rPr>
          <w:rFonts w:hint="eastAsia" w:ascii="仿宋" w:hAnsi="仿宋" w:eastAsia="仿宋" w:cs="仿宋"/>
          <w:color w:val="000000" w:themeColor="text1"/>
          <w:sz w:val="28"/>
          <w:szCs w:val="28"/>
          <w:highlight w:val="none"/>
          <w:lang w:val="en-US" w:eastAsia="zh-CN"/>
          <w14:textFill>
            <w14:solidFill>
              <w14:schemeClr w14:val="tx1"/>
            </w14:solidFill>
          </w14:textFill>
        </w:rPr>
        <w:t>或现场交付的方式</w:t>
      </w:r>
      <w:r>
        <w:rPr>
          <w:rFonts w:hint="eastAsia" w:ascii="仿宋" w:hAnsi="仿宋" w:eastAsia="仿宋" w:cs="仿宋"/>
          <w:color w:val="000000" w:themeColor="text1"/>
          <w:sz w:val="28"/>
          <w:szCs w:val="28"/>
          <w:highlight w:val="none"/>
          <w14:textFill>
            <w14:solidFill>
              <w14:schemeClr w14:val="tx1"/>
            </w14:solidFill>
          </w14:textFill>
        </w:rPr>
        <w:t>向管理人递交书面的重整意向投资报名文件</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一式五份，同时发送报名材料电子版至管理人邮箱：</w:t>
      </w:r>
      <w:r>
        <w:rPr>
          <w:rFonts w:hint="eastAsia" w:ascii="仿宋" w:hAnsi="仿宋" w:eastAsia="仿宋" w:cs="仿宋"/>
          <w:color w:val="000000" w:themeColor="text1"/>
          <w:sz w:val="28"/>
          <w:szCs w:val="28"/>
          <w:highlight w:val="none"/>
          <w:u w:val="none"/>
          <w:lang w:val="en-US" w:eastAsia="zh-CN"/>
          <w14:textFill>
            <w14:solidFill>
              <w14:schemeClr w14:val="tx1"/>
            </w14:solidFill>
          </w14:textFill>
        </w:rPr>
        <w:fldChar w:fldCharType="begin"/>
      </w:r>
      <w:r>
        <w:rPr>
          <w:rFonts w:hint="eastAsia" w:ascii="仿宋" w:hAnsi="仿宋" w:eastAsia="仿宋" w:cs="仿宋"/>
          <w:color w:val="000000" w:themeColor="text1"/>
          <w:sz w:val="28"/>
          <w:szCs w:val="28"/>
          <w:highlight w:val="none"/>
          <w:u w:val="none"/>
          <w:lang w:val="en-US" w:eastAsia="zh-CN"/>
          <w14:textFill>
            <w14:solidFill>
              <w14:schemeClr w14:val="tx1"/>
            </w14:solidFill>
          </w14:textFill>
        </w:rPr>
        <w:instrText xml:space="preserve"> HYPERLINK "mailto:zhouni@grandall.com.cn。期限届满后，管理人有权视情况决定是否延长报名期限。" </w:instrText>
      </w:r>
      <w:r>
        <w:rPr>
          <w:rFonts w:hint="eastAsia" w:ascii="仿宋" w:hAnsi="仿宋" w:eastAsia="仿宋" w:cs="仿宋"/>
          <w:color w:val="000000" w:themeColor="text1"/>
          <w:sz w:val="28"/>
          <w:szCs w:val="28"/>
          <w:highlight w:val="none"/>
          <w:u w:val="none"/>
          <w:lang w:val="en-US" w:eastAsia="zh-CN"/>
          <w14:textFill>
            <w14:solidFill>
              <w14:schemeClr w14:val="tx1"/>
            </w14:solidFill>
          </w14:textFill>
        </w:rPr>
        <w:fldChar w:fldCharType="separate"/>
      </w:r>
      <w:r>
        <w:rPr>
          <w:rFonts w:hint="eastAsia" w:ascii="仿宋" w:hAnsi="仿宋" w:eastAsia="仿宋" w:cs="仿宋"/>
          <w:color w:val="000000" w:themeColor="text1"/>
          <w:sz w:val="28"/>
          <w:szCs w:val="28"/>
          <w:highlight w:val="none"/>
          <w:u w:val="none"/>
          <w:lang w:val="en-US" w:eastAsia="zh-CN"/>
          <w14:textFill>
            <w14:solidFill>
              <w14:schemeClr w14:val="tx1"/>
            </w14:solidFill>
          </w14:textFill>
        </w:rPr>
        <w:t>kuangqian</w:t>
      </w:r>
      <w:r>
        <w:rPr>
          <w:rStyle w:val="16"/>
          <w:rFonts w:hint="eastAsia" w:ascii="仿宋" w:hAnsi="仿宋" w:eastAsia="仿宋" w:cs="仿宋"/>
          <w:color w:val="000000" w:themeColor="text1"/>
          <w:sz w:val="28"/>
          <w:szCs w:val="28"/>
          <w:highlight w:val="none"/>
          <w:u w:val="none"/>
          <w:lang w:val="en-US" w:eastAsia="zh-CN"/>
          <w14:textFill>
            <w14:solidFill>
              <w14:schemeClr w14:val="tx1"/>
            </w14:solidFill>
          </w14:textFill>
        </w:rPr>
        <w:t>@grandall.com.cn）</w:t>
      </w:r>
      <w:r>
        <w:rPr>
          <w:rFonts w:hint="eastAsia" w:ascii="仿宋" w:hAnsi="仿宋" w:eastAsia="仿宋" w:cs="仿宋"/>
          <w:color w:val="000000" w:themeColor="text1"/>
          <w:sz w:val="28"/>
          <w:szCs w:val="28"/>
          <w:highlight w:val="none"/>
          <w:u w:val="none"/>
          <w:lang w:val="en-US" w:eastAsia="zh-CN"/>
          <w14:textFill>
            <w14:solidFill>
              <w14:schemeClr w14:val="tx1"/>
            </w14:solidFill>
          </w14:textFill>
        </w:rPr>
        <w:fldChar w:fldCharType="end"/>
      </w:r>
      <w:r>
        <w:rPr>
          <w:rFonts w:hint="eastAsia" w:ascii="仿宋" w:hAnsi="仿宋" w:eastAsia="仿宋" w:cs="仿宋"/>
          <w:color w:val="000000" w:themeColor="text1"/>
          <w:sz w:val="28"/>
          <w:szCs w:val="28"/>
          <w:highlight w:val="none"/>
          <w:lang w:val="en-US" w:eastAsia="zh-CN"/>
          <w14:textFill>
            <w14:solidFill>
              <w14:schemeClr w14:val="tx1"/>
            </w14:solidFill>
          </w14:textFill>
        </w:rPr>
        <w:t>、</w:t>
      </w:r>
      <w:r>
        <w:rPr>
          <w:rFonts w:hint="eastAsia" w:ascii="仿宋" w:hAnsi="仿宋" w:eastAsia="仿宋" w:cs="仿宋"/>
          <w:color w:val="000000" w:themeColor="text1"/>
          <w:sz w:val="28"/>
          <w:szCs w:val="28"/>
          <w:highlight w:val="none"/>
          <w:lang w:eastAsia="zh-CN"/>
          <w14:textFill>
            <w14:solidFill>
              <w14:schemeClr w14:val="tx1"/>
            </w14:solidFill>
          </w14:textFill>
        </w:rPr>
        <w:t>交纳</w:t>
      </w:r>
      <w:r>
        <w:rPr>
          <w:rFonts w:hint="eastAsia" w:ascii="仿宋" w:hAnsi="仿宋" w:eastAsia="仿宋" w:cs="仿宋"/>
          <w:color w:val="000000" w:themeColor="text1"/>
          <w:sz w:val="28"/>
          <w:szCs w:val="28"/>
          <w:highlight w:val="none"/>
          <w14:textFill>
            <w14:solidFill>
              <w14:schemeClr w14:val="tx1"/>
            </w14:solidFill>
          </w14:textFill>
        </w:rPr>
        <w:t>重整意向</w:t>
      </w:r>
      <w:r>
        <w:rPr>
          <w:rFonts w:hint="eastAsia" w:ascii="仿宋" w:hAnsi="仿宋" w:eastAsia="仿宋" w:cs="仿宋"/>
          <w:color w:val="000000" w:themeColor="text1"/>
          <w:sz w:val="28"/>
          <w:szCs w:val="28"/>
          <w:highlight w:val="none"/>
          <w:lang w:val="en-US" w:eastAsia="zh-CN"/>
          <w14:textFill>
            <w14:solidFill>
              <w14:schemeClr w14:val="tx1"/>
            </w14:solidFill>
          </w14:textFill>
        </w:rPr>
        <w:t>投资</w:t>
      </w:r>
      <w:r>
        <w:rPr>
          <w:rFonts w:hint="eastAsia" w:ascii="仿宋" w:hAnsi="仿宋" w:eastAsia="仿宋" w:cs="仿宋"/>
          <w:color w:val="000000" w:themeColor="text1"/>
          <w:sz w:val="28"/>
          <w:szCs w:val="28"/>
          <w:highlight w:val="none"/>
          <w14:textFill>
            <w14:solidFill>
              <w14:schemeClr w14:val="tx1"/>
            </w14:solidFill>
          </w14:textFill>
        </w:rPr>
        <w:t>保证金人民币</w:t>
      </w:r>
      <w:r>
        <w:rPr>
          <w:rFonts w:hint="eastAsia" w:ascii="仿宋" w:hAnsi="仿宋" w:eastAsia="仿宋" w:cs="仿宋"/>
          <w:color w:val="000000" w:themeColor="text1"/>
          <w:sz w:val="28"/>
          <w:szCs w:val="28"/>
          <w:highlight w:val="none"/>
          <w:lang w:val="en-US" w:eastAsia="zh-CN"/>
          <w14:textFill>
            <w14:solidFill>
              <w14:schemeClr w14:val="tx1"/>
            </w14:solidFill>
          </w14:textFill>
        </w:rPr>
        <w:t>1</w:t>
      </w:r>
      <w:r>
        <w:rPr>
          <w:rFonts w:hint="eastAsia" w:ascii="仿宋" w:hAnsi="仿宋" w:eastAsia="仿宋" w:cs="仿宋"/>
          <w:color w:val="000000" w:themeColor="text1"/>
          <w:sz w:val="28"/>
          <w:szCs w:val="28"/>
          <w:highlight w:val="none"/>
          <w14:textFill>
            <w14:solidFill>
              <w14:schemeClr w14:val="tx1"/>
            </w14:solidFill>
          </w14:textFill>
        </w:rPr>
        <w:t>000万元</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含尽调保证金200万元</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14:textFill>
            <w14:solidFill>
              <w14:schemeClr w14:val="tx1"/>
            </w14:solidFill>
          </w14:textFill>
        </w:rPr>
        <w:t>报名文件需密封并加盖骑缝章或者捺手印。</w:t>
      </w:r>
      <w:r>
        <w:rPr>
          <w:rFonts w:hint="eastAsia" w:ascii="仿宋" w:hAnsi="仿宋" w:eastAsia="仿宋" w:cs="仿宋"/>
          <w:color w:val="000000" w:themeColor="text1"/>
          <w:sz w:val="28"/>
          <w:szCs w:val="28"/>
          <w:highlight w:val="none"/>
          <w:lang w:val="en-US" w:eastAsia="zh-CN"/>
          <w14:textFill>
            <w14:solidFill>
              <w14:schemeClr w14:val="tx1"/>
            </w14:solidFill>
          </w14:textFill>
        </w:rPr>
        <w:t>期限届满后，管理人有权视情况决定是否延长报名期限。</w:t>
      </w:r>
    </w:p>
    <w:p w14:paraId="0A250EA5">
      <w:pPr>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bCs w:val="0"/>
          <w:color w:val="000000" w:themeColor="text1"/>
          <w:sz w:val="28"/>
          <w:szCs w:val="28"/>
          <w:highlight w:val="none"/>
          <w14:textFill>
            <w14:solidFill>
              <w14:schemeClr w14:val="tx1"/>
            </w14:solidFill>
          </w14:textFill>
        </w:rPr>
      </w:pPr>
      <w:r>
        <w:rPr>
          <w:rFonts w:hint="eastAsia" w:ascii="仿宋" w:hAnsi="仿宋" w:eastAsia="仿宋" w:cs="仿宋"/>
          <w:b/>
          <w:bCs w:val="0"/>
          <w:color w:val="000000" w:themeColor="text1"/>
          <w:sz w:val="28"/>
          <w:szCs w:val="28"/>
          <w:highlight w:val="none"/>
          <w14:textFill>
            <w14:solidFill>
              <w14:schemeClr w14:val="tx1"/>
            </w14:solidFill>
          </w14:textFill>
        </w:rPr>
        <w:t>温馨提示：重整意向投资人在</w:t>
      </w:r>
      <w:r>
        <w:rPr>
          <w:rFonts w:hint="eastAsia" w:ascii="仿宋" w:hAnsi="仿宋" w:eastAsia="仿宋" w:cs="仿宋"/>
          <w:b/>
          <w:bCs w:val="0"/>
          <w:color w:val="000000" w:themeColor="text1"/>
          <w:sz w:val="28"/>
          <w:szCs w:val="28"/>
          <w:highlight w:val="none"/>
          <w:u w:val="single"/>
          <w14:textFill>
            <w14:solidFill>
              <w14:schemeClr w14:val="tx1"/>
            </w14:solidFill>
          </w14:textFill>
        </w:rPr>
        <w:t>202</w:t>
      </w:r>
      <w:r>
        <w:rPr>
          <w:rFonts w:hint="eastAsia" w:ascii="仿宋" w:hAnsi="仿宋" w:eastAsia="仿宋" w:cs="仿宋"/>
          <w:b/>
          <w:bCs w:val="0"/>
          <w:color w:val="000000" w:themeColor="text1"/>
          <w:sz w:val="28"/>
          <w:szCs w:val="28"/>
          <w:highlight w:val="none"/>
          <w:u w:val="single"/>
          <w:lang w:val="en-US" w:eastAsia="zh-CN"/>
          <w14:textFill>
            <w14:solidFill>
              <w14:schemeClr w14:val="tx1"/>
            </w14:solidFill>
          </w14:textFill>
        </w:rPr>
        <w:t>5</w:t>
      </w:r>
      <w:r>
        <w:rPr>
          <w:rFonts w:hint="eastAsia" w:ascii="仿宋" w:hAnsi="仿宋" w:eastAsia="仿宋" w:cs="仿宋"/>
          <w:b/>
          <w:bCs w:val="0"/>
          <w:color w:val="000000" w:themeColor="text1"/>
          <w:sz w:val="28"/>
          <w:szCs w:val="28"/>
          <w:highlight w:val="none"/>
          <w:u w:val="single"/>
          <w14:textFill>
            <w14:solidFill>
              <w14:schemeClr w14:val="tx1"/>
            </w14:solidFill>
          </w14:textFill>
        </w:rPr>
        <w:t>年</w:t>
      </w:r>
      <w:r>
        <w:rPr>
          <w:rFonts w:hint="eastAsia" w:ascii="仿宋" w:hAnsi="仿宋" w:eastAsia="仿宋" w:cs="仿宋"/>
          <w:b/>
          <w:bCs w:val="0"/>
          <w:color w:val="000000" w:themeColor="text1"/>
          <w:sz w:val="28"/>
          <w:szCs w:val="28"/>
          <w:highlight w:val="none"/>
          <w:u w:val="single"/>
          <w:lang w:val="en-US" w:eastAsia="zh-CN"/>
          <w14:textFill>
            <w14:solidFill>
              <w14:schemeClr w14:val="tx1"/>
            </w14:solidFill>
          </w14:textFill>
        </w:rPr>
        <w:t>12</w:t>
      </w:r>
      <w:r>
        <w:rPr>
          <w:rFonts w:hint="eastAsia" w:ascii="仿宋" w:hAnsi="仿宋" w:eastAsia="仿宋" w:cs="仿宋"/>
          <w:b/>
          <w:bCs w:val="0"/>
          <w:color w:val="000000" w:themeColor="text1"/>
          <w:sz w:val="28"/>
          <w:szCs w:val="28"/>
          <w:highlight w:val="none"/>
          <w:u w:val="single"/>
          <w14:textFill>
            <w14:solidFill>
              <w14:schemeClr w14:val="tx1"/>
            </w14:solidFill>
          </w14:textFill>
        </w:rPr>
        <w:t>月</w:t>
      </w:r>
      <w:r>
        <w:rPr>
          <w:rFonts w:hint="eastAsia" w:ascii="仿宋" w:hAnsi="仿宋" w:eastAsia="仿宋" w:cs="仿宋"/>
          <w:b/>
          <w:bCs w:val="0"/>
          <w:color w:val="000000" w:themeColor="text1"/>
          <w:sz w:val="28"/>
          <w:szCs w:val="28"/>
          <w:highlight w:val="none"/>
          <w:u w:val="single"/>
          <w:lang w:val="en-US" w:eastAsia="zh-CN"/>
          <w14:textFill>
            <w14:solidFill>
              <w14:schemeClr w14:val="tx1"/>
            </w14:solidFill>
          </w14:textFill>
        </w:rPr>
        <w:t>25</w:t>
      </w:r>
      <w:r>
        <w:rPr>
          <w:rFonts w:hint="eastAsia" w:ascii="仿宋" w:hAnsi="仿宋" w:eastAsia="仿宋" w:cs="仿宋"/>
          <w:b/>
          <w:bCs w:val="0"/>
          <w:color w:val="000000" w:themeColor="text1"/>
          <w:sz w:val="28"/>
          <w:szCs w:val="28"/>
          <w:highlight w:val="none"/>
          <w:u w:val="single"/>
          <w14:textFill>
            <w14:solidFill>
              <w14:schemeClr w14:val="tx1"/>
            </w14:solidFill>
          </w14:textFill>
        </w:rPr>
        <w:t>日16时</w:t>
      </w:r>
      <w:r>
        <w:rPr>
          <w:rFonts w:hint="eastAsia" w:ascii="仿宋" w:hAnsi="仿宋" w:eastAsia="仿宋" w:cs="仿宋"/>
          <w:b/>
          <w:bCs w:val="0"/>
          <w:color w:val="000000" w:themeColor="text1"/>
          <w:sz w:val="28"/>
          <w:szCs w:val="28"/>
          <w:highlight w:val="none"/>
          <w:u w:val="none"/>
          <w14:textFill>
            <w14:solidFill>
              <w14:schemeClr w14:val="tx1"/>
            </w14:solidFill>
          </w14:textFill>
        </w:rPr>
        <w:t>前</w:t>
      </w:r>
      <w:r>
        <w:rPr>
          <w:rFonts w:hint="eastAsia" w:ascii="仿宋" w:hAnsi="仿宋" w:eastAsia="仿宋" w:cs="仿宋"/>
          <w:b/>
          <w:bCs w:val="0"/>
          <w:color w:val="000000" w:themeColor="text1"/>
          <w:sz w:val="28"/>
          <w:szCs w:val="28"/>
          <w:highlight w:val="none"/>
          <w14:textFill>
            <w14:solidFill>
              <w14:schemeClr w14:val="tx1"/>
            </w14:solidFill>
          </w14:textFill>
        </w:rPr>
        <w:t>同时完成以下</w:t>
      </w:r>
      <w:r>
        <w:rPr>
          <w:rFonts w:hint="eastAsia" w:ascii="仿宋" w:hAnsi="仿宋" w:eastAsia="仿宋" w:cs="仿宋"/>
          <w:b/>
          <w:bCs w:val="0"/>
          <w:color w:val="000000" w:themeColor="text1"/>
          <w:sz w:val="28"/>
          <w:szCs w:val="28"/>
          <w:highlight w:val="none"/>
          <w:lang w:val="en-US" w:eastAsia="zh-CN"/>
          <w14:textFill>
            <w14:solidFill>
              <w14:schemeClr w14:val="tx1"/>
            </w14:solidFill>
          </w14:textFill>
        </w:rPr>
        <w:t>两</w:t>
      </w:r>
      <w:r>
        <w:rPr>
          <w:rFonts w:hint="eastAsia" w:ascii="仿宋" w:hAnsi="仿宋" w:eastAsia="仿宋" w:cs="仿宋"/>
          <w:b/>
          <w:bCs w:val="0"/>
          <w:color w:val="000000" w:themeColor="text1"/>
          <w:sz w:val="28"/>
          <w:szCs w:val="28"/>
          <w:highlight w:val="none"/>
          <w14:textFill>
            <w14:solidFill>
              <w14:schemeClr w14:val="tx1"/>
            </w14:solidFill>
          </w14:textFill>
        </w:rPr>
        <w:t>项事项的，方可视为完成报名工作，否则即视为无效报名或放弃报名</w:t>
      </w:r>
      <w:r>
        <w:rPr>
          <w:rFonts w:hint="eastAsia" w:ascii="仿宋" w:hAnsi="仿宋" w:eastAsia="仿宋" w:cs="仿宋"/>
          <w:b/>
          <w:bCs w:val="0"/>
          <w:color w:val="000000" w:themeColor="text1"/>
          <w:sz w:val="28"/>
          <w:szCs w:val="28"/>
          <w:highlight w:val="none"/>
          <w:lang w:eastAsia="zh-CN"/>
          <w14:textFill>
            <w14:solidFill>
              <w14:schemeClr w14:val="tx1"/>
            </w14:solidFill>
          </w14:textFill>
        </w:rPr>
        <w:t>（</w:t>
      </w:r>
      <w:r>
        <w:rPr>
          <w:rFonts w:hint="eastAsia" w:ascii="仿宋" w:hAnsi="仿宋" w:eastAsia="仿宋" w:cs="仿宋"/>
          <w:b/>
          <w:bCs w:val="0"/>
          <w:color w:val="000000" w:themeColor="text1"/>
          <w:sz w:val="28"/>
          <w:szCs w:val="28"/>
          <w:highlight w:val="none"/>
          <w:lang w:val="en-US" w:eastAsia="zh-CN"/>
          <w14:textFill>
            <w14:solidFill>
              <w14:schemeClr w14:val="tx1"/>
            </w14:solidFill>
          </w14:textFill>
        </w:rPr>
        <w:t>如有合理原因需要调整时间的，可由管理人根据实际需要调整</w:t>
      </w:r>
      <w:r>
        <w:rPr>
          <w:rFonts w:hint="eastAsia" w:ascii="仿宋" w:hAnsi="仿宋" w:eastAsia="仿宋" w:cs="仿宋"/>
          <w:b/>
          <w:bCs w:val="0"/>
          <w:color w:val="000000" w:themeColor="text1"/>
          <w:sz w:val="28"/>
          <w:szCs w:val="28"/>
          <w:highlight w:val="none"/>
          <w:lang w:eastAsia="zh-CN"/>
          <w14:textFill>
            <w14:solidFill>
              <w14:schemeClr w14:val="tx1"/>
            </w14:solidFill>
          </w14:textFill>
        </w:rPr>
        <w:t>）</w:t>
      </w:r>
      <w:r>
        <w:rPr>
          <w:rFonts w:hint="eastAsia" w:ascii="仿宋" w:hAnsi="仿宋" w:eastAsia="仿宋" w:cs="仿宋"/>
          <w:b/>
          <w:bCs w:val="0"/>
          <w:color w:val="000000" w:themeColor="text1"/>
          <w:sz w:val="28"/>
          <w:szCs w:val="28"/>
          <w:highlight w:val="none"/>
          <w14:textFill>
            <w14:solidFill>
              <w14:schemeClr w14:val="tx1"/>
            </w14:solidFill>
          </w14:textFill>
        </w:rPr>
        <w:t>。</w:t>
      </w:r>
    </w:p>
    <w:p w14:paraId="18B4879E">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（1）根据本招募说明书规定的重整意向投资报名文件的要求编制并递交重整意向投资报名文件（文件接收地址：</w:t>
      </w:r>
      <w:r>
        <w:rPr>
          <w:rFonts w:hint="eastAsia" w:ascii="仿宋" w:hAnsi="仿宋" w:eastAsia="仿宋" w:cs="仿宋"/>
          <w:color w:val="000000" w:themeColor="text1"/>
          <w:sz w:val="28"/>
          <w:szCs w:val="28"/>
          <w:highlight w:val="none"/>
          <w:lang w:val="en-US" w:eastAsia="zh-CN"/>
          <w14:textFill>
            <w14:solidFill>
              <w14:schemeClr w14:val="tx1"/>
            </w14:solidFill>
          </w14:textFill>
        </w:rPr>
        <w:t>武汉市洪山区欢乐大道1号宏泰大厦21楼国浩律师（武汉）事务所</w:t>
      </w:r>
      <w:r>
        <w:rPr>
          <w:rFonts w:hint="eastAsia" w:ascii="仿宋" w:hAnsi="仿宋" w:eastAsia="仿宋" w:cs="仿宋"/>
          <w:color w:val="000000" w:themeColor="text1"/>
          <w:sz w:val="28"/>
          <w:szCs w:val="28"/>
          <w:highlight w:val="none"/>
          <w14:textFill>
            <w14:solidFill>
              <w14:schemeClr w14:val="tx1"/>
            </w14:solidFill>
          </w14:textFill>
        </w:rPr>
        <w:t>，况律师 18571756207</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黄律师17771372252</w:t>
      </w:r>
      <w:r>
        <w:rPr>
          <w:rFonts w:hint="eastAsia" w:ascii="仿宋" w:hAnsi="仿宋" w:eastAsia="仿宋" w:cs="仿宋"/>
          <w:color w:val="000000" w:themeColor="text1"/>
          <w:sz w:val="28"/>
          <w:szCs w:val="28"/>
          <w:highlight w:val="none"/>
          <w14:textFill>
            <w14:solidFill>
              <w14:schemeClr w14:val="tx1"/>
            </w14:solidFill>
          </w14:textFill>
        </w:rPr>
        <w:t>）。</w:t>
      </w:r>
    </w:p>
    <w:p w14:paraId="34888CD9">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（2）向管理人指定账户支付重整意向</w:t>
      </w:r>
      <w:r>
        <w:rPr>
          <w:rFonts w:hint="eastAsia" w:ascii="仿宋" w:hAnsi="仿宋" w:eastAsia="仿宋" w:cs="仿宋"/>
          <w:color w:val="000000" w:themeColor="text1"/>
          <w:sz w:val="28"/>
          <w:szCs w:val="28"/>
          <w:highlight w:val="none"/>
          <w:lang w:val="en-US" w:eastAsia="zh-CN"/>
          <w14:textFill>
            <w14:solidFill>
              <w14:schemeClr w14:val="tx1"/>
            </w14:solidFill>
          </w14:textFill>
        </w:rPr>
        <w:t>投资</w:t>
      </w:r>
      <w:r>
        <w:rPr>
          <w:rFonts w:hint="eastAsia" w:ascii="仿宋" w:hAnsi="仿宋" w:eastAsia="仿宋" w:cs="仿宋"/>
          <w:color w:val="000000" w:themeColor="text1"/>
          <w:sz w:val="28"/>
          <w:szCs w:val="28"/>
          <w:highlight w:val="none"/>
          <w14:textFill>
            <w14:solidFill>
              <w14:schemeClr w14:val="tx1"/>
            </w14:solidFill>
          </w14:textFill>
        </w:rPr>
        <w:t>保证金人民币</w:t>
      </w:r>
      <w:r>
        <w:rPr>
          <w:rFonts w:hint="eastAsia" w:ascii="仿宋" w:hAnsi="仿宋" w:eastAsia="仿宋" w:cs="仿宋"/>
          <w:color w:val="000000" w:themeColor="text1"/>
          <w:sz w:val="28"/>
          <w:szCs w:val="28"/>
          <w:highlight w:val="none"/>
          <w:lang w:val="en-US" w:eastAsia="zh-CN"/>
          <w14:textFill>
            <w14:solidFill>
              <w14:schemeClr w14:val="tx1"/>
            </w14:solidFill>
          </w14:textFill>
        </w:rPr>
        <w:t>1</w:t>
      </w:r>
      <w:r>
        <w:rPr>
          <w:rFonts w:hint="eastAsia" w:ascii="仿宋" w:hAnsi="仿宋" w:eastAsia="仿宋" w:cs="仿宋"/>
          <w:color w:val="000000" w:themeColor="text1"/>
          <w:sz w:val="28"/>
          <w:szCs w:val="28"/>
          <w:highlight w:val="none"/>
          <w14:textFill>
            <w14:solidFill>
              <w14:schemeClr w14:val="tx1"/>
            </w14:solidFill>
          </w14:textFill>
        </w:rPr>
        <w:t>000万元</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含尽调保证金200万元</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14:textFill>
            <w14:solidFill>
              <w14:schemeClr w14:val="tx1"/>
            </w14:solidFill>
          </w14:textFill>
        </w:rPr>
        <w:t>。</w:t>
      </w:r>
    </w:p>
    <w:p w14:paraId="1300E816">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管理人指定收款账户如下：</w:t>
      </w:r>
    </w:p>
    <w:p w14:paraId="2547BC54">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账户名称：武汉华鑫汇通金属实业有限公司管理人</w:t>
      </w:r>
    </w:p>
    <w:p w14:paraId="37E0ABB4">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开户银行：交通银行股份有限公司武汉武昌支行</w:t>
      </w:r>
    </w:p>
    <w:p w14:paraId="3DD3E23C">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账    号：4214 2104 0012 0017 29396</w:t>
      </w:r>
    </w:p>
    <w:p w14:paraId="1BE58D71">
      <w:pPr>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bCs/>
          <w:color w:val="000000" w:themeColor="text1"/>
          <w:sz w:val="28"/>
          <w:szCs w:val="28"/>
          <w:highlight w:val="none"/>
          <w14:textFill>
            <w14:solidFill>
              <w14:schemeClr w14:val="tx1"/>
            </w14:solidFill>
          </w14:textFill>
        </w:rPr>
      </w:pPr>
      <w:r>
        <w:rPr>
          <w:rFonts w:hint="eastAsia" w:ascii="仿宋" w:hAnsi="仿宋" w:eastAsia="仿宋" w:cs="仿宋"/>
          <w:b/>
          <w:bCs/>
          <w:color w:val="000000" w:themeColor="text1"/>
          <w:sz w:val="28"/>
          <w:szCs w:val="28"/>
          <w:highlight w:val="none"/>
          <w14:textFill>
            <w14:solidFill>
              <w14:schemeClr w14:val="tx1"/>
            </w14:solidFill>
          </w14:textFill>
        </w:rPr>
        <w:t>2、</w:t>
      </w:r>
      <w:r>
        <w:rPr>
          <w:rFonts w:hint="eastAsia" w:ascii="仿宋" w:hAnsi="仿宋" w:eastAsia="仿宋" w:cs="仿宋"/>
          <w:b/>
          <w:bCs/>
          <w:color w:val="000000" w:themeColor="text1"/>
          <w:sz w:val="28"/>
          <w:szCs w:val="28"/>
          <w:highlight w:val="none"/>
          <w:lang w:val="en-US" w:eastAsia="zh-CN"/>
          <w14:textFill>
            <w14:solidFill>
              <w14:schemeClr w14:val="tx1"/>
            </w14:solidFill>
          </w14:textFill>
        </w:rPr>
        <w:t>初步</w:t>
      </w:r>
      <w:r>
        <w:rPr>
          <w:rFonts w:hint="eastAsia" w:ascii="仿宋" w:hAnsi="仿宋" w:eastAsia="仿宋" w:cs="仿宋"/>
          <w:b/>
          <w:bCs/>
          <w:color w:val="000000" w:themeColor="text1"/>
          <w:sz w:val="28"/>
          <w:szCs w:val="28"/>
          <w:highlight w:val="none"/>
          <w14:textFill>
            <w14:solidFill>
              <w14:schemeClr w14:val="tx1"/>
            </w14:solidFill>
          </w14:textFill>
        </w:rPr>
        <w:t>遴选</w:t>
      </w:r>
    </w:p>
    <w:p w14:paraId="77A63565">
      <w:pPr>
        <w:pStyle w:val="10"/>
        <w:keepNext w:val="0"/>
        <w:keepLines w:val="0"/>
        <w:pageBreakBefore w:val="0"/>
        <w:widowControl/>
        <w:kinsoku/>
        <w:wordWrap/>
        <w:overflowPunct/>
        <w:topLinePunct w:val="0"/>
        <w:autoSpaceDE/>
        <w:autoSpaceDN/>
        <w:bidi w:val="0"/>
        <w:adjustRightInd/>
        <w:snapToGrid/>
        <w:spacing w:before="150" w:after="150" w:line="540" w:lineRule="atLeast"/>
        <w:ind w:firstLine="560" w:firstLineChars="200"/>
        <w:textAlignment w:val="baseline"/>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为保证重整意向投资人招募工作的公平、公正，管理人在收到重整意向投资报名文件后将对报名文件进行审查，对符合</w:t>
      </w:r>
      <w:r>
        <w:rPr>
          <w:rFonts w:hint="eastAsia" w:ascii="仿宋" w:hAnsi="仿宋" w:eastAsia="仿宋" w:cs="仿宋"/>
          <w:color w:val="000000" w:themeColor="text1"/>
          <w:sz w:val="28"/>
          <w:szCs w:val="28"/>
          <w:highlight w:val="none"/>
          <w:lang w:val="en-US" w:eastAsia="zh-CN"/>
          <w14:textFill>
            <w14:solidFill>
              <w14:schemeClr w14:val="tx1"/>
            </w14:solidFill>
          </w14:textFill>
        </w:rPr>
        <w:t>报名文件</w:t>
      </w:r>
      <w:r>
        <w:rPr>
          <w:rFonts w:hint="eastAsia" w:ascii="仿宋" w:hAnsi="仿宋" w:eastAsia="仿宋" w:cs="仿宋"/>
          <w:color w:val="000000" w:themeColor="text1"/>
          <w:sz w:val="28"/>
          <w:szCs w:val="28"/>
          <w:highlight w:val="none"/>
          <w14:textFill>
            <w14:solidFill>
              <w14:schemeClr w14:val="tx1"/>
            </w14:solidFill>
          </w14:textFill>
        </w:rPr>
        <w:t>要求的重整意向投资人，管理人将发出</w:t>
      </w:r>
      <w:r>
        <w:rPr>
          <w:rFonts w:hint="eastAsia" w:ascii="仿宋" w:hAnsi="仿宋" w:eastAsia="仿宋" w:cs="仿宋"/>
          <w:color w:val="000000" w:themeColor="text1"/>
          <w:sz w:val="28"/>
          <w:szCs w:val="28"/>
          <w:highlight w:val="none"/>
          <w:lang w:val="en-US" w:eastAsia="zh-CN"/>
          <w14:textFill>
            <w14:solidFill>
              <w14:schemeClr w14:val="tx1"/>
            </w14:solidFill>
          </w14:textFill>
        </w:rPr>
        <w:t>初步遴选入围</w:t>
      </w:r>
      <w:r>
        <w:rPr>
          <w:rFonts w:hint="eastAsia" w:ascii="仿宋" w:hAnsi="仿宋" w:eastAsia="仿宋" w:cs="仿宋"/>
          <w:color w:val="000000" w:themeColor="text1"/>
          <w:sz w:val="28"/>
          <w:szCs w:val="28"/>
          <w:highlight w:val="none"/>
          <w14:textFill>
            <w14:solidFill>
              <w14:schemeClr w14:val="tx1"/>
            </w14:solidFill>
          </w14:textFill>
        </w:rPr>
        <w:t>书面通知。意向投资人未按本</w:t>
      </w:r>
      <w:r>
        <w:rPr>
          <w:rFonts w:hint="eastAsia" w:ascii="仿宋" w:hAnsi="仿宋" w:eastAsia="仿宋" w:cs="仿宋"/>
          <w:color w:val="000000" w:themeColor="text1"/>
          <w:sz w:val="28"/>
          <w:szCs w:val="28"/>
          <w:highlight w:val="none"/>
          <w:lang w:val="en-US" w:eastAsia="zh-CN"/>
          <w14:textFill>
            <w14:solidFill>
              <w14:schemeClr w14:val="tx1"/>
            </w14:solidFill>
          </w14:textFill>
        </w:rPr>
        <w:t>招募说明书</w:t>
      </w:r>
      <w:r>
        <w:rPr>
          <w:rFonts w:hint="eastAsia" w:ascii="仿宋" w:hAnsi="仿宋" w:eastAsia="仿宋" w:cs="仿宋"/>
          <w:color w:val="000000" w:themeColor="text1"/>
          <w:sz w:val="28"/>
          <w:szCs w:val="28"/>
          <w:highlight w:val="none"/>
          <w14:textFill>
            <w14:solidFill>
              <w14:schemeClr w14:val="tx1"/>
            </w14:solidFill>
          </w14:textFill>
        </w:rPr>
        <w:t>要求提交完整报名材料，</w:t>
      </w:r>
      <w:r>
        <w:rPr>
          <w:rFonts w:hint="eastAsia" w:ascii="仿宋" w:hAnsi="仿宋" w:eastAsia="仿宋" w:cs="仿宋"/>
          <w:color w:val="000000" w:themeColor="text1"/>
          <w:sz w:val="28"/>
          <w:szCs w:val="28"/>
          <w:highlight w:val="none"/>
          <w:lang w:val="en-US" w:eastAsia="zh-CN"/>
          <w14:textFill>
            <w14:solidFill>
              <w14:schemeClr w14:val="tx1"/>
            </w14:solidFill>
          </w14:textFill>
        </w:rPr>
        <w:t>如</w:t>
      </w:r>
      <w:r>
        <w:rPr>
          <w:rFonts w:hint="eastAsia" w:ascii="仿宋" w:hAnsi="仿宋" w:eastAsia="仿宋" w:cs="仿宋"/>
          <w:color w:val="000000" w:themeColor="text1"/>
          <w:sz w:val="28"/>
          <w:szCs w:val="28"/>
          <w:highlight w:val="none"/>
          <w14:textFill>
            <w14:solidFill>
              <w14:schemeClr w14:val="tx1"/>
            </w14:solidFill>
          </w14:textFill>
        </w:rPr>
        <w:t>管理人要求补正</w:t>
      </w:r>
      <w:r>
        <w:rPr>
          <w:rFonts w:hint="eastAsia" w:ascii="仿宋" w:hAnsi="仿宋" w:eastAsia="仿宋" w:cs="仿宋"/>
          <w:color w:val="000000" w:themeColor="text1"/>
          <w:sz w:val="28"/>
          <w:szCs w:val="28"/>
          <w:highlight w:val="none"/>
          <w:lang w:val="en-US" w:eastAsia="zh-CN"/>
          <w14:textFill>
            <w14:solidFill>
              <w14:schemeClr w14:val="tx1"/>
            </w14:solidFill>
          </w14:textFill>
        </w:rPr>
        <w:t>后</w:t>
      </w:r>
      <w:r>
        <w:rPr>
          <w:rFonts w:hint="eastAsia" w:ascii="仿宋" w:hAnsi="仿宋" w:eastAsia="仿宋" w:cs="仿宋"/>
          <w:color w:val="000000" w:themeColor="text1"/>
          <w:sz w:val="28"/>
          <w:szCs w:val="28"/>
          <w:highlight w:val="none"/>
          <w14:textFill>
            <w14:solidFill>
              <w14:schemeClr w14:val="tx1"/>
            </w14:solidFill>
          </w14:textFill>
        </w:rPr>
        <w:t>仍未按时补正的,视为报名者报名不成功，且不符合意向投资人条件。</w:t>
      </w:r>
    </w:p>
    <w:p w14:paraId="692ACA5D">
      <w:pPr>
        <w:pStyle w:val="5"/>
        <w:ind w:firstLine="560"/>
        <w:rPr>
          <w:rFonts w:hint="eastAsia" w:ascii="仿宋" w:hAnsi="仿宋" w:eastAsia="仿宋" w:cs="仿宋"/>
          <w:b/>
          <w:bCs/>
          <w:color w:val="000000" w:themeColor="text1"/>
          <w:sz w:val="28"/>
          <w:szCs w:val="28"/>
          <w:highlight w:val="none"/>
          <w:lang w:val="en-US" w:eastAsia="zh-CN"/>
          <w14:textFill>
            <w14:solidFill>
              <w14:schemeClr w14:val="tx1"/>
            </w14:solidFill>
          </w14:textFill>
        </w:rPr>
      </w:pPr>
      <w:r>
        <w:rPr>
          <w:rFonts w:hint="eastAsia" w:ascii="仿宋" w:hAnsi="仿宋" w:eastAsia="仿宋" w:cs="仿宋"/>
          <w:b/>
          <w:bCs/>
          <w:color w:val="000000" w:themeColor="text1"/>
          <w:sz w:val="28"/>
          <w:szCs w:val="28"/>
          <w:highlight w:val="none"/>
          <w:lang w:val="en-US" w:eastAsia="zh-CN"/>
          <w14:textFill>
            <w14:solidFill>
              <w14:schemeClr w14:val="tx1"/>
            </w14:solidFill>
          </w14:textFill>
        </w:rPr>
        <w:t>3、尽职调查</w:t>
      </w:r>
    </w:p>
    <w:p w14:paraId="5576B5AF">
      <w:pPr>
        <w:pStyle w:val="5"/>
        <w:ind w:firstLine="560"/>
        <w:rPr>
          <w:rFonts w:hint="default" w:eastAsia="仿宋"/>
          <w:color w:val="000000" w:themeColor="text1"/>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通过初步遴选入围的意向投资人，可于接到管理人书面通知之日起7日内提出《尽职调查申请》，与管理人签署《保密协议》后可开展尽职调查。尽调保证金的使用与退还以双方签订的《保密协议》为准。</w:t>
      </w:r>
    </w:p>
    <w:p w14:paraId="169446E4">
      <w:pPr>
        <w:keepNext w:val="0"/>
        <w:keepLines w:val="0"/>
        <w:pageBreakBefore w:val="0"/>
        <w:numPr>
          <w:ilvl w:val="0"/>
          <w:numId w:val="2"/>
        </w:numPr>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bCs/>
          <w:color w:val="000000" w:themeColor="text1"/>
          <w:sz w:val="28"/>
          <w:szCs w:val="28"/>
          <w:highlight w:val="none"/>
          <w:lang w:val="en-US" w:eastAsia="zh-CN"/>
          <w14:textFill>
            <w14:solidFill>
              <w14:schemeClr w14:val="tx1"/>
            </w14:solidFill>
          </w14:textFill>
        </w:rPr>
      </w:pPr>
      <w:r>
        <w:rPr>
          <w:rFonts w:hint="eastAsia" w:ascii="仿宋" w:hAnsi="仿宋" w:eastAsia="仿宋" w:cs="仿宋"/>
          <w:b/>
          <w:bCs/>
          <w:color w:val="000000" w:themeColor="text1"/>
          <w:sz w:val="28"/>
          <w:szCs w:val="28"/>
          <w:highlight w:val="none"/>
          <w:lang w:val="en-US" w:eastAsia="zh-CN"/>
          <w14:textFill>
            <w14:solidFill>
              <w14:schemeClr w14:val="tx1"/>
            </w14:solidFill>
          </w14:textFill>
        </w:rPr>
        <w:t>提交具体投资方案</w:t>
      </w:r>
    </w:p>
    <w:p w14:paraId="6DFF4853">
      <w:pPr>
        <w:keepNext w:val="0"/>
        <w:keepLines w:val="0"/>
        <w:pageBreakBefore w:val="0"/>
        <w:numPr>
          <w:ilvl w:val="-1"/>
          <w:numId w:val="0"/>
        </w:numPr>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lang w:eastAsia="zh-CN"/>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初步</w:t>
      </w:r>
      <w:r>
        <w:rPr>
          <w:rFonts w:hint="eastAsia" w:ascii="仿宋" w:hAnsi="仿宋" w:eastAsia="仿宋" w:cs="仿宋"/>
          <w:color w:val="000000" w:themeColor="text1"/>
          <w:sz w:val="28"/>
          <w:szCs w:val="28"/>
          <w:highlight w:val="none"/>
          <w14:textFill>
            <w14:solidFill>
              <w14:schemeClr w14:val="tx1"/>
            </w14:solidFill>
          </w14:textFill>
        </w:rPr>
        <w:t>入围的重整意向投资人</w:t>
      </w:r>
      <w:r>
        <w:rPr>
          <w:rFonts w:hint="eastAsia" w:ascii="仿宋" w:hAnsi="仿宋" w:eastAsia="仿宋" w:cs="仿宋"/>
          <w:color w:val="000000" w:themeColor="text1"/>
          <w:sz w:val="28"/>
          <w:szCs w:val="28"/>
          <w:highlight w:val="none"/>
          <w:lang w:val="en-US" w:eastAsia="zh-CN"/>
          <w14:textFill>
            <w14:solidFill>
              <w14:schemeClr w14:val="tx1"/>
            </w14:solidFill>
          </w14:textFill>
        </w:rPr>
        <w:t>需于</w:t>
      </w:r>
      <w:r>
        <w:rPr>
          <w:rFonts w:hint="eastAsia" w:ascii="仿宋" w:hAnsi="仿宋" w:eastAsia="仿宋" w:cs="仿宋"/>
          <w:b/>
          <w:bCs/>
          <w:color w:val="000000" w:themeColor="text1"/>
          <w:sz w:val="28"/>
          <w:szCs w:val="28"/>
          <w:highlight w:val="none"/>
          <w:u w:val="single"/>
          <w:lang w:val="en-US" w:eastAsia="zh-CN"/>
          <w14:textFill>
            <w14:solidFill>
              <w14:schemeClr w14:val="tx1"/>
            </w14:solidFill>
          </w14:textFill>
        </w:rPr>
        <w:t>2026年1月28日16时</w:t>
      </w:r>
      <w:r>
        <w:rPr>
          <w:rFonts w:hint="eastAsia" w:ascii="仿宋" w:hAnsi="仿宋" w:eastAsia="仿宋" w:cs="仿宋"/>
          <w:color w:val="000000" w:themeColor="text1"/>
          <w:sz w:val="28"/>
          <w:szCs w:val="28"/>
          <w:highlight w:val="none"/>
          <w:lang w:val="en-US" w:eastAsia="zh-CN"/>
          <w14:textFill>
            <w14:solidFill>
              <w14:schemeClr w14:val="tx1"/>
            </w14:solidFill>
          </w14:textFill>
        </w:rPr>
        <w:t>前</w:t>
      </w:r>
      <w:r>
        <w:rPr>
          <w:rFonts w:hint="eastAsia" w:ascii="仿宋" w:hAnsi="仿宋" w:eastAsia="仿宋" w:cs="仿宋"/>
          <w:color w:val="000000" w:themeColor="text1"/>
          <w:sz w:val="28"/>
          <w:szCs w:val="28"/>
          <w:highlight w:val="none"/>
          <w14:textFill>
            <w14:solidFill>
              <w14:schemeClr w14:val="tx1"/>
            </w14:solidFill>
          </w14:textFill>
        </w:rPr>
        <w:t>向管理人提交符合规定和要求的切实可操作的书面重整投资方案，</w:t>
      </w:r>
      <w:r>
        <w:rPr>
          <w:rFonts w:hint="eastAsia" w:ascii="仿宋" w:hAnsi="仿宋" w:eastAsia="仿宋" w:cs="仿宋"/>
          <w:color w:val="000000" w:themeColor="text1"/>
          <w:sz w:val="28"/>
          <w:szCs w:val="28"/>
          <w:highlight w:val="none"/>
          <w:lang w:val="en-US" w:eastAsia="zh-CN"/>
          <w14:textFill>
            <w14:solidFill>
              <w14:schemeClr w14:val="tx1"/>
            </w14:solidFill>
          </w14:textFill>
        </w:rPr>
        <w:t>包括但不限于：投资总额、支付期限、资金来源、经营方案、风险防范等。</w:t>
      </w:r>
    </w:p>
    <w:p w14:paraId="7B8FE663">
      <w:pPr>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仿宋"/>
          <w:b/>
          <w:bCs/>
          <w:color w:val="000000" w:themeColor="text1"/>
          <w:sz w:val="28"/>
          <w:szCs w:val="28"/>
          <w:highlight w:val="none"/>
          <w:lang w:val="en-US" w:eastAsia="zh-CN"/>
          <w14:textFill>
            <w14:solidFill>
              <w14:schemeClr w14:val="tx1"/>
            </w14:solidFill>
          </w14:textFill>
        </w:rPr>
      </w:pPr>
      <w:r>
        <w:rPr>
          <w:rFonts w:hint="eastAsia" w:ascii="仿宋" w:hAnsi="仿宋" w:eastAsia="仿宋" w:cs="仿宋"/>
          <w:b/>
          <w:bCs/>
          <w:color w:val="000000" w:themeColor="text1"/>
          <w:sz w:val="28"/>
          <w:szCs w:val="28"/>
          <w:highlight w:val="none"/>
          <w:lang w:val="en-US" w:eastAsia="zh-CN"/>
          <w14:textFill>
            <w14:solidFill>
              <w14:schemeClr w14:val="tx1"/>
            </w14:solidFill>
          </w14:textFill>
        </w:rPr>
        <w:t>5、遴选与签署协议</w:t>
      </w:r>
    </w:p>
    <w:p w14:paraId="200F7F80">
      <w:pPr>
        <w:pStyle w:val="10"/>
        <w:keepNext w:val="0"/>
        <w:keepLines w:val="0"/>
        <w:pageBreakBefore w:val="0"/>
        <w:widowControl/>
        <w:kinsoku/>
        <w:wordWrap/>
        <w:overflowPunct/>
        <w:topLinePunct w:val="0"/>
        <w:autoSpaceDE/>
        <w:autoSpaceDN/>
        <w:bidi w:val="0"/>
        <w:adjustRightInd/>
        <w:snapToGrid/>
        <w:spacing w:before="150" w:after="150" w:line="540" w:lineRule="atLeast"/>
        <w:ind w:firstLine="560" w:firstLineChars="200"/>
        <w:textAlignment w:val="baseline"/>
        <w:rPr>
          <w:rFonts w:hint="eastAsia"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经接洽与磋商后，管理人通过对</w:t>
      </w:r>
      <w:r>
        <w:rPr>
          <w:rFonts w:hint="eastAsia" w:ascii="仿宋" w:hAnsi="仿宋" w:eastAsia="仿宋" w:cs="仿宋"/>
          <w:color w:val="000000" w:themeColor="text1"/>
          <w:sz w:val="28"/>
          <w:szCs w:val="28"/>
          <w:highlight w:val="none"/>
          <w:lang w:val="en-US" w:eastAsia="zh-CN"/>
          <w14:textFill>
            <w14:solidFill>
              <w14:schemeClr w14:val="tx1"/>
            </w14:solidFill>
          </w14:textFill>
        </w:rPr>
        <w:t>初步入围的意向投资人提交的</w:t>
      </w:r>
      <w:r>
        <w:rPr>
          <w:rFonts w:hint="eastAsia" w:ascii="仿宋" w:hAnsi="仿宋" w:eastAsia="仿宋" w:cs="仿宋"/>
          <w:color w:val="000000" w:themeColor="text1"/>
          <w:sz w:val="28"/>
          <w:szCs w:val="28"/>
          <w:highlight w:val="none"/>
          <w14:textFill>
            <w14:solidFill>
              <w14:schemeClr w14:val="tx1"/>
            </w14:solidFill>
          </w14:textFill>
        </w:rPr>
        <w:t>重整投资方案</w:t>
      </w:r>
      <w:r>
        <w:rPr>
          <w:rFonts w:hint="eastAsia" w:ascii="仿宋" w:hAnsi="仿宋" w:eastAsia="仿宋" w:cs="仿宋"/>
          <w:color w:val="000000" w:themeColor="text1"/>
          <w:sz w:val="28"/>
          <w:szCs w:val="28"/>
          <w:highlight w:val="none"/>
          <w:lang w:val="en-US" w:eastAsia="zh-CN"/>
          <w14:textFill>
            <w14:solidFill>
              <w14:schemeClr w14:val="tx1"/>
            </w14:solidFill>
          </w14:textFill>
        </w:rPr>
        <w:t>进行</w:t>
      </w:r>
      <w:r>
        <w:rPr>
          <w:rFonts w:hint="eastAsia" w:ascii="仿宋" w:hAnsi="仿宋" w:eastAsia="仿宋" w:cs="仿宋"/>
          <w:color w:val="000000" w:themeColor="text1"/>
          <w:sz w:val="28"/>
          <w:szCs w:val="28"/>
          <w:highlight w:val="none"/>
          <w14:textFill>
            <w14:solidFill>
              <w14:schemeClr w14:val="tx1"/>
            </w14:solidFill>
          </w14:textFill>
        </w:rPr>
        <w:t>初步审</w:t>
      </w:r>
      <w:r>
        <w:rPr>
          <w:rFonts w:hint="eastAsia" w:ascii="仿宋" w:hAnsi="仿宋" w:eastAsia="仿宋" w:cs="仿宋"/>
          <w:color w:val="000000" w:themeColor="text1"/>
          <w:sz w:val="28"/>
          <w:szCs w:val="28"/>
          <w:highlight w:val="none"/>
          <w:lang w:val="en-US" w:eastAsia="zh-CN"/>
          <w14:textFill>
            <w14:solidFill>
              <w14:schemeClr w14:val="tx1"/>
            </w14:solidFill>
          </w14:textFill>
        </w:rPr>
        <w:t>查</w:t>
      </w:r>
      <w:r>
        <w:rPr>
          <w:rFonts w:hint="eastAsia" w:ascii="仿宋" w:hAnsi="仿宋" w:eastAsia="仿宋" w:cs="仿宋"/>
          <w:color w:val="000000" w:themeColor="text1"/>
          <w:sz w:val="28"/>
          <w:szCs w:val="28"/>
          <w:highlight w:val="none"/>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并报武汉市黄陂区</w:t>
      </w:r>
      <w:r>
        <w:rPr>
          <w:rFonts w:hint="eastAsia" w:ascii="仿宋" w:hAnsi="仿宋" w:eastAsia="仿宋" w:cs="仿宋"/>
          <w:color w:val="000000" w:themeColor="text1"/>
          <w:sz w:val="28"/>
          <w:szCs w:val="28"/>
          <w:highlight w:val="none"/>
          <w14:textFill>
            <w14:solidFill>
              <w14:schemeClr w14:val="tx1"/>
            </w14:solidFill>
          </w14:textFill>
        </w:rPr>
        <w:t>人民法院</w:t>
      </w:r>
      <w:r>
        <w:rPr>
          <w:rFonts w:hint="eastAsia" w:ascii="仿宋" w:hAnsi="仿宋" w:eastAsia="仿宋" w:cs="仿宋"/>
          <w:color w:val="000000" w:themeColor="text1"/>
          <w:sz w:val="28"/>
          <w:szCs w:val="28"/>
          <w:highlight w:val="none"/>
          <w:lang w:val="en-US" w:eastAsia="zh-CN"/>
          <w14:textFill>
            <w14:solidFill>
              <w14:schemeClr w14:val="tx1"/>
            </w14:solidFill>
          </w14:textFill>
        </w:rPr>
        <w:t>监督、指导下确定具体选定流程，选定最终入围投资人</w:t>
      </w:r>
      <w:r>
        <w:rPr>
          <w:rFonts w:hint="eastAsia" w:ascii="仿宋" w:hAnsi="仿宋" w:eastAsia="仿宋" w:cs="仿宋"/>
          <w:color w:val="000000" w:themeColor="text1"/>
          <w:sz w:val="28"/>
          <w:szCs w:val="28"/>
          <w:highlight w:val="none"/>
          <w14:textFill>
            <w14:solidFill>
              <w14:schemeClr w14:val="tx1"/>
            </w14:solidFill>
          </w14:textFill>
        </w:rPr>
        <w:t>，并以书面形式告知</w:t>
      </w:r>
      <w:r>
        <w:rPr>
          <w:rFonts w:hint="eastAsia" w:ascii="仿宋" w:hAnsi="仿宋" w:eastAsia="仿宋" w:cs="仿宋"/>
          <w:color w:val="000000" w:themeColor="text1"/>
          <w:sz w:val="28"/>
          <w:szCs w:val="28"/>
          <w:highlight w:val="none"/>
          <w:lang w:val="en-US" w:eastAsia="zh-CN"/>
          <w14:textFill>
            <w14:solidFill>
              <w14:schemeClr w14:val="tx1"/>
            </w14:solidFill>
          </w14:textFill>
        </w:rPr>
        <w:t>最终</w:t>
      </w:r>
      <w:r>
        <w:rPr>
          <w:rFonts w:hint="eastAsia" w:ascii="仿宋" w:hAnsi="仿宋" w:eastAsia="仿宋" w:cs="仿宋"/>
          <w:color w:val="000000" w:themeColor="text1"/>
          <w:sz w:val="28"/>
          <w:szCs w:val="28"/>
          <w:highlight w:val="none"/>
          <w14:textFill>
            <w14:solidFill>
              <w14:schemeClr w14:val="tx1"/>
            </w14:solidFill>
          </w14:textFill>
        </w:rPr>
        <w:t>入围意向投资人。对未成为</w:t>
      </w:r>
      <w:r>
        <w:rPr>
          <w:rFonts w:hint="eastAsia" w:ascii="仿宋" w:hAnsi="仿宋" w:eastAsia="仿宋" w:cs="仿宋"/>
          <w:color w:val="000000" w:themeColor="text1"/>
          <w:sz w:val="28"/>
          <w:szCs w:val="28"/>
          <w:highlight w:val="none"/>
          <w:lang w:val="en-US" w:eastAsia="zh-CN"/>
          <w14:textFill>
            <w14:solidFill>
              <w14:schemeClr w14:val="tx1"/>
            </w14:solidFill>
          </w14:textFill>
        </w:rPr>
        <w:t>最终</w:t>
      </w:r>
      <w:r>
        <w:rPr>
          <w:rFonts w:hint="eastAsia" w:ascii="仿宋" w:hAnsi="仿宋" w:eastAsia="仿宋" w:cs="仿宋"/>
          <w:color w:val="000000" w:themeColor="text1"/>
          <w:sz w:val="28"/>
          <w:szCs w:val="28"/>
          <w:highlight w:val="none"/>
          <w14:textFill>
            <w14:solidFill>
              <w14:schemeClr w14:val="tx1"/>
            </w14:solidFill>
          </w14:textFill>
        </w:rPr>
        <w:t>入围意向投资人的不再另行通知。重整意向投资人在被通知确定为最终入围意向投资人后应以管理人通知安排时间为准，</w:t>
      </w:r>
      <w:r>
        <w:rPr>
          <w:rFonts w:hint="eastAsia" w:ascii="仿宋" w:hAnsi="仿宋" w:eastAsia="仿宋" w:cs="仿宋"/>
          <w:color w:val="000000" w:themeColor="text1"/>
          <w:sz w:val="28"/>
          <w:szCs w:val="28"/>
          <w:highlight w:val="none"/>
          <w:lang w:val="en-US" w:eastAsia="zh-CN"/>
          <w14:textFill>
            <w14:solidFill>
              <w14:schemeClr w14:val="tx1"/>
            </w14:solidFill>
          </w14:textFill>
        </w:rPr>
        <w:t>与管理人</w:t>
      </w:r>
      <w:r>
        <w:rPr>
          <w:rFonts w:hint="eastAsia" w:ascii="仿宋" w:hAnsi="仿宋" w:eastAsia="仿宋" w:cs="仿宋"/>
          <w:color w:val="000000" w:themeColor="text1"/>
          <w:sz w:val="28"/>
          <w:szCs w:val="28"/>
          <w:highlight w:val="none"/>
          <w14:textFill>
            <w14:solidFill>
              <w14:schemeClr w14:val="tx1"/>
            </w14:solidFill>
          </w14:textFill>
        </w:rPr>
        <w:t>签订书面《投资协议》</w:t>
      </w:r>
      <w:r>
        <w:rPr>
          <w:rFonts w:hint="eastAsia" w:ascii="仿宋" w:hAnsi="仿宋" w:eastAsia="仿宋" w:cs="仿宋"/>
          <w:color w:val="000000" w:themeColor="text1"/>
          <w:sz w:val="28"/>
          <w:szCs w:val="28"/>
          <w:highlight w:val="none"/>
          <w:lang w:val="en-US" w:eastAsia="zh-CN"/>
          <w14:textFill>
            <w14:solidFill>
              <w14:schemeClr w14:val="tx1"/>
            </w14:solidFill>
          </w14:textFill>
        </w:rPr>
        <w:t>并</w:t>
      </w:r>
      <w:r>
        <w:rPr>
          <w:rFonts w:hint="eastAsia" w:ascii="仿宋" w:hAnsi="仿宋" w:eastAsia="仿宋" w:cs="仿宋"/>
          <w:color w:val="000000" w:themeColor="text1"/>
          <w:sz w:val="28"/>
          <w:szCs w:val="28"/>
          <w:highlight w:val="none"/>
          <w14:textFill>
            <w14:solidFill>
              <w14:schemeClr w14:val="tx1"/>
            </w14:solidFill>
          </w14:textFill>
        </w:rPr>
        <w:t>交纳</w:t>
      </w:r>
      <w:r>
        <w:rPr>
          <w:rFonts w:hint="eastAsia" w:ascii="仿宋" w:hAnsi="仿宋" w:eastAsia="仿宋" w:cs="仿宋"/>
          <w:color w:val="000000" w:themeColor="text1"/>
          <w:sz w:val="28"/>
          <w:szCs w:val="28"/>
          <w:highlight w:val="none"/>
          <w:lang w:val="en-US" w:eastAsia="zh-CN"/>
          <w14:textFill>
            <w14:solidFill>
              <w14:schemeClr w14:val="tx1"/>
            </w14:solidFill>
          </w14:textFill>
        </w:rPr>
        <w:t>一定数额的履约</w:t>
      </w:r>
      <w:r>
        <w:rPr>
          <w:rFonts w:hint="eastAsia" w:ascii="仿宋" w:hAnsi="仿宋" w:eastAsia="仿宋" w:cs="仿宋"/>
          <w:color w:val="000000" w:themeColor="text1"/>
          <w:sz w:val="28"/>
          <w:szCs w:val="28"/>
          <w:highlight w:val="none"/>
          <w14:textFill>
            <w14:solidFill>
              <w14:schemeClr w14:val="tx1"/>
            </w14:solidFill>
          </w14:textFill>
        </w:rPr>
        <w:t>保证金（</w:t>
      </w:r>
      <w:r>
        <w:rPr>
          <w:rFonts w:hint="eastAsia" w:ascii="仿宋" w:hAnsi="仿宋" w:eastAsia="仿宋" w:cs="仿宋"/>
          <w:color w:val="000000" w:themeColor="text1"/>
          <w:sz w:val="28"/>
          <w:szCs w:val="28"/>
          <w:highlight w:val="none"/>
          <w:lang w:val="en-US" w:eastAsia="zh-CN"/>
          <w14:textFill>
            <w14:solidFill>
              <w14:schemeClr w14:val="tx1"/>
            </w14:solidFill>
          </w14:textFill>
        </w:rPr>
        <w:t>原则上不低于投资总额的10%</w:t>
      </w:r>
      <w:r>
        <w:rPr>
          <w:rFonts w:hint="eastAsia" w:ascii="仿宋" w:hAnsi="仿宋" w:eastAsia="仿宋" w:cs="仿宋"/>
          <w:color w:val="000000" w:themeColor="text1"/>
          <w:sz w:val="28"/>
          <w:szCs w:val="28"/>
          <w:highlight w:val="none"/>
          <w14:textFill>
            <w14:solidFill>
              <w14:schemeClr w14:val="tx1"/>
            </w14:solidFill>
          </w14:textFill>
        </w:rPr>
        <w:t>）</w:t>
      </w:r>
      <w:r>
        <w:rPr>
          <w:rFonts w:hint="eastAsia" w:ascii="仿宋" w:hAnsi="仿宋" w:eastAsia="仿宋" w:cs="仿宋"/>
          <w:color w:val="000000" w:themeColor="text1"/>
          <w:sz w:val="28"/>
          <w:szCs w:val="28"/>
          <w:highlight w:val="none"/>
          <w:lang w:val="zh-CN"/>
          <w14:textFill>
            <w14:solidFill>
              <w14:schemeClr w14:val="tx1"/>
            </w14:solidFill>
          </w14:textFill>
        </w:rPr>
        <w:t>。</w:t>
      </w:r>
    </w:p>
    <w:p w14:paraId="4B210302">
      <w:pPr>
        <w:spacing w:before="156" w:beforeLines="50" w:after="156" w:afterLines="50" w:line="360" w:lineRule="auto"/>
        <w:ind w:firstLine="2523" w:firstLineChars="900"/>
        <w:textAlignment w:val="auto"/>
        <w:rPr>
          <w:rFonts w:hint="eastAsia" w:ascii="华文中宋" w:hAnsi="华文中宋" w:eastAsia="华文中宋" w:cs="华文中宋"/>
          <w:b/>
          <w:color w:val="000000" w:themeColor="text1"/>
          <w:sz w:val="28"/>
          <w:szCs w:val="28"/>
          <w:highlight w:val="none"/>
          <w:lang w:val="en-US" w:eastAsia="zh-CN"/>
          <w14:textFill>
            <w14:solidFill>
              <w14:schemeClr w14:val="tx1"/>
            </w14:solidFill>
          </w14:textFill>
        </w:rPr>
      </w:pPr>
      <w:r>
        <w:rPr>
          <w:rFonts w:hint="eastAsia" w:ascii="华文中宋" w:hAnsi="华文中宋" w:eastAsia="华文中宋" w:cs="华文中宋"/>
          <w:b/>
          <w:color w:val="000000" w:themeColor="text1"/>
          <w:sz w:val="28"/>
          <w:szCs w:val="28"/>
          <w:highlight w:val="none"/>
          <w:lang w:val="en-US" w:eastAsia="zh-CN"/>
          <w14:textFill>
            <w14:solidFill>
              <w14:schemeClr w14:val="tx1"/>
            </w14:solidFill>
          </w14:textFill>
        </w:rPr>
        <w:t>四</w:t>
      </w:r>
      <w:r>
        <w:rPr>
          <w:rFonts w:hint="eastAsia" w:ascii="华文中宋" w:hAnsi="华文中宋" w:eastAsia="华文中宋" w:cs="华文中宋"/>
          <w:b/>
          <w:color w:val="000000" w:themeColor="text1"/>
          <w:sz w:val="28"/>
          <w:szCs w:val="28"/>
          <w:highlight w:val="none"/>
          <w14:textFill>
            <w14:solidFill>
              <w14:schemeClr w14:val="tx1"/>
            </w14:solidFill>
          </w14:textFill>
        </w:rPr>
        <w:t>、</w:t>
      </w:r>
      <w:r>
        <w:rPr>
          <w:rFonts w:hint="eastAsia" w:ascii="华文中宋" w:hAnsi="华文中宋" w:eastAsia="华文中宋" w:cs="华文中宋"/>
          <w:b/>
          <w:color w:val="000000" w:themeColor="text1"/>
          <w:sz w:val="28"/>
          <w:szCs w:val="28"/>
          <w:highlight w:val="none"/>
          <w:lang w:val="en-US" w:eastAsia="zh-CN"/>
          <w14:textFill>
            <w14:solidFill>
              <w14:schemeClr w14:val="tx1"/>
            </w14:solidFill>
          </w14:textFill>
        </w:rPr>
        <w:t>保证金的使用与退回</w:t>
      </w:r>
    </w:p>
    <w:p w14:paraId="4E9BD9EC">
      <w:pPr>
        <w:pStyle w:val="5"/>
        <w:numPr>
          <w:ilvl w:val="-1"/>
          <w:numId w:val="0"/>
        </w:numPr>
        <w:ind w:left="0" w:firstLine="560" w:firstLineChars="200"/>
        <w:rPr>
          <w:rFonts w:hint="default"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1、</w:t>
      </w:r>
      <w:r>
        <w:rPr>
          <w:rFonts w:hint="eastAsia" w:ascii="仿宋" w:hAnsi="仿宋" w:eastAsia="仿宋" w:cs="仿宋"/>
          <w:color w:val="000000" w:themeColor="text1"/>
          <w:sz w:val="28"/>
          <w:szCs w:val="28"/>
          <w:highlight w:val="none"/>
          <w14:textFill>
            <w14:solidFill>
              <w14:schemeClr w14:val="tx1"/>
            </w14:solidFill>
          </w14:textFill>
        </w:rPr>
        <w:t>意向投资人</w:t>
      </w:r>
      <w:r>
        <w:rPr>
          <w:rFonts w:hint="eastAsia" w:ascii="仿宋" w:hAnsi="仿宋" w:eastAsia="仿宋" w:cs="仿宋"/>
          <w:color w:val="000000" w:themeColor="text1"/>
          <w:sz w:val="28"/>
          <w:szCs w:val="28"/>
          <w:highlight w:val="none"/>
          <w:lang w:val="en-US" w:eastAsia="zh-CN"/>
          <w14:textFill>
            <w14:solidFill>
              <w14:schemeClr w14:val="tx1"/>
            </w14:solidFill>
          </w14:textFill>
        </w:rPr>
        <w:t>与管理人签署《投资协议》前，重整意向投资人放弃重整意向或放弃入围，且无违反《保密协议》或其他约定的，管理</w:t>
      </w:r>
      <w:r>
        <w:rPr>
          <w:rFonts w:hint="eastAsia" w:ascii="仿宋" w:hAnsi="仿宋" w:eastAsia="仿宋" w:cs="仿宋"/>
          <w:color w:val="000000" w:themeColor="text1"/>
          <w:sz w:val="28"/>
          <w:szCs w:val="28"/>
          <w:highlight w:val="none"/>
          <w14:textFill>
            <w14:solidFill>
              <w14:schemeClr w14:val="tx1"/>
            </w14:solidFill>
          </w14:textFill>
        </w:rPr>
        <w:t>人</w:t>
      </w:r>
      <w:r>
        <w:rPr>
          <w:rFonts w:hint="eastAsia" w:ascii="仿宋" w:hAnsi="仿宋" w:eastAsia="仿宋" w:cs="仿宋"/>
          <w:color w:val="000000" w:themeColor="text1"/>
          <w:sz w:val="28"/>
          <w:szCs w:val="28"/>
          <w:highlight w:val="none"/>
          <w:lang w:val="en-US" w:eastAsia="zh-CN"/>
          <w14:textFill>
            <w14:solidFill>
              <w14:schemeClr w14:val="tx1"/>
            </w14:solidFill>
          </w14:textFill>
        </w:rPr>
        <w:t>将在意向投资人提出退款申请之日起</w:t>
      </w:r>
      <w:r>
        <w:rPr>
          <w:rFonts w:hint="eastAsia" w:ascii="仿宋" w:hAnsi="仿宋" w:eastAsia="仿宋" w:cs="仿宋"/>
          <w:color w:val="000000" w:themeColor="text1"/>
          <w:sz w:val="28"/>
          <w:szCs w:val="28"/>
          <w:highlight w:val="none"/>
          <w14:textFill>
            <w14:solidFill>
              <w14:schemeClr w14:val="tx1"/>
            </w14:solidFill>
          </w14:textFill>
        </w:rPr>
        <w:t>十个工作日内无息退还其</w:t>
      </w:r>
      <w:r>
        <w:rPr>
          <w:rFonts w:hint="eastAsia" w:ascii="仿宋" w:hAnsi="仿宋" w:eastAsia="仿宋" w:cs="仿宋"/>
          <w:color w:val="000000" w:themeColor="text1"/>
          <w:sz w:val="28"/>
          <w:szCs w:val="28"/>
          <w:highlight w:val="none"/>
          <w:lang w:eastAsia="zh-CN"/>
          <w14:textFill>
            <w14:solidFill>
              <w14:schemeClr w14:val="tx1"/>
            </w14:solidFill>
          </w14:textFill>
        </w:rPr>
        <w:t>交纳</w:t>
      </w:r>
      <w:r>
        <w:rPr>
          <w:rFonts w:hint="eastAsia" w:ascii="仿宋" w:hAnsi="仿宋" w:eastAsia="仿宋" w:cs="仿宋"/>
          <w:color w:val="000000" w:themeColor="text1"/>
          <w:sz w:val="28"/>
          <w:szCs w:val="28"/>
          <w:highlight w:val="none"/>
          <w14:textFill>
            <w14:solidFill>
              <w14:schemeClr w14:val="tx1"/>
            </w14:solidFill>
          </w14:textFill>
        </w:rPr>
        <w:t>的保证金。</w:t>
      </w:r>
    </w:p>
    <w:p w14:paraId="40E35A84">
      <w:pPr>
        <w:pStyle w:val="10"/>
        <w:widowControl/>
        <w:spacing w:before="150" w:beforeAutospacing="0" w:after="150" w:afterAutospacing="0" w:line="540" w:lineRule="atLeast"/>
        <w:ind w:firstLine="555"/>
        <w:jc w:val="both"/>
        <w:textAlignment w:val="baseline"/>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2、</w:t>
      </w:r>
      <w:r>
        <w:rPr>
          <w:rFonts w:hint="eastAsia" w:ascii="仿宋" w:hAnsi="仿宋" w:eastAsia="仿宋" w:cs="仿宋"/>
          <w:color w:val="000000" w:themeColor="text1"/>
          <w:sz w:val="28"/>
          <w:szCs w:val="28"/>
          <w:highlight w:val="none"/>
          <w14:textFill>
            <w14:solidFill>
              <w14:schemeClr w14:val="tx1"/>
            </w14:solidFill>
          </w14:textFill>
        </w:rPr>
        <w:t>最终</w:t>
      </w:r>
      <w:r>
        <w:rPr>
          <w:rFonts w:hint="eastAsia" w:ascii="仿宋" w:hAnsi="仿宋" w:eastAsia="仿宋" w:cs="仿宋"/>
          <w:color w:val="000000" w:themeColor="text1"/>
          <w:sz w:val="28"/>
          <w:szCs w:val="28"/>
          <w:highlight w:val="none"/>
          <w:lang w:val="en-US" w:eastAsia="zh-CN"/>
          <w14:textFill>
            <w14:solidFill>
              <w14:schemeClr w14:val="tx1"/>
            </w14:solidFill>
          </w14:textFill>
        </w:rPr>
        <w:t>入围的意向</w:t>
      </w:r>
      <w:r>
        <w:rPr>
          <w:rFonts w:hint="eastAsia" w:ascii="仿宋" w:hAnsi="仿宋" w:eastAsia="仿宋" w:cs="仿宋"/>
          <w:color w:val="000000" w:themeColor="text1"/>
          <w:sz w:val="28"/>
          <w:szCs w:val="28"/>
          <w:highlight w:val="none"/>
          <w14:textFill>
            <w14:solidFill>
              <w14:schemeClr w14:val="tx1"/>
            </w14:solidFill>
          </w14:textFill>
        </w:rPr>
        <w:t>投资人与管理人签署《投资协议》后，保证金自动转为《投资协议》项下的履约保证金，如</w:t>
      </w:r>
      <w:r>
        <w:rPr>
          <w:rFonts w:hint="eastAsia" w:ascii="仿宋" w:hAnsi="仿宋" w:eastAsia="仿宋" w:cs="仿宋"/>
          <w:color w:val="000000" w:themeColor="text1"/>
          <w:sz w:val="28"/>
          <w:szCs w:val="28"/>
          <w:highlight w:val="none"/>
          <w:lang w:val="en-US" w:eastAsia="zh-CN"/>
          <w14:textFill>
            <w14:solidFill>
              <w14:schemeClr w14:val="tx1"/>
            </w14:solidFill>
          </w14:textFill>
        </w:rPr>
        <w:t>最终</w:t>
      </w:r>
      <w:r>
        <w:rPr>
          <w:rFonts w:hint="eastAsia" w:ascii="仿宋" w:hAnsi="仿宋" w:eastAsia="仿宋" w:cs="仿宋"/>
          <w:color w:val="000000" w:themeColor="text1"/>
          <w:sz w:val="28"/>
          <w:szCs w:val="28"/>
          <w:highlight w:val="none"/>
          <w14:textFill>
            <w14:solidFill>
              <w14:schemeClr w14:val="tx1"/>
            </w14:solidFill>
          </w14:textFill>
        </w:rPr>
        <w:t>入围意向投资人签订《投资协议》后不履行协议义务的，将被取消入围意向投资人资格，履约保证金不予退还。</w:t>
      </w:r>
    </w:p>
    <w:p w14:paraId="78D0A0A8">
      <w:pPr>
        <w:pStyle w:val="10"/>
        <w:widowControl/>
        <w:spacing w:before="150" w:beforeAutospacing="0" w:after="150" w:afterAutospacing="0" w:line="540" w:lineRule="atLeast"/>
        <w:ind w:firstLine="555"/>
        <w:jc w:val="both"/>
        <w:textAlignment w:val="baseline"/>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3</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14:textFill>
            <w14:solidFill>
              <w14:schemeClr w14:val="tx1"/>
            </w14:solidFill>
          </w14:textFill>
        </w:rPr>
        <w:t>管理人退还的保证金或履约保证金以意向投资人交纳保证金的本金为限，不计利息。</w:t>
      </w:r>
    </w:p>
    <w:p w14:paraId="6162A117">
      <w:pPr>
        <w:pStyle w:val="5"/>
        <w:numPr>
          <w:ilvl w:val="-1"/>
          <w:numId w:val="0"/>
        </w:numPr>
        <w:ind w:left="0" w:firstLine="560" w:firstLineChars="200"/>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上述各项工作的确切实施时间，管理人有权根据实际情况具体确定或再行调整。</w:t>
      </w:r>
    </w:p>
    <w:p w14:paraId="00C5349D">
      <w:pPr>
        <w:keepNext w:val="0"/>
        <w:keepLines w:val="0"/>
        <w:pageBreakBefore w:val="0"/>
        <w:kinsoku/>
        <w:wordWrap/>
        <w:overflowPunct/>
        <w:topLinePunct w:val="0"/>
        <w:autoSpaceDE/>
        <w:autoSpaceDN/>
        <w:bidi w:val="0"/>
        <w:adjustRightInd/>
        <w:snapToGrid/>
        <w:spacing w:before="156" w:beforeLines="50" w:after="156" w:afterLines="50" w:line="360" w:lineRule="auto"/>
        <w:jc w:val="center"/>
        <w:textAlignment w:val="auto"/>
        <w:rPr>
          <w:rFonts w:hint="eastAsia" w:ascii="华文中宋" w:hAnsi="华文中宋" w:eastAsia="华文中宋" w:cs="华文中宋"/>
          <w:b/>
          <w:bCs/>
          <w:color w:val="000000" w:themeColor="text1"/>
          <w:sz w:val="28"/>
          <w:szCs w:val="28"/>
          <w:highlight w:val="none"/>
          <w14:textFill>
            <w14:solidFill>
              <w14:schemeClr w14:val="tx1"/>
            </w14:solidFill>
          </w14:textFill>
        </w:rPr>
      </w:pPr>
      <w:r>
        <w:rPr>
          <w:rFonts w:hint="eastAsia" w:ascii="黑体" w:hAnsi="黑体" w:eastAsia="黑体" w:cs="仿宋"/>
          <w:b/>
          <w:bCs/>
          <w:color w:val="000000" w:themeColor="text1"/>
          <w:sz w:val="28"/>
          <w:szCs w:val="28"/>
          <w:highlight w:val="none"/>
          <w:lang w:val="en-US" w:eastAsia="zh-CN"/>
          <w14:textFill>
            <w14:solidFill>
              <w14:schemeClr w14:val="tx1"/>
            </w14:solidFill>
          </w14:textFill>
        </w:rPr>
        <w:t>五</w:t>
      </w:r>
      <w:r>
        <w:rPr>
          <w:rFonts w:hint="eastAsia" w:ascii="黑体" w:hAnsi="黑体" w:eastAsia="黑体" w:cs="仿宋"/>
          <w:b/>
          <w:bCs/>
          <w:color w:val="000000" w:themeColor="text1"/>
          <w:sz w:val="28"/>
          <w:szCs w:val="28"/>
          <w:highlight w:val="none"/>
          <w14:textFill>
            <w14:solidFill>
              <w14:schemeClr w14:val="tx1"/>
            </w14:solidFill>
          </w14:textFill>
        </w:rPr>
        <w:t>、</w:t>
      </w:r>
      <w:r>
        <w:rPr>
          <w:rFonts w:hint="eastAsia" w:ascii="华文中宋" w:hAnsi="华文中宋" w:eastAsia="华文中宋" w:cs="华文中宋"/>
          <w:b/>
          <w:bCs/>
          <w:color w:val="000000" w:themeColor="text1"/>
          <w:sz w:val="28"/>
          <w:szCs w:val="28"/>
          <w:highlight w:val="none"/>
          <w14:textFill>
            <w14:solidFill>
              <w14:schemeClr w14:val="tx1"/>
            </w14:solidFill>
          </w14:textFill>
        </w:rPr>
        <w:t>瑕疵告知</w:t>
      </w:r>
    </w:p>
    <w:p w14:paraId="0AA97684">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1、</w:t>
      </w:r>
      <w:r>
        <w:rPr>
          <w:rFonts w:hint="eastAsia" w:ascii="仿宋" w:hAnsi="仿宋" w:eastAsia="仿宋" w:cs="仿宋"/>
          <w:color w:val="000000" w:themeColor="text1"/>
          <w:sz w:val="28"/>
          <w:szCs w:val="28"/>
          <w:highlight w:val="none"/>
          <w14:textFill>
            <w14:solidFill>
              <w14:schemeClr w14:val="tx1"/>
            </w14:solidFill>
          </w14:textFill>
        </w:rPr>
        <w:t>华鑫汇通公司的土地和房产等资产存在未办理权证、未办理建设手续或建设</w:t>
      </w:r>
      <w:r>
        <w:rPr>
          <w:rFonts w:hint="eastAsia" w:ascii="仿宋" w:hAnsi="仿宋" w:eastAsia="仿宋" w:cs="仿宋"/>
          <w:color w:val="000000" w:themeColor="text1"/>
          <w:sz w:val="28"/>
          <w:szCs w:val="28"/>
          <w:highlight w:val="none"/>
          <w:lang w:val="en-US" w:eastAsia="zh-CN"/>
          <w14:textFill>
            <w14:solidFill>
              <w14:schemeClr w14:val="tx1"/>
            </w14:solidFill>
          </w14:textFill>
        </w:rPr>
        <w:t>手</w:t>
      </w:r>
      <w:r>
        <w:rPr>
          <w:rFonts w:hint="eastAsia" w:ascii="仿宋" w:hAnsi="仿宋" w:eastAsia="仿宋" w:cs="仿宋"/>
          <w:color w:val="000000" w:themeColor="text1"/>
          <w:sz w:val="28"/>
          <w:szCs w:val="28"/>
          <w:highlight w:val="none"/>
          <w14:textFill>
            <w14:solidFill>
              <w14:schemeClr w14:val="tx1"/>
            </w14:solidFill>
          </w14:textFill>
        </w:rPr>
        <w:t>续不完整等已知和未知瑕疵，本说明书披露的相关资产瑕疵情况仅供重整意向投资人投资参考，不替代重整意向投资人的尽职调查与投资决策。重整意向投资人自行承担</w:t>
      </w:r>
      <w:r>
        <w:rPr>
          <w:rFonts w:hint="eastAsia" w:ascii="仿宋" w:hAnsi="仿宋" w:eastAsia="仿宋" w:cs="仿宋"/>
          <w:color w:val="000000" w:themeColor="text1"/>
          <w:sz w:val="28"/>
          <w:szCs w:val="28"/>
          <w:highlight w:val="none"/>
          <w:lang w:eastAsia="zh-CN"/>
          <w14:textFill>
            <w14:solidFill>
              <w14:schemeClr w14:val="tx1"/>
            </w14:solidFill>
          </w14:textFill>
        </w:rPr>
        <w:t>华鑫汇通公司</w:t>
      </w:r>
      <w:r>
        <w:rPr>
          <w:rFonts w:hint="eastAsia" w:ascii="仿宋" w:hAnsi="仿宋" w:eastAsia="仿宋" w:cs="仿宋"/>
          <w:color w:val="000000" w:themeColor="text1"/>
          <w:sz w:val="28"/>
          <w:szCs w:val="28"/>
          <w:highlight w:val="none"/>
          <w:lang w:val="en-US" w:eastAsia="zh-CN"/>
          <w14:textFill>
            <w14:solidFill>
              <w14:schemeClr w14:val="tx1"/>
            </w14:solidFill>
          </w14:textFill>
        </w:rPr>
        <w:t>违规用地、违规建设的风险，自行承担土地、</w:t>
      </w:r>
      <w:r>
        <w:rPr>
          <w:rFonts w:hint="eastAsia" w:ascii="仿宋" w:hAnsi="仿宋" w:eastAsia="仿宋" w:cs="仿宋"/>
          <w:color w:val="000000" w:themeColor="text1"/>
          <w:sz w:val="28"/>
          <w:szCs w:val="28"/>
          <w:highlight w:val="none"/>
          <w14:textFill>
            <w14:solidFill>
              <w14:schemeClr w14:val="tx1"/>
            </w14:solidFill>
          </w14:textFill>
        </w:rPr>
        <w:t>房屋建筑物及构筑物未办理产权证或被作为违章建筑拆除及处罚的法律风险。</w:t>
      </w:r>
    </w:p>
    <w:p w14:paraId="32D87920">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color w:val="000000" w:themeColor="text1"/>
          <w:highlight w:val="none"/>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2、</w:t>
      </w:r>
      <w:r>
        <w:rPr>
          <w:rFonts w:hint="eastAsia" w:ascii="仿宋" w:hAnsi="仿宋" w:eastAsia="仿宋" w:cs="仿宋"/>
          <w:color w:val="000000" w:themeColor="text1"/>
          <w:sz w:val="28"/>
          <w:szCs w:val="28"/>
          <w:highlight w:val="none"/>
          <w14:textFill>
            <w14:solidFill>
              <w14:schemeClr w14:val="tx1"/>
            </w14:solidFill>
          </w14:textFill>
        </w:rPr>
        <w:t>重整意向投资人自行承担</w:t>
      </w:r>
      <w:r>
        <w:rPr>
          <w:rFonts w:hint="eastAsia" w:ascii="仿宋" w:hAnsi="仿宋" w:eastAsia="仿宋" w:cs="仿宋"/>
          <w:color w:val="000000" w:themeColor="text1"/>
          <w:sz w:val="28"/>
          <w:szCs w:val="28"/>
          <w:highlight w:val="none"/>
          <w:lang w:eastAsia="zh-CN"/>
          <w14:textFill>
            <w14:solidFill>
              <w14:schemeClr w14:val="tx1"/>
            </w14:solidFill>
          </w14:textFill>
        </w:rPr>
        <w:t>华鑫汇通公司</w:t>
      </w:r>
      <w:r>
        <w:rPr>
          <w:rFonts w:hint="eastAsia" w:ascii="仿宋" w:hAnsi="仿宋" w:eastAsia="仿宋" w:cs="仿宋"/>
          <w:color w:val="000000" w:themeColor="text1"/>
          <w:sz w:val="28"/>
          <w:szCs w:val="28"/>
          <w:highlight w:val="none"/>
          <w:lang w:val="en-US" w:eastAsia="zh-CN"/>
          <w14:textFill>
            <w14:solidFill>
              <w14:schemeClr w14:val="tx1"/>
            </w14:solidFill>
          </w14:textFill>
        </w:rPr>
        <w:t>中国长江金属园区消防设施不足、消防存在隐患等风险。</w:t>
      </w:r>
    </w:p>
    <w:p w14:paraId="302705BF">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3、</w:t>
      </w:r>
      <w:r>
        <w:rPr>
          <w:rFonts w:hint="eastAsia" w:ascii="仿宋" w:hAnsi="仿宋" w:eastAsia="仿宋" w:cs="仿宋"/>
          <w:color w:val="000000" w:themeColor="text1"/>
          <w:sz w:val="28"/>
          <w:szCs w:val="28"/>
          <w:highlight w:val="none"/>
          <w14:textFill>
            <w14:solidFill>
              <w14:schemeClr w14:val="tx1"/>
            </w14:solidFill>
          </w14:textFill>
        </w:rPr>
        <w:t>重整意向投资人自行承担重整失败的不利后果及相关损失。</w:t>
      </w:r>
    </w:p>
    <w:p w14:paraId="6873D0B1">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default" w:eastAsia="仿宋"/>
          <w:color w:val="000000" w:themeColor="text1"/>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4、</w:t>
      </w:r>
      <w:r>
        <w:rPr>
          <w:rFonts w:hint="eastAsia" w:ascii="仿宋" w:hAnsi="仿宋" w:eastAsia="仿宋" w:cs="仿宋"/>
          <w:color w:val="000000" w:themeColor="text1"/>
          <w:sz w:val="28"/>
          <w:szCs w:val="28"/>
          <w:highlight w:val="none"/>
          <w14:textFill>
            <w14:solidFill>
              <w14:schemeClr w14:val="tx1"/>
            </w14:solidFill>
          </w14:textFill>
        </w:rPr>
        <w:t>重整意向投资人自行承担</w:t>
      </w:r>
      <w:r>
        <w:rPr>
          <w:rFonts w:hint="eastAsia" w:ascii="仿宋" w:hAnsi="仿宋" w:eastAsia="仿宋" w:cs="仿宋"/>
          <w:color w:val="000000" w:themeColor="text1"/>
          <w:sz w:val="28"/>
          <w:szCs w:val="28"/>
          <w:highlight w:val="none"/>
          <w:lang w:val="en-US" w:eastAsia="zh-CN"/>
          <w14:textFill>
            <w14:solidFill>
              <w14:schemeClr w14:val="tx1"/>
            </w14:solidFill>
          </w14:textFill>
        </w:rPr>
        <w:t>华鑫汇通公司在黄陂法院裁定重整前未被纳入重整程序可能存在的隐形负债等风险。</w:t>
      </w:r>
    </w:p>
    <w:p w14:paraId="27AFE70B">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5、</w:t>
      </w:r>
      <w:r>
        <w:rPr>
          <w:rFonts w:hint="eastAsia" w:ascii="仿宋" w:hAnsi="仿宋" w:eastAsia="仿宋" w:cs="仿宋"/>
          <w:color w:val="000000" w:themeColor="text1"/>
          <w:sz w:val="28"/>
          <w:szCs w:val="28"/>
          <w:highlight w:val="none"/>
          <w14:textFill>
            <w14:solidFill>
              <w14:schemeClr w14:val="tx1"/>
            </w14:solidFill>
          </w14:textFill>
        </w:rPr>
        <w:t>重整意向投资人自行承担</w:t>
      </w:r>
      <w:r>
        <w:rPr>
          <w:rFonts w:hint="eastAsia" w:ascii="仿宋" w:hAnsi="仿宋" w:eastAsia="仿宋" w:cs="仿宋"/>
          <w:color w:val="000000" w:themeColor="text1"/>
          <w:sz w:val="28"/>
          <w:szCs w:val="28"/>
          <w:highlight w:val="none"/>
          <w:lang w:eastAsia="zh-CN"/>
          <w14:textFill>
            <w14:solidFill>
              <w14:schemeClr w14:val="tx1"/>
            </w14:solidFill>
          </w14:textFill>
        </w:rPr>
        <w:t>华鑫汇通公司</w:t>
      </w:r>
      <w:r>
        <w:rPr>
          <w:rFonts w:hint="eastAsia" w:ascii="仿宋" w:hAnsi="仿宋" w:eastAsia="仿宋" w:cs="仿宋"/>
          <w:color w:val="000000" w:themeColor="text1"/>
          <w:sz w:val="28"/>
          <w:szCs w:val="28"/>
          <w:highlight w:val="none"/>
          <w14:textFill>
            <w14:solidFill>
              <w14:schemeClr w14:val="tx1"/>
            </w14:solidFill>
          </w14:textFill>
        </w:rPr>
        <w:t>及</w:t>
      </w:r>
      <w:r>
        <w:rPr>
          <w:rFonts w:hint="eastAsia" w:ascii="仿宋" w:hAnsi="仿宋" w:eastAsia="仿宋" w:cs="仿宋"/>
          <w:color w:val="000000" w:themeColor="text1"/>
          <w:sz w:val="28"/>
          <w:szCs w:val="28"/>
          <w:highlight w:val="none"/>
          <w:lang w:eastAsia="zh-CN"/>
          <w14:textFill>
            <w14:solidFill>
              <w14:schemeClr w14:val="tx1"/>
            </w14:solidFill>
          </w14:textFill>
        </w:rPr>
        <w:t>华鑫汇通公司</w:t>
      </w:r>
      <w:r>
        <w:rPr>
          <w:rFonts w:hint="eastAsia" w:ascii="仿宋" w:hAnsi="仿宋" w:eastAsia="仿宋" w:cs="仿宋"/>
          <w:color w:val="000000" w:themeColor="text1"/>
          <w:sz w:val="28"/>
          <w:szCs w:val="28"/>
          <w:highlight w:val="none"/>
          <w14:textFill>
            <w14:solidFill>
              <w14:schemeClr w14:val="tx1"/>
            </w14:solidFill>
          </w14:textFill>
        </w:rPr>
        <w:t>资产、负债等已知或可能存在的瑕疵及导致的风险和损失。</w:t>
      </w:r>
    </w:p>
    <w:p w14:paraId="0749300D">
      <w:pPr>
        <w:spacing w:before="156" w:beforeLines="50" w:after="156" w:afterLines="50" w:line="360" w:lineRule="auto"/>
        <w:ind w:firstLine="3935" w:firstLineChars="1400"/>
        <w:textAlignment w:val="auto"/>
        <w:rPr>
          <w:rFonts w:hint="eastAsia" w:ascii="黑体" w:hAnsi="黑体" w:eastAsia="黑体" w:cs="仿宋"/>
          <w:b/>
          <w:bCs/>
          <w:color w:val="000000" w:themeColor="text1"/>
          <w:sz w:val="28"/>
          <w:szCs w:val="28"/>
          <w:highlight w:val="none"/>
          <w14:textFill>
            <w14:solidFill>
              <w14:schemeClr w14:val="tx1"/>
            </w14:solidFill>
          </w14:textFill>
        </w:rPr>
      </w:pPr>
      <w:r>
        <w:rPr>
          <w:rFonts w:hint="eastAsia" w:ascii="黑体" w:hAnsi="黑体" w:eastAsia="黑体" w:cs="仿宋"/>
          <w:b/>
          <w:bCs/>
          <w:color w:val="000000" w:themeColor="text1"/>
          <w:sz w:val="28"/>
          <w:szCs w:val="28"/>
          <w:highlight w:val="none"/>
          <w:lang w:val="en-US" w:eastAsia="zh-CN"/>
          <w14:textFill>
            <w14:solidFill>
              <w14:schemeClr w14:val="tx1"/>
            </w14:solidFill>
          </w14:textFill>
        </w:rPr>
        <w:t>六</w:t>
      </w:r>
      <w:r>
        <w:rPr>
          <w:rFonts w:hint="eastAsia" w:ascii="黑体" w:hAnsi="黑体" w:eastAsia="黑体" w:cs="仿宋"/>
          <w:b/>
          <w:bCs/>
          <w:color w:val="000000" w:themeColor="text1"/>
          <w:sz w:val="28"/>
          <w:szCs w:val="28"/>
          <w:highlight w:val="none"/>
          <w14:textFill>
            <w14:solidFill>
              <w14:schemeClr w14:val="tx1"/>
            </w14:solidFill>
          </w14:textFill>
        </w:rPr>
        <w:t>、其他</w:t>
      </w:r>
    </w:p>
    <w:p w14:paraId="483B4693">
      <w:pPr>
        <w:pStyle w:val="10"/>
        <w:widowControl/>
        <w:spacing w:before="150" w:beforeAutospacing="0" w:after="150" w:afterAutospacing="0" w:line="540" w:lineRule="atLeast"/>
        <w:ind w:firstLine="555"/>
        <w:jc w:val="both"/>
        <w:textAlignment w:val="baseline"/>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1</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14:textFill>
            <w14:solidFill>
              <w14:schemeClr w14:val="tx1"/>
            </w14:solidFill>
          </w14:textFill>
        </w:rPr>
        <w:t>如出现影响债务人清算或者重整的重大事项或人民法院提出要求，管理人可以中止、撤回或增加遴选计划，不需要承担违约和/或赔偿责任。</w:t>
      </w:r>
    </w:p>
    <w:p w14:paraId="2CA433A1">
      <w:pPr>
        <w:pStyle w:val="10"/>
        <w:widowControl/>
        <w:spacing w:before="150" w:beforeAutospacing="0" w:after="150" w:afterAutospacing="0" w:line="540" w:lineRule="atLeast"/>
        <w:ind w:firstLine="555"/>
        <w:jc w:val="both"/>
        <w:textAlignment w:val="baseline"/>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2</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14:textFill>
            <w14:solidFill>
              <w14:schemeClr w14:val="tx1"/>
            </w14:solidFill>
          </w14:textFill>
        </w:rPr>
        <w:t>管理人书面通知送达方式包括按意向投资人参选资料中预留信息邮寄及微信、电子邮箱送达。</w:t>
      </w:r>
    </w:p>
    <w:p w14:paraId="4E70AA11">
      <w:pPr>
        <w:pStyle w:val="10"/>
        <w:widowControl/>
        <w:spacing w:before="150" w:beforeAutospacing="0" w:after="150" w:afterAutospacing="0" w:line="540" w:lineRule="atLeast"/>
        <w:ind w:firstLine="555"/>
        <w:jc w:val="both"/>
        <w:textAlignment w:val="baseline"/>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3</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14:textFill>
            <w14:solidFill>
              <w14:schemeClr w14:val="tx1"/>
            </w14:solidFill>
          </w14:textFill>
        </w:rPr>
        <w:t>管理人提供的所有</w:t>
      </w:r>
      <w:r>
        <w:rPr>
          <w:rFonts w:hint="eastAsia" w:ascii="仿宋" w:hAnsi="仿宋" w:eastAsia="仿宋" w:cs="仿宋"/>
          <w:color w:val="000000" w:themeColor="text1"/>
          <w:sz w:val="28"/>
          <w:szCs w:val="28"/>
          <w:highlight w:val="none"/>
          <w:lang w:val="en-US" w:eastAsia="zh-CN"/>
          <w14:textFill>
            <w14:solidFill>
              <w14:schemeClr w14:val="tx1"/>
            </w14:solidFill>
          </w14:textFill>
        </w:rPr>
        <w:t>华鑫汇通</w:t>
      </w:r>
      <w:r>
        <w:rPr>
          <w:rFonts w:hint="eastAsia" w:ascii="仿宋" w:hAnsi="仿宋" w:eastAsia="仿宋" w:cs="仿宋"/>
          <w:color w:val="000000" w:themeColor="text1"/>
          <w:sz w:val="28"/>
          <w:szCs w:val="28"/>
          <w:highlight w:val="none"/>
          <w14:textFill>
            <w14:solidFill>
              <w14:schemeClr w14:val="tx1"/>
            </w14:solidFill>
          </w14:textFill>
        </w:rPr>
        <w:t>公司的相关资料不作为对意向投资人的任何承诺和保证，意向投资人应独立判断、理解以进行决策。</w:t>
      </w:r>
    </w:p>
    <w:p w14:paraId="2F12497F">
      <w:pPr>
        <w:pStyle w:val="10"/>
        <w:widowControl/>
        <w:spacing w:before="150" w:beforeAutospacing="0" w:after="150" w:afterAutospacing="0" w:line="540" w:lineRule="atLeast"/>
        <w:ind w:firstLine="555"/>
        <w:jc w:val="both"/>
        <w:textAlignment w:val="baseline"/>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4</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14:textFill>
            <w14:solidFill>
              <w14:schemeClr w14:val="tx1"/>
            </w14:solidFill>
          </w14:textFill>
        </w:rPr>
        <w:t>诚挚欢迎各方投资者前来考察洽谈，参与本次遴选。</w:t>
      </w:r>
    </w:p>
    <w:p w14:paraId="7AE6EC84">
      <w:pPr>
        <w:keepNext w:val="0"/>
        <w:keepLines w:val="0"/>
        <w:pageBreakBefore w:val="0"/>
        <w:kinsoku/>
        <w:wordWrap/>
        <w:overflowPunct/>
        <w:topLinePunct w:val="0"/>
        <w:autoSpaceDE/>
        <w:autoSpaceDN/>
        <w:bidi w:val="0"/>
        <w:adjustRightInd/>
        <w:snapToGrid/>
        <w:spacing w:before="156" w:beforeLines="50" w:after="156" w:afterLines="50" w:line="360" w:lineRule="auto"/>
        <w:ind w:firstLine="560" w:firstLineChars="200"/>
        <w:jc w:val="both"/>
        <w:textAlignment w:val="auto"/>
        <w:rPr>
          <w:rFonts w:hint="eastAsia" w:ascii="仿宋" w:hAnsi="仿宋" w:eastAsia="仿宋" w:cs="仿宋"/>
          <w:b w:val="0"/>
          <w:color w:val="000000" w:themeColor="text1"/>
          <w:kern w:val="0"/>
          <w:sz w:val="28"/>
          <w:szCs w:val="28"/>
          <w:highlight w:val="none"/>
          <w14:textFill>
            <w14:solidFill>
              <w14:schemeClr w14:val="tx1"/>
            </w14:solidFill>
          </w14:textFill>
        </w:rPr>
      </w:pPr>
      <w:r>
        <w:rPr>
          <w:rFonts w:hint="eastAsia" w:ascii="仿宋" w:hAnsi="仿宋" w:eastAsia="仿宋" w:cs="仿宋"/>
          <w:b w:val="0"/>
          <w:color w:val="000000" w:themeColor="text1"/>
          <w:kern w:val="0"/>
          <w:sz w:val="28"/>
          <w:szCs w:val="28"/>
          <w:highlight w:val="none"/>
          <w:lang w:val="en-US" w:eastAsia="zh-CN"/>
          <w14:textFill>
            <w14:solidFill>
              <w14:schemeClr w14:val="tx1"/>
            </w14:solidFill>
          </w14:textFill>
        </w:rPr>
        <w:t>5、管理人</w:t>
      </w:r>
      <w:r>
        <w:rPr>
          <w:rFonts w:hint="eastAsia" w:ascii="仿宋" w:hAnsi="仿宋" w:eastAsia="仿宋" w:cs="仿宋"/>
          <w:b w:val="0"/>
          <w:color w:val="000000" w:themeColor="text1"/>
          <w:kern w:val="0"/>
          <w:sz w:val="28"/>
          <w:szCs w:val="28"/>
          <w:highlight w:val="none"/>
          <w14:textFill>
            <w14:solidFill>
              <w14:schemeClr w14:val="tx1"/>
            </w14:solidFill>
          </w14:textFill>
        </w:rPr>
        <w:t>联系方式</w:t>
      </w:r>
      <w:r>
        <w:rPr>
          <w:rFonts w:hint="eastAsia" w:ascii="仿宋" w:hAnsi="仿宋" w:eastAsia="仿宋" w:cs="仿宋"/>
          <w:b w:val="0"/>
          <w:color w:val="000000" w:themeColor="text1"/>
          <w:kern w:val="0"/>
          <w:sz w:val="28"/>
          <w:szCs w:val="28"/>
          <w:highlight w:val="none"/>
          <w:lang w:eastAsia="zh-CN"/>
          <w14:textFill>
            <w14:solidFill>
              <w14:schemeClr w14:val="tx1"/>
            </w14:solidFill>
          </w14:textFill>
        </w:rPr>
        <w:t>：</w:t>
      </w:r>
    </w:p>
    <w:p w14:paraId="38755B9B">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管理人联系地址：</w:t>
      </w:r>
      <w:r>
        <w:rPr>
          <w:rFonts w:hint="eastAsia" w:ascii="仿宋" w:hAnsi="仿宋" w:eastAsia="仿宋" w:cs="仿宋"/>
          <w:color w:val="000000" w:themeColor="text1"/>
          <w:sz w:val="28"/>
          <w:szCs w:val="28"/>
          <w:highlight w:val="none"/>
          <w:lang w:val="en-US" w:eastAsia="zh-CN"/>
          <w14:textFill>
            <w14:solidFill>
              <w14:schemeClr w14:val="tx1"/>
            </w14:solidFill>
          </w14:textFill>
        </w:rPr>
        <w:t>武汉市洪山区欢乐大道1号宏泰大厦21楼</w:t>
      </w:r>
    </w:p>
    <w:p w14:paraId="2C29E049">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default"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联系人：</w:t>
      </w:r>
      <w:r>
        <w:rPr>
          <w:rFonts w:hint="eastAsia" w:ascii="仿宋" w:hAnsi="仿宋" w:eastAsia="仿宋" w:cs="仿宋"/>
          <w:color w:val="000000" w:themeColor="text1"/>
          <w:sz w:val="28"/>
          <w:szCs w:val="28"/>
          <w:highlight w:val="none"/>
          <w:lang w:val="en-US" w:eastAsia="zh-CN"/>
          <w14:textFill>
            <w14:solidFill>
              <w14:schemeClr w14:val="tx1"/>
            </w14:solidFill>
          </w14:textFill>
        </w:rPr>
        <w:t>况律师 18571756207 黄律师17771372252</w:t>
      </w:r>
    </w:p>
    <w:p w14:paraId="18288DC3">
      <w:pPr>
        <w:pStyle w:val="5"/>
        <w:ind w:firstLine="560"/>
        <w:rPr>
          <w:rFonts w:hint="default"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联系邮箱：</w:t>
      </w:r>
      <w:r>
        <w:rPr>
          <w:rFonts w:hint="eastAsia" w:ascii="仿宋" w:hAnsi="仿宋" w:eastAsia="仿宋" w:cs="仿宋"/>
          <w:color w:val="000000" w:themeColor="text1"/>
          <w:sz w:val="28"/>
          <w:szCs w:val="28"/>
          <w:highlight w:val="none"/>
          <w:u w:val="none"/>
          <w:lang w:val="en-US" w:eastAsia="zh-CN"/>
          <w14:textFill>
            <w14:solidFill>
              <w14:schemeClr w14:val="tx1"/>
            </w14:solidFill>
          </w14:textFill>
        </w:rPr>
        <w:t>kuangqian</w:t>
      </w:r>
      <w:r>
        <w:rPr>
          <w:rFonts w:hint="eastAsia" w:ascii="仿宋" w:hAnsi="仿宋" w:eastAsia="仿宋" w:cs="仿宋"/>
          <w:color w:val="000000" w:themeColor="text1"/>
          <w:sz w:val="28"/>
          <w:szCs w:val="28"/>
          <w:highlight w:val="none"/>
          <w:lang w:val="en-US" w:eastAsia="zh-CN"/>
          <w14:textFill>
            <w14:solidFill>
              <w14:schemeClr w14:val="tx1"/>
            </w14:solidFill>
          </w14:textFill>
        </w:rPr>
        <w:t>@grandall.com.cn</w:t>
      </w:r>
    </w:p>
    <w:p w14:paraId="05885CAE">
      <w:pPr>
        <w:keepNext w:val="0"/>
        <w:keepLines w:val="0"/>
        <w:pageBreakBefore w:val="0"/>
        <w:kinsoku/>
        <w:wordWrap/>
        <w:overflowPunct/>
        <w:topLinePunct w:val="0"/>
        <w:autoSpaceDE/>
        <w:autoSpaceDN/>
        <w:bidi w:val="0"/>
        <w:adjustRightInd/>
        <w:snapToGrid/>
        <w:spacing w:line="360" w:lineRule="auto"/>
        <w:ind w:right="280" w:firstLine="560" w:firstLineChars="200"/>
        <w:jc w:val="right"/>
        <w:textAlignment w:val="auto"/>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lang w:eastAsia="zh-CN"/>
          <w14:textFill>
            <w14:solidFill>
              <w14:schemeClr w14:val="tx1"/>
            </w14:solidFill>
          </w14:textFill>
        </w:rPr>
        <w:t>武汉华鑫汇通金属实业有限公司</w:t>
      </w:r>
      <w:r>
        <w:rPr>
          <w:rFonts w:hint="eastAsia" w:ascii="仿宋" w:hAnsi="仿宋" w:eastAsia="仿宋" w:cs="仿宋"/>
          <w:color w:val="000000" w:themeColor="text1"/>
          <w:sz w:val="28"/>
          <w:szCs w:val="28"/>
          <w:highlight w:val="none"/>
          <w14:textFill>
            <w14:solidFill>
              <w14:schemeClr w14:val="tx1"/>
            </w14:solidFill>
          </w14:textFill>
        </w:rPr>
        <w:t>管理人</w:t>
      </w:r>
    </w:p>
    <w:p w14:paraId="326590BD">
      <w:pPr>
        <w:keepNext w:val="0"/>
        <w:keepLines w:val="0"/>
        <w:pageBreakBefore w:val="0"/>
        <w:kinsoku/>
        <w:wordWrap/>
        <w:overflowPunct/>
        <w:topLinePunct w:val="0"/>
        <w:autoSpaceDE/>
        <w:autoSpaceDN/>
        <w:bidi w:val="0"/>
        <w:adjustRightInd/>
        <w:snapToGrid/>
        <w:spacing w:line="360" w:lineRule="auto"/>
        <w:ind w:firstLine="4480" w:firstLineChars="1600"/>
        <w:textAlignment w:val="auto"/>
        <w:rPr>
          <w:rFonts w:hint="eastAsia"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lang w:val="en-US" w:eastAsia="zh-CN"/>
          <w14:textFill>
            <w14:solidFill>
              <w14:schemeClr w14:val="tx1"/>
            </w14:solidFill>
          </w14:textFill>
        </w:rPr>
        <w:t>二〇二五年十一月二十四日</w:t>
      </w:r>
    </w:p>
    <w:p w14:paraId="11AF85E1">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color w:val="000000" w:themeColor="text1"/>
          <w:sz w:val="28"/>
          <w:szCs w:val="28"/>
          <w:highlight w:val="none"/>
          <w14:textFill>
            <w14:solidFill>
              <w14:schemeClr w14:val="tx1"/>
            </w14:solidFill>
          </w14:textFill>
        </w:rPr>
      </w:pPr>
    </w:p>
    <w:bookmarkEnd w:id="0"/>
    <w:sectPr>
      <w:headerReference r:id="rId3" w:type="default"/>
      <w:footerReference r:id="rId4" w:type="default"/>
      <w:footerReference r:id="rId5" w:type="even"/>
      <w:pgSz w:w="11900" w:h="16840"/>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5"/>
      </w:rPr>
      <w:id w:val="732353702"/>
      <w:docPartObj>
        <w:docPartGallery w:val="autotext"/>
      </w:docPartObj>
    </w:sdtPr>
    <w:sdtEndPr>
      <w:rPr>
        <w:rStyle w:val="15"/>
      </w:rPr>
    </w:sdtEndPr>
    <w:sdtContent>
      <w:p w14:paraId="4905B533">
        <w:pPr>
          <w:pStyle w:val="7"/>
          <w:framePr w:wrap="auto" w:vAnchor="text" w:hAnchor="margin" w:xAlign="center" w:y="1"/>
          <w:rPr>
            <w:rStyle w:val="15"/>
          </w:rPr>
        </w:pPr>
        <w:r>
          <w:rPr>
            <w:rStyle w:val="15"/>
          </w:rPr>
          <w:fldChar w:fldCharType="begin"/>
        </w:r>
        <w:r>
          <w:rPr>
            <w:rStyle w:val="15"/>
          </w:rPr>
          <w:instrText xml:space="preserve"> PAGE </w:instrText>
        </w:r>
        <w:r>
          <w:rPr>
            <w:rStyle w:val="15"/>
          </w:rPr>
          <w:fldChar w:fldCharType="separate"/>
        </w:r>
        <w:r>
          <w:rPr>
            <w:rStyle w:val="15"/>
          </w:rPr>
          <w:t>- 9 -</w:t>
        </w:r>
        <w:r>
          <w:rPr>
            <w:rStyle w:val="15"/>
          </w:rPr>
          <w:fldChar w:fldCharType="end"/>
        </w:r>
      </w:p>
    </w:sdtContent>
  </w:sdt>
  <w:p w14:paraId="5F22A41B">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5"/>
      </w:rPr>
      <w:id w:val="-179889174"/>
      <w:docPartObj>
        <w:docPartGallery w:val="autotext"/>
      </w:docPartObj>
    </w:sdtPr>
    <w:sdtEndPr>
      <w:rPr>
        <w:rStyle w:val="15"/>
      </w:rPr>
    </w:sdtEndPr>
    <w:sdtContent>
      <w:p w14:paraId="32A0DB03">
        <w:pPr>
          <w:pStyle w:val="7"/>
          <w:framePr w:wrap="auto" w:vAnchor="text" w:hAnchor="margin" w:xAlign="center" w:y="1"/>
          <w:rPr>
            <w:rStyle w:val="15"/>
          </w:rPr>
        </w:pPr>
        <w:r>
          <w:rPr>
            <w:rStyle w:val="15"/>
          </w:rPr>
          <w:fldChar w:fldCharType="begin"/>
        </w:r>
        <w:r>
          <w:rPr>
            <w:rStyle w:val="15"/>
          </w:rPr>
          <w:instrText xml:space="preserve"> PAGE </w:instrText>
        </w:r>
        <w:r>
          <w:rPr>
            <w:rStyle w:val="15"/>
          </w:rPr>
          <w:fldChar w:fldCharType="end"/>
        </w:r>
      </w:p>
    </w:sdtContent>
  </w:sdt>
  <w:p w14:paraId="2842FDF4">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5271E2">
    <w:pPr>
      <w:pStyle w:val="8"/>
      <w:tabs>
        <w:tab w:val="right" w:pos="8300"/>
        <w:tab w:val="clear" w:pos="4153"/>
        <w:tab w:val="clear" w:pos="8306"/>
      </w:tabs>
      <w:jc w:val="left"/>
    </w:pPr>
    <w:r>
      <w:rPr>
        <w:rFonts w:hint="eastAsia"/>
        <w:lang w:eastAsia="zh-CN"/>
      </w:rPr>
      <w:t>武汉华鑫汇通金属实业有限公司</w:t>
    </w:r>
    <w:r>
      <w:rPr>
        <w:rFonts w:hint="eastAsia"/>
      </w:rPr>
      <w:t>破产清算案</w:t>
    </w:r>
    <w:r>
      <w:tab/>
    </w:r>
    <w:r>
      <w:rPr>
        <w:rFonts w:hint="eastAsia"/>
      </w:rPr>
      <w:t>重整意向投资人招募说明书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0A4DC6"/>
    <w:multiLevelType w:val="singleLevel"/>
    <w:tmpl w:val="970A4DC6"/>
    <w:lvl w:ilvl="0" w:tentative="0">
      <w:start w:val="2"/>
      <w:numFmt w:val="decimal"/>
      <w:suff w:val="nothing"/>
      <w:lvlText w:val="%1、"/>
      <w:lvlJc w:val="left"/>
    </w:lvl>
  </w:abstractNum>
  <w:abstractNum w:abstractNumId="1">
    <w:nsid w:val="FDDCFA83"/>
    <w:multiLevelType w:val="singleLevel"/>
    <w:tmpl w:val="FDDCFA83"/>
    <w:lvl w:ilvl="0" w:tentative="0">
      <w:start w:val="2"/>
      <w:numFmt w:val="decimal"/>
      <w:suff w:val="nothing"/>
      <w:lvlText w:val="（%1）"/>
      <w:lvlJc w:val="left"/>
    </w:lvl>
  </w:abstractNum>
  <w:abstractNum w:abstractNumId="2">
    <w:nsid w:val="2E45753F"/>
    <w:multiLevelType w:val="singleLevel"/>
    <w:tmpl w:val="2E45753F"/>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20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Y0NTIzYzllZmViYTFiMGMzY2ViMzVhZmM4OGM3ZTkifQ=="/>
  </w:docVars>
  <w:rsids>
    <w:rsidRoot w:val="00172A27"/>
    <w:rsid w:val="00003C38"/>
    <w:rsid w:val="00004A54"/>
    <w:rsid w:val="0001004A"/>
    <w:rsid w:val="00013B10"/>
    <w:rsid w:val="00016B35"/>
    <w:rsid w:val="00035661"/>
    <w:rsid w:val="000365D5"/>
    <w:rsid w:val="00045C87"/>
    <w:rsid w:val="00047318"/>
    <w:rsid w:val="00055EF4"/>
    <w:rsid w:val="00073874"/>
    <w:rsid w:val="00085306"/>
    <w:rsid w:val="000863E9"/>
    <w:rsid w:val="00087097"/>
    <w:rsid w:val="00095AB9"/>
    <w:rsid w:val="000B1826"/>
    <w:rsid w:val="000B23B3"/>
    <w:rsid w:val="000B79EE"/>
    <w:rsid w:val="000C2640"/>
    <w:rsid w:val="000C2A73"/>
    <w:rsid w:val="000D0465"/>
    <w:rsid w:val="000D3767"/>
    <w:rsid w:val="000D6B02"/>
    <w:rsid w:val="000E63E4"/>
    <w:rsid w:val="000F07DF"/>
    <w:rsid w:val="00110E83"/>
    <w:rsid w:val="00114456"/>
    <w:rsid w:val="00115822"/>
    <w:rsid w:val="00124B9E"/>
    <w:rsid w:val="0014073C"/>
    <w:rsid w:val="00143562"/>
    <w:rsid w:val="00157964"/>
    <w:rsid w:val="001672B1"/>
    <w:rsid w:val="0017057F"/>
    <w:rsid w:val="00182722"/>
    <w:rsid w:val="00185B72"/>
    <w:rsid w:val="001A51A9"/>
    <w:rsid w:val="001B718A"/>
    <w:rsid w:val="001C07B3"/>
    <w:rsid w:val="001C11BA"/>
    <w:rsid w:val="001C6910"/>
    <w:rsid w:val="001D0C9C"/>
    <w:rsid w:val="001E1F1E"/>
    <w:rsid w:val="001F2CD6"/>
    <w:rsid w:val="001F653A"/>
    <w:rsid w:val="00201884"/>
    <w:rsid w:val="00205D55"/>
    <w:rsid w:val="00214935"/>
    <w:rsid w:val="00221018"/>
    <w:rsid w:val="00223266"/>
    <w:rsid w:val="00223883"/>
    <w:rsid w:val="00223CBE"/>
    <w:rsid w:val="00224936"/>
    <w:rsid w:val="00235F21"/>
    <w:rsid w:val="00240C96"/>
    <w:rsid w:val="00245427"/>
    <w:rsid w:val="00246C7F"/>
    <w:rsid w:val="0026076F"/>
    <w:rsid w:val="00264081"/>
    <w:rsid w:val="0028737F"/>
    <w:rsid w:val="002A68E7"/>
    <w:rsid w:val="002C0400"/>
    <w:rsid w:val="002C7C16"/>
    <w:rsid w:val="002D3E28"/>
    <w:rsid w:val="002D725B"/>
    <w:rsid w:val="002E6569"/>
    <w:rsid w:val="002F45E9"/>
    <w:rsid w:val="002F4F83"/>
    <w:rsid w:val="002F5254"/>
    <w:rsid w:val="00314084"/>
    <w:rsid w:val="00316A3D"/>
    <w:rsid w:val="00320034"/>
    <w:rsid w:val="0032339D"/>
    <w:rsid w:val="00332978"/>
    <w:rsid w:val="00332AE0"/>
    <w:rsid w:val="00344CB7"/>
    <w:rsid w:val="00350B5B"/>
    <w:rsid w:val="003611BD"/>
    <w:rsid w:val="00361BF0"/>
    <w:rsid w:val="00364778"/>
    <w:rsid w:val="003936D6"/>
    <w:rsid w:val="00397894"/>
    <w:rsid w:val="003B7121"/>
    <w:rsid w:val="003C0D3F"/>
    <w:rsid w:val="003C6ADB"/>
    <w:rsid w:val="003D1AA9"/>
    <w:rsid w:val="003E685E"/>
    <w:rsid w:val="003E6A1F"/>
    <w:rsid w:val="003F560D"/>
    <w:rsid w:val="003F7853"/>
    <w:rsid w:val="004014CB"/>
    <w:rsid w:val="004176FC"/>
    <w:rsid w:val="00420669"/>
    <w:rsid w:val="00420B2C"/>
    <w:rsid w:val="00422B8E"/>
    <w:rsid w:val="00443C0D"/>
    <w:rsid w:val="00443E62"/>
    <w:rsid w:val="00444CF2"/>
    <w:rsid w:val="00445BC3"/>
    <w:rsid w:val="00450151"/>
    <w:rsid w:val="00453147"/>
    <w:rsid w:val="00455B0C"/>
    <w:rsid w:val="0046014A"/>
    <w:rsid w:val="0047723F"/>
    <w:rsid w:val="0048055E"/>
    <w:rsid w:val="00481981"/>
    <w:rsid w:val="00490DC5"/>
    <w:rsid w:val="004A11F3"/>
    <w:rsid w:val="004A23C7"/>
    <w:rsid w:val="004A3112"/>
    <w:rsid w:val="004A5EEE"/>
    <w:rsid w:val="004B1A20"/>
    <w:rsid w:val="004C268F"/>
    <w:rsid w:val="004C3BF3"/>
    <w:rsid w:val="004C42B7"/>
    <w:rsid w:val="004C4D3D"/>
    <w:rsid w:val="004D3D73"/>
    <w:rsid w:val="004D785A"/>
    <w:rsid w:val="004E4896"/>
    <w:rsid w:val="004E4A39"/>
    <w:rsid w:val="004F02CB"/>
    <w:rsid w:val="004F7501"/>
    <w:rsid w:val="00501D74"/>
    <w:rsid w:val="00533538"/>
    <w:rsid w:val="00534AD0"/>
    <w:rsid w:val="00541742"/>
    <w:rsid w:val="00554382"/>
    <w:rsid w:val="00555BFF"/>
    <w:rsid w:val="005672C5"/>
    <w:rsid w:val="00573663"/>
    <w:rsid w:val="0059564E"/>
    <w:rsid w:val="005A0202"/>
    <w:rsid w:val="005C31B7"/>
    <w:rsid w:val="005C6258"/>
    <w:rsid w:val="005D205E"/>
    <w:rsid w:val="005D3F03"/>
    <w:rsid w:val="005E0B81"/>
    <w:rsid w:val="005E18EC"/>
    <w:rsid w:val="005E40C4"/>
    <w:rsid w:val="005F0555"/>
    <w:rsid w:val="00613D6F"/>
    <w:rsid w:val="0061523E"/>
    <w:rsid w:val="006173F1"/>
    <w:rsid w:val="00624F75"/>
    <w:rsid w:val="0062772E"/>
    <w:rsid w:val="00641EF5"/>
    <w:rsid w:val="00644245"/>
    <w:rsid w:val="006504DC"/>
    <w:rsid w:val="0066014B"/>
    <w:rsid w:val="006628A8"/>
    <w:rsid w:val="006718F8"/>
    <w:rsid w:val="00681780"/>
    <w:rsid w:val="006839A7"/>
    <w:rsid w:val="006862AB"/>
    <w:rsid w:val="006A6049"/>
    <w:rsid w:val="006B0144"/>
    <w:rsid w:val="006B2C99"/>
    <w:rsid w:val="006B41AC"/>
    <w:rsid w:val="006B4718"/>
    <w:rsid w:val="006B5BC9"/>
    <w:rsid w:val="006D5D87"/>
    <w:rsid w:val="006E0FC5"/>
    <w:rsid w:val="006E5F91"/>
    <w:rsid w:val="006E6F6A"/>
    <w:rsid w:val="006F47BF"/>
    <w:rsid w:val="00700005"/>
    <w:rsid w:val="0070114E"/>
    <w:rsid w:val="00706CFD"/>
    <w:rsid w:val="00712D8A"/>
    <w:rsid w:val="007132DF"/>
    <w:rsid w:val="007218F8"/>
    <w:rsid w:val="00722A70"/>
    <w:rsid w:val="00722AB3"/>
    <w:rsid w:val="00725E7B"/>
    <w:rsid w:val="00732942"/>
    <w:rsid w:val="00736A27"/>
    <w:rsid w:val="00755DF0"/>
    <w:rsid w:val="00786A55"/>
    <w:rsid w:val="00787512"/>
    <w:rsid w:val="00792308"/>
    <w:rsid w:val="007A01E8"/>
    <w:rsid w:val="007A5D77"/>
    <w:rsid w:val="007B110D"/>
    <w:rsid w:val="007B2035"/>
    <w:rsid w:val="007D4888"/>
    <w:rsid w:val="007D4B5D"/>
    <w:rsid w:val="007E0D78"/>
    <w:rsid w:val="007E1BFA"/>
    <w:rsid w:val="007E4D60"/>
    <w:rsid w:val="007E6848"/>
    <w:rsid w:val="007E6DD3"/>
    <w:rsid w:val="007F0258"/>
    <w:rsid w:val="007F1E91"/>
    <w:rsid w:val="007F7558"/>
    <w:rsid w:val="00801314"/>
    <w:rsid w:val="00803F52"/>
    <w:rsid w:val="00811606"/>
    <w:rsid w:val="0081340B"/>
    <w:rsid w:val="008141D2"/>
    <w:rsid w:val="008144C2"/>
    <w:rsid w:val="00825667"/>
    <w:rsid w:val="00830DE2"/>
    <w:rsid w:val="00831611"/>
    <w:rsid w:val="00833692"/>
    <w:rsid w:val="00837305"/>
    <w:rsid w:val="00837A3A"/>
    <w:rsid w:val="00845564"/>
    <w:rsid w:val="008462BF"/>
    <w:rsid w:val="00847B54"/>
    <w:rsid w:val="00852015"/>
    <w:rsid w:val="008540F5"/>
    <w:rsid w:val="00862159"/>
    <w:rsid w:val="00866ECB"/>
    <w:rsid w:val="008842DD"/>
    <w:rsid w:val="00887F0C"/>
    <w:rsid w:val="00895600"/>
    <w:rsid w:val="00895912"/>
    <w:rsid w:val="008963D0"/>
    <w:rsid w:val="00896C93"/>
    <w:rsid w:val="008A15A4"/>
    <w:rsid w:val="008B1B41"/>
    <w:rsid w:val="008B3F22"/>
    <w:rsid w:val="008D45A3"/>
    <w:rsid w:val="008D4941"/>
    <w:rsid w:val="008E6421"/>
    <w:rsid w:val="008F3E90"/>
    <w:rsid w:val="00901A20"/>
    <w:rsid w:val="00910F0C"/>
    <w:rsid w:val="009115E6"/>
    <w:rsid w:val="0091774E"/>
    <w:rsid w:val="009250F2"/>
    <w:rsid w:val="00930AB0"/>
    <w:rsid w:val="009313CA"/>
    <w:rsid w:val="00931AD1"/>
    <w:rsid w:val="0096713F"/>
    <w:rsid w:val="009809B2"/>
    <w:rsid w:val="00986C31"/>
    <w:rsid w:val="00993325"/>
    <w:rsid w:val="00994351"/>
    <w:rsid w:val="009B06CC"/>
    <w:rsid w:val="009C626B"/>
    <w:rsid w:val="009C7A11"/>
    <w:rsid w:val="009D1E58"/>
    <w:rsid w:val="009D2981"/>
    <w:rsid w:val="009D29EA"/>
    <w:rsid w:val="009D3718"/>
    <w:rsid w:val="009D4DD2"/>
    <w:rsid w:val="009E02D1"/>
    <w:rsid w:val="009E1F4B"/>
    <w:rsid w:val="009E3A46"/>
    <w:rsid w:val="009F1CC9"/>
    <w:rsid w:val="009F56FE"/>
    <w:rsid w:val="00A02260"/>
    <w:rsid w:val="00A10959"/>
    <w:rsid w:val="00A13F59"/>
    <w:rsid w:val="00A20D44"/>
    <w:rsid w:val="00A30E89"/>
    <w:rsid w:val="00A4215A"/>
    <w:rsid w:val="00A439BE"/>
    <w:rsid w:val="00A4493A"/>
    <w:rsid w:val="00A60A6C"/>
    <w:rsid w:val="00A64023"/>
    <w:rsid w:val="00A7124D"/>
    <w:rsid w:val="00A72689"/>
    <w:rsid w:val="00A75CC3"/>
    <w:rsid w:val="00A7613C"/>
    <w:rsid w:val="00A76A03"/>
    <w:rsid w:val="00A85D2E"/>
    <w:rsid w:val="00A85EE0"/>
    <w:rsid w:val="00A865C5"/>
    <w:rsid w:val="00A9109C"/>
    <w:rsid w:val="00A9758F"/>
    <w:rsid w:val="00AA2DA1"/>
    <w:rsid w:val="00AB3F5A"/>
    <w:rsid w:val="00AB5CAD"/>
    <w:rsid w:val="00AB76D4"/>
    <w:rsid w:val="00AC09DD"/>
    <w:rsid w:val="00AC271E"/>
    <w:rsid w:val="00AE4758"/>
    <w:rsid w:val="00AE5951"/>
    <w:rsid w:val="00AF2188"/>
    <w:rsid w:val="00AF339D"/>
    <w:rsid w:val="00AF602B"/>
    <w:rsid w:val="00B046EB"/>
    <w:rsid w:val="00B132F3"/>
    <w:rsid w:val="00B14563"/>
    <w:rsid w:val="00B1759A"/>
    <w:rsid w:val="00B17B23"/>
    <w:rsid w:val="00B223F9"/>
    <w:rsid w:val="00B231C7"/>
    <w:rsid w:val="00B451D1"/>
    <w:rsid w:val="00B47901"/>
    <w:rsid w:val="00B520D1"/>
    <w:rsid w:val="00B637AA"/>
    <w:rsid w:val="00B71B42"/>
    <w:rsid w:val="00B7440A"/>
    <w:rsid w:val="00B74CA3"/>
    <w:rsid w:val="00B945AD"/>
    <w:rsid w:val="00B95FC8"/>
    <w:rsid w:val="00BA73D1"/>
    <w:rsid w:val="00BA7F0D"/>
    <w:rsid w:val="00BB08AC"/>
    <w:rsid w:val="00BC1EAC"/>
    <w:rsid w:val="00BC2843"/>
    <w:rsid w:val="00BC3D15"/>
    <w:rsid w:val="00BC3FEC"/>
    <w:rsid w:val="00BD16FA"/>
    <w:rsid w:val="00BD3EC7"/>
    <w:rsid w:val="00BD476C"/>
    <w:rsid w:val="00BD5398"/>
    <w:rsid w:val="00BE15B5"/>
    <w:rsid w:val="00BE335F"/>
    <w:rsid w:val="00C017EC"/>
    <w:rsid w:val="00C11B69"/>
    <w:rsid w:val="00C12937"/>
    <w:rsid w:val="00C1619F"/>
    <w:rsid w:val="00C2576D"/>
    <w:rsid w:val="00C2582E"/>
    <w:rsid w:val="00C34B6B"/>
    <w:rsid w:val="00C42E98"/>
    <w:rsid w:val="00C50E52"/>
    <w:rsid w:val="00C516A4"/>
    <w:rsid w:val="00C5699B"/>
    <w:rsid w:val="00C61B71"/>
    <w:rsid w:val="00C65F34"/>
    <w:rsid w:val="00C74C5C"/>
    <w:rsid w:val="00C76934"/>
    <w:rsid w:val="00C84504"/>
    <w:rsid w:val="00C848D7"/>
    <w:rsid w:val="00C93375"/>
    <w:rsid w:val="00C97264"/>
    <w:rsid w:val="00CA0530"/>
    <w:rsid w:val="00CA093E"/>
    <w:rsid w:val="00CA5A0E"/>
    <w:rsid w:val="00CC0BB6"/>
    <w:rsid w:val="00CC4FA5"/>
    <w:rsid w:val="00CC6D2C"/>
    <w:rsid w:val="00CD3410"/>
    <w:rsid w:val="00CD7FCB"/>
    <w:rsid w:val="00CE4EC2"/>
    <w:rsid w:val="00CE778D"/>
    <w:rsid w:val="00CF25FC"/>
    <w:rsid w:val="00CF5528"/>
    <w:rsid w:val="00D05B11"/>
    <w:rsid w:val="00D06064"/>
    <w:rsid w:val="00D1068E"/>
    <w:rsid w:val="00D203AA"/>
    <w:rsid w:val="00D24A9A"/>
    <w:rsid w:val="00D3239A"/>
    <w:rsid w:val="00D43026"/>
    <w:rsid w:val="00D4334B"/>
    <w:rsid w:val="00D447FD"/>
    <w:rsid w:val="00D47ED4"/>
    <w:rsid w:val="00D6058F"/>
    <w:rsid w:val="00D63D49"/>
    <w:rsid w:val="00D858D4"/>
    <w:rsid w:val="00D867E3"/>
    <w:rsid w:val="00D9015A"/>
    <w:rsid w:val="00D92985"/>
    <w:rsid w:val="00D936D0"/>
    <w:rsid w:val="00DA0719"/>
    <w:rsid w:val="00DB16D3"/>
    <w:rsid w:val="00DC6DDB"/>
    <w:rsid w:val="00DD0C15"/>
    <w:rsid w:val="00DD1621"/>
    <w:rsid w:val="00DE1889"/>
    <w:rsid w:val="00DE22FB"/>
    <w:rsid w:val="00E13394"/>
    <w:rsid w:val="00E14F2B"/>
    <w:rsid w:val="00E164F8"/>
    <w:rsid w:val="00E215BB"/>
    <w:rsid w:val="00E21C1E"/>
    <w:rsid w:val="00E24E2E"/>
    <w:rsid w:val="00E25B82"/>
    <w:rsid w:val="00E2659C"/>
    <w:rsid w:val="00E31AEB"/>
    <w:rsid w:val="00E57C5A"/>
    <w:rsid w:val="00E7055D"/>
    <w:rsid w:val="00E750A6"/>
    <w:rsid w:val="00E777B0"/>
    <w:rsid w:val="00E81C6F"/>
    <w:rsid w:val="00E84DAE"/>
    <w:rsid w:val="00E9343C"/>
    <w:rsid w:val="00E972AC"/>
    <w:rsid w:val="00EA15B3"/>
    <w:rsid w:val="00EA3484"/>
    <w:rsid w:val="00EA672B"/>
    <w:rsid w:val="00EA72E2"/>
    <w:rsid w:val="00EB1B2A"/>
    <w:rsid w:val="00EB573E"/>
    <w:rsid w:val="00EB6801"/>
    <w:rsid w:val="00ED112B"/>
    <w:rsid w:val="00ED22AE"/>
    <w:rsid w:val="00EF3EFB"/>
    <w:rsid w:val="00F0676D"/>
    <w:rsid w:val="00F07230"/>
    <w:rsid w:val="00F13AD7"/>
    <w:rsid w:val="00F14FC7"/>
    <w:rsid w:val="00F25CD1"/>
    <w:rsid w:val="00F45BE9"/>
    <w:rsid w:val="00F4709F"/>
    <w:rsid w:val="00F65677"/>
    <w:rsid w:val="00F67A28"/>
    <w:rsid w:val="00F67BA4"/>
    <w:rsid w:val="00F75488"/>
    <w:rsid w:val="00F776CC"/>
    <w:rsid w:val="00F80987"/>
    <w:rsid w:val="00F84533"/>
    <w:rsid w:val="00F9002C"/>
    <w:rsid w:val="00F9159C"/>
    <w:rsid w:val="00F92F04"/>
    <w:rsid w:val="00FA0847"/>
    <w:rsid w:val="00FA3DAB"/>
    <w:rsid w:val="00FB709C"/>
    <w:rsid w:val="00FC2837"/>
    <w:rsid w:val="00FC28EC"/>
    <w:rsid w:val="00FC4294"/>
    <w:rsid w:val="00FC4D20"/>
    <w:rsid w:val="00FC5C56"/>
    <w:rsid w:val="00FE187C"/>
    <w:rsid w:val="00FF49CA"/>
    <w:rsid w:val="0127533C"/>
    <w:rsid w:val="018E53BB"/>
    <w:rsid w:val="01FF0067"/>
    <w:rsid w:val="027B4BF6"/>
    <w:rsid w:val="07C338E5"/>
    <w:rsid w:val="09340120"/>
    <w:rsid w:val="0ABE4384"/>
    <w:rsid w:val="0C525237"/>
    <w:rsid w:val="0CFD33F5"/>
    <w:rsid w:val="11246BB6"/>
    <w:rsid w:val="140B63F8"/>
    <w:rsid w:val="17011C8A"/>
    <w:rsid w:val="173D7210"/>
    <w:rsid w:val="17BF5E77"/>
    <w:rsid w:val="1890336F"/>
    <w:rsid w:val="198033E4"/>
    <w:rsid w:val="1B2304CB"/>
    <w:rsid w:val="1BF75E31"/>
    <w:rsid w:val="20920044"/>
    <w:rsid w:val="20A31B5D"/>
    <w:rsid w:val="211F4B8D"/>
    <w:rsid w:val="220F477E"/>
    <w:rsid w:val="22511DC1"/>
    <w:rsid w:val="22EB7E1F"/>
    <w:rsid w:val="237544B8"/>
    <w:rsid w:val="265F0A89"/>
    <w:rsid w:val="28310C86"/>
    <w:rsid w:val="285223EF"/>
    <w:rsid w:val="28B715CB"/>
    <w:rsid w:val="29235CD3"/>
    <w:rsid w:val="29820AB2"/>
    <w:rsid w:val="29EC6874"/>
    <w:rsid w:val="2B0C4488"/>
    <w:rsid w:val="2B361B54"/>
    <w:rsid w:val="2B9D6E1B"/>
    <w:rsid w:val="2BA016C4"/>
    <w:rsid w:val="2BAA1866"/>
    <w:rsid w:val="2EB01676"/>
    <w:rsid w:val="309E4D64"/>
    <w:rsid w:val="310C2006"/>
    <w:rsid w:val="3172765E"/>
    <w:rsid w:val="31BF5061"/>
    <w:rsid w:val="34086058"/>
    <w:rsid w:val="347A51A8"/>
    <w:rsid w:val="34C534AE"/>
    <w:rsid w:val="351A6043"/>
    <w:rsid w:val="360F1920"/>
    <w:rsid w:val="371C53C7"/>
    <w:rsid w:val="37AB5678"/>
    <w:rsid w:val="38F815D3"/>
    <w:rsid w:val="398929C3"/>
    <w:rsid w:val="3B5453BB"/>
    <w:rsid w:val="3D4E4E6E"/>
    <w:rsid w:val="3E9B4698"/>
    <w:rsid w:val="4017618D"/>
    <w:rsid w:val="40D221A8"/>
    <w:rsid w:val="434A043B"/>
    <w:rsid w:val="443A225E"/>
    <w:rsid w:val="481E3C44"/>
    <w:rsid w:val="4A3B5A95"/>
    <w:rsid w:val="4A5D1CCE"/>
    <w:rsid w:val="4BE25564"/>
    <w:rsid w:val="4DEE5E67"/>
    <w:rsid w:val="4DEF7D37"/>
    <w:rsid w:val="4EA8070C"/>
    <w:rsid w:val="4F993863"/>
    <w:rsid w:val="505570E2"/>
    <w:rsid w:val="50B50E2E"/>
    <w:rsid w:val="513149E8"/>
    <w:rsid w:val="521B3423"/>
    <w:rsid w:val="52A35472"/>
    <w:rsid w:val="535B2812"/>
    <w:rsid w:val="569D28E2"/>
    <w:rsid w:val="57B82893"/>
    <w:rsid w:val="57E8209D"/>
    <w:rsid w:val="5A04713E"/>
    <w:rsid w:val="5E734037"/>
    <w:rsid w:val="61016185"/>
    <w:rsid w:val="612C0778"/>
    <w:rsid w:val="62726C0F"/>
    <w:rsid w:val="63CD05A1"/>
    <w:rsid w:val="647B7FFD"/>
    <w:rsid w:val="649317EA"/>
    <w:rsid w:val="685748DD"/>
    <w:rsid w:val="6A1155FC"/>
    <w:rsid w:val="6B2D7B77"/>
    <w:rsid w:val="6E712470"/>
    <w:rsid w:val="6F7C3FA1"/>
    <w:rsid w:val="6FC94230"/>
    <w:rsid w:val="709D579F"/>
    <w:rsid w:val="71511DF8"/>
    <w:rsid w:val="718B7B2E"/>
    <w:rsid w:val="73905B57"/>
    <w:rsid w:val="74A463EE"/>
    <w:rsid w:val="77EB6DF0"/>
    <w:rsid w:val="787371C8"/>
    <w:rsid w:val="789A6302"/>
    <w:rsid w:val="7AC31DEF"/>
    <w:rsid w:val="7D133070"/>
    <w:rsid w:val="7DF369FE"/>
    <w:rsid w:val="7DFF53A3"/>
    <w:rsid w:val="7E3948E7"/>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qFormat="1"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heme="minorBidi"/>
      <w:kern w:val="2"/>
      <w:sz w:val="24"/>
      <w:szCs w:val="24"/>
      <w:lang w:val="en-US" w:eastAsia="zh-CN" w:bidi="ar-SA"/>
    </w:rPr>
  </w:style>
  <w:style w:type="paragraph" w:styleId="2">
    <w:name w:val="heading 1"/>
    <w:basedOn w:val="1"/>
    <w:next w:val="1"/>
    <w:link w:val="20"/>
    <w:qFormat/>
    <w:uiPriority w:val="9"/>
    <w:pPr>
      <w:keepNext/>
      <w:keepLines/>
      <w:spacing w:before="340" w:after="330" w:line="578" w:lineRule="auto"/>
      <w:ind w:firstLine="200" w:firstLineChars="200"/>
      <w:outlineLvl w:val="0"/>
    </w:pPr>
    <w:rPr>
      <w:b/>
      <w:bCs/>
      <w:kern w:val="44"/>
      <w:szCs w:val="44"/>
    </w:rPr>
  </w:style>
  <w:style w:type="paragraph" w:styleId="3">
    <w:name w:val="heading 2"/>
    <w:basedOn w:val="1"/>
    <w:next w:val="1"/>
    <w:link w:val="19"/>
    <w:unhideWhenUsed/>
    <w:qFormat/>
    <w:uiPriority w:val="9"/>
    <w:pPr>
      <w:keepNext/>
      <w:keepLines/>
      <w:spacing w:before="260" w:after="260" w:line="415" w:lineRule="auto"/>
      <w:ind w:firstLine="200" w:firstLineChars="200"/>
      <w:outlineLvl w:val="1"/>
    </w:pPr>
    <w:rPr>
      <w:rFonts w:asciiTheme="majorHAnsi" w:hAnsiTheme="majorHAnsi" w:eastAsiaTheme="majorEastAsia" w:cstheme="majorBidi"/>
      <w:b/>
      <w:bCs/>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4"/>
    <w:semiHidden/>
    <w:unhideWhenUsed/>
    <w:qFormat/>
    <w:uiPriority w:val="99"/>
    <w:pPr>
      <w:jc w:val="left"/>
    </w:pPr>
  </w:style>
  <w:style w:type="paragraph" w:styleId="5">
    <w:name w:val="Body Text"/>
    <w:basedOn w:val="1"/>
    <w:qFormat/>
    <w:uiPriority w:val="0"/>
    <w:rPr>
      <w:rFonts w:ascii="宋体" w:hAnsi="宋体"/>
    </w:rPr>
  </w:style>
  <w:style w:type="paragraph" w:styleId="6">
    <w:name w:val="Balloon Text"/>
    <w:basedOn w:val="1"/>
    <w:link w:val="23"/>
    <w:semiHidden/>
    <w:unhideWhenUsed/>
    <w:qFormat/>
    <w:uiPriority w:val="99"/>
    <w:rPr>
      <w:rFonts w:ascii="宋体"/>
      <w:sz w:val="18"/>
      <w:szCs w:val="18"/>
    </w:rPr>
  </w:style>
  <w:style w:type="paragraph" w:styleId="7">
    <w:name w:val="footer"/>
    <w:basedOn w:val="1"/>
    <w:link w:val="22"/>
    <w:unhideWhenUsed/>
    <w:qFormat/>
    <w:uiPriority w:val="99"/>
    <w:pPr>
      <w:tabs>
        <w:tab w:val="center" w:pos="4153"/>
        <w:tab w:val="right" w:pos="8306"/>
      </w:tabs>
      <w:snapToGrid w:val="0"/>
      <w:jc w:val="left"/>
    </w:pPr>
    <w:rPr>
      <w:sz w:val="18"/>
      <w:szCs w:val="18"/>
    </w:rPr>
  </w:style>
  <w:style w:type="paragraph" w:styleId="8">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footnote text"/>
    <w:basedOn w:val="1"/>
    <w:unhideWhenUsed/>
    <w:qFormat/>
    <w:uiPriority w:val="99"/>
    <w:pPr>
      <w:snapToGrid w:val="0"/>
      <w:jc w:val="left"/>
    </w:pPr>
    <w:rPr>
      <w:sz w:val="18"/>
      <w:szCs w:val="18"/>
    </w:rPr>
  </w:style>
  <w:style w:type="paragraph" w:styleId="10">
    <w:name w:val="Normal (Web)"/>
    <w:basedOn w:val="1"/>
    <w:qFormat/>
    <w:uiPriority w:val="0"/>
    <w:pPr>
      <w:spacing w:beforeAutospacing="1" w:afterAutospacing="1"/>
      <w:jc w:val="left"/>
    </w:pPr>
    <w:rPr>
      <w:rFonts w:cs="Times New Roman"/>
      <w:kern w:val="0"/>
      <w:sz w:val="24"/>
    </w:rPr>
  </w:style>
  <w:style w:type="paragraph" w:styleId="11">
    <w:name w:val="annotation subject"/>
    <w:basedOn w:val="4"/>
    <w:next w:val="4"/>
    <w:link w:val="25"/>
    <w:semiHidden/>
    <w:unhideWhenUsed/>
    <w:qFormat/>
    <w:uiPriority w:val="99"/>
    <w:rPr>
      <w:b/>
      <w:bCs/>
    </w:rPr>
  </w:style>
  <w:style w:type="table" w:styleId="13">
    <w:name w:val="Table Grid"/>
    <w:basedOn w:val="12"/>
    <w:unhideWhenUse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basedOn w:val="14"/>
    <w:semiHidden/>
    <w:unhideWhenUsed/>
    <w:qFormat/>
    <w:uiPriority w:val="99"/>
  </w:style>
  <w:style w:type="character" w:styleId="16">
    <w:name w:val="Hyperlink"/>
    <w:basedOn w:val="14"/>
    <w:semiHidden/>
    <w:unhideWhenUsed/>
    <w:qFormat/>
    <w:uiPriority w:val="99"/>
    <w:rPr>
      <w:color w:val="0000FF"/>
      <w:u w:val="single"/>
    </w:rPr>
  </w:style>
  <w:style w:type="character" w:styleId="17">
    <w:name w:val="annotation reference"/>
    <w:basedOn w:val="14"/>
    <w:semiHidden/>
    <w:unhideWhenUsed/>
    <w:qFormat/>
    <w:uiPriority w:val="99"/>
    <w:rPr>
      <w:sz w:val="21"/>
      <w:szCs w:val="21"/>
    </w:rPr>
  </w:style>
  <w:style w:type="character" w:styleId="18">
    <w:name w:val="footnote reference"/>
    <w:basedOn w:val="14"/>
    <w:unhideWhenUsed/>
    <w:qFormat/>
    <w:uiPriority w:val="99"/>
    <w:rPr>
      <w:vertAlign w:val="superscript"/>
    </w:rPr>
  </w:style>
  <w:style w:type="character" w:customStyle="1" w:styleId="19">
    <w:name w:val="标题 2 字符"/>
    <w:basedOn w:val="14"/>
    <w:link w:val="3"/>
    <w:qFormat/>
    <w:uiPriority w:val="9"/>
    <w:rPr>
      <w:rFonts w:asciiTheme="majorHAnsi" w:hAnsiTheme="majorHAnsi" w:eastAsiaTheme="majorEastAsia" w:cstheme="majorBidi"/>
      <w:b/>
      <w:bCs/>
      <w:szCs w:val="32"/>
    </w:rPr>
  </w:style>
  <w:style w:type="character" w:customStyle="1" w:styleId="20">
    <w:name w:val="标题 1 字符"/>
    <w:basedOn w:val="14"/>
    <w:link w:val="2"/>
    <w:qFormat/>
    <w:uiPriority w:val="9"/>
    <w:rPr>
      <w:b/>
      <w:bCs/>
      <w:kern w:val="44"/>
      <w:szCs w:val="44"/>
    </w:rPr>
  </w:style>
  <w:style w:type="character" w:customStyle="1" w:styleId="21">
    <w:name w:val="页眉 字符"/>
    <w:basedOn w:val="14"/>
    <w:link w:val="8"/>
    <w:qFormat/>
    <w:uiPriority w:val="99"/>
    <w:rPr>
      <w:sz w:val="18"/>
      <w:szCs w:val="18"/>
    </w:rPr>
  </w:style>
  <w:style w:type="character" w:customStyle="1" w:styleId="22">
    <w:name w:val="页脚 字符"/>
    <w:basedOn w:val="14"/>
    <w:link w:val="7"/>
    <w:qFormat/>
    <w:uiPriority w:val="99"/>
    <w:rPr>
      <w:sz w:val="18"/>
      <w:szCs w:val="18"/>
    </w:rPr>
  </w:style>
  <w:style w:type="character" w:customStyle="1" w:styleId="23">
    <w:name w:val="批注框文本 字符"/>
    <w:basedOn w:val="14"/>
    <w:link w:val="6"/>
    <w:semiHidden/>
    <w:qFormat/>
    <w:uiPriority w:val="99"/>
    <w:rPr>
      <w:rFonts w:ascii="宋体"/>
      <w:sz w:val="18"/>
      <w:szCs w:val="18"/>
    </w:rPr>
  </w:style>
  <w:style w:type="character" w:customStyle="1" w:styleId="24">
    <w:name w:val="批注文字 字符"/>
    <w:basedOn w:val="14"/>
    <w:link w:val="4"/>
    <w:semiHidden/>
    <w:qFormat/>
    <w:uiPriority w:val="99"/>
  </w:style>
  <w:style w:type="character" w:customStyle="1" w:styleId="25">
    <w:name w:val="批注主题 字符"/>
    <w:basedOn w:val="24"/>
    <w:link w:val="11"/>
    <w:semiHidden/>
    <w:qFormat/>
    <w:uiPriority w:val="99"/>
    <w:rPr>
      <w:b/>
      <w:bCs/>
    </w:rPr>
  </w:style>
  <w:style w:type="paragraph" w:styleId="2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黑体"/>
        <a:cs typeface=""/>
        <a:font script="Jpan" typeface="ＭＳ ゴシック"/>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宋体"/>
        <a:cs typeface=""/>
        <a:font script="Jpan" typeface="ＭＳ 明朝"/>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791E16-E80A-264E-9982-73617A6F4027}">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4034</Words>
  <Characters>4532</Characters>
  <Lines>34</Lines>
  <Paragraphs>9</Paragraphs>
  <TotalTime>68</TotalTime>
  <ScaleCrop>false</ScaleCrop>
  <LinksUpToDate>false</LinksUpToDate>
  <CharactersWithSpaces>4536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2020-07-03T01:42:00Z</dcterms:created>
  <dc:creator>chenjianggang</dc:creator>
  <cp:lastModifiedBy>小麦</cp:lastModifiedBy>
  <cp:lastPrinted>2018-08-28T05:34:00Z</cp:lastPrinted>
  <dcterms:modified xsi:type="dcterms:W3CDTF">2025-11-24T03:10:40Z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FD7B8EE0154F40719666E8C6756A0D4A_13</vt:lpwstr>
  </property>
  <property fmtid="{D5CDD505-2E9C-101B-9397-08002B2CF9AE}" pid="4" name="KSOTemplateDocerSaveRecord">
    <vt:lpwstr>eyJoZGlkIjoiMmM5MDc5YjhmOTY2YjRjYTEzNDdhMTMzZGY3OTFjNmYiLCJ1c2VySWQiOiI3NTQ2NDgxNzkifQ==</vt:lpwstr>
  </property>
</Properties>
</file>