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E4D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Fonts w:hint="eastAsia" w:ascii="仿宋" w:hAnsi="仿宋" w:eastAsia="仿宋" w:cs="仿宋"/>
          <w:i w:val="0"/>
          <w:iCs w:val="0"/>
          <w:caps w:val="0"/>
          <w:spacing w:val="7"/>
          <w:sz w:val="44"/>
          <w:szCs w:val="44"/>
        </w:rPr>
      </w:pPr>
      <w:r>
        <w:rPr>
          <w:rFonts w:hint="eastAsia" w:ascii="仿宋" w:hAnsi="仿宋" w:eastAsia="仿宋" w:cs="仿宋"/>
          <w:i w:val="0"/>
          <w:iCs w:val="0"/>
          <w:caps w:val="0"/>
          <w:spacing w:val="7"/>
          <w:sz w:val="44"/>
          <w:szCs w:val="44"/>
          <w:shd w:val="clear" w:fill="FFFFFF"/>
        </w:rPr>
        <w:t>公告丨贵州</w:t>
      </w:r>
      <w:r>
        <w:rPr>
          <w:rFonts w:hint="eastAsia" w:ascii="仿宋" w:hAnsi="仿宋" w:eastAsia="仿宋" w:cs="仿宋"/>
          <w:i w:val="0"/>
          <w:iCs w:val="0"/>
          <w:caps w:val="0"/>
          <w:spacing w:val="7"/>
          <w:sz w:val="44"/>
          <w:szCs w:val="44"/>
          <w:shd w:val="clear" w:fill="FFFFFF"/>
          <w:lang w:val="en-US" w:eastAsia="zh-CN"/>
        </w:rPr>
        <w:t>华黔能源</w:t>
      </w:r>
      <w:r>
        <w:rPr>
          <w:rFonts w:hint="eastAsia" w:ascii="仿宋" w:hAnsi="仿宋" w:eastAsia="仿宋" w:cs="仿宋"/>
          <w:i w:val="0"/>
          <w:iCs w:val="0"/>
          <w:caps w:val="0"/>
          <w:spacing w:val="7"/>
          <w:sz w:val="44"/>
          <w:szCs w:val="44"/>
          <w:shd w:val="clear" w:fill="FFFFFF"/>
        </w:rPr>
        <w:t>有限公司管理人关于公开招募审计机构、评估机构的公告</w:t>
      </w:r>
    </w:p>
    <w:p w14:paraId="081FAE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贵阳市中级人民法院于2025年</w:t>
      </w:r>
      <w:r>
        <w:rPr>
          <w:rFonts w:hint="eastAsia" w:ascii="仿宋" w:hAnsi="仿宋" w:eastAsia="仿宋" w:cs="仿宋"/>
          <w:i w:val="0"/>
          <w:iCs w:val="0"/>
          <w:caps w:val="0"/>
          <w:spacing w:val="7"/>
          <w:sz w:val="28"/>
          <w:szCs w:val="28"/>
          <w:shd w:val="clear" w:fill="FFFFFF"/>
          <w:lang w:val="en-US" w:eastAsia="zh-CN"/>
        </w:rPr>
        <w:t>9</w:t>
      </w:r>
      <w:r>
        <w:rPr>
          <w:rFonts w:hint="eastAsia" w:ascii="仿宋" w:hAnsi="仿宋" w:eastAsia="仿宋" w:cs="仿宋"/>
          <w:i w:val="0"/>
          <w:iCs w:val="0"/>
          <w:caps w:val="0"/>
          <w:spacing w:val="7"/>
          <w:sz w:val="28"/>
          <w:szCs w:val="28"/>
          <w:shd w:val="clear" w:fill="FFFFFF"/>
        </w:rPr>
        <w:t>月2</w:t>
      </w:r>
      <w:r>
        <w:rPr>
          <w:rFonts w:hint="eastAsia" w:ascii="仿宋" w:hAnsi="仿宋" w:eastAsia="仿宋" w:cs="仿宋"/>
          <w:i w:val="0"/>
          <w:iCs w:val="0"/>
          <w:caps w:val="0"/>
          <w:spacing w:val="7"/>
          <w:sz w:val="28"/>
          <w:szCs w:val="28"/>
          <w:shd w:val="clear" w:fill="FFFFFF"/>
          <w:lang w:val="en-US" w:eastAsia="zh-CN"/>
        </w:rPr>
        <w:t>5</w:t>
      </w:r>
      <w:r>
        <w:rPr>
          <w:rFonts w:hint="eastAsia" w:ascii="仿宋" w:hAnsi="仿宋" w:eastAsia="仿宋" w:cs="仿宋"/>
          <w:i w:val="0"/>
          <w:iCs w:val="0"/>
          <w:caps w:val="0"/>
          <w:spacing w:val="7"/>
          <w:sz w:val="28"/>
          <w:szCs w:val="28"/>
          <w:shd w:val="clear" w:fill="FFFFFF"/>
        </w:rPr>
        <w:t>日作出（2025）黔01破申2</w:t>
      </w:r>
      <w:r>
        <w:rPr>
          <w:rFonts w:hint="eastAsia" w:ascii="仿宋" w:hAnsi="仿宋" w:eastAsia="仿宋" w:cs="仿宋"/>
          <w:i w:val="0"/>
          <w:iCs w:val="0"/>
          <w:caps w:val="0"/>
          <w:spacing w:val="7"/>
          <w:sz w:val="28"/>
          <w:szCs w:val="28"/>
          <w:shd w:val="clear" w:fill="FFFFFF"/>
          <w:lang w:val="en-US" w:eastAsia="zh-CN"/>
        </w:rPr>
        <w:t>8</w:t>
      </w:r>
      <w:r>
        <w:rPr>
          <w:rFonts w:hint="eastAsia" w:ascii="仿宋" w:hAnsi="仿宋" w:eastAsia="仿宋" w:cs="仿宋"/>
          <w:i w:val="0"/>
          <w:iCs w:val="0"/>
          <w:caps w:val="0"/>
          <w:spacing w:val="7"/>
          <w:sz w:val="28"/>
          <w:szCs w:val="28"/>
          <w:shd w:val="clear" w:fill="FFFFFF"/>
        </w:rPr>
        <w:t>号民事裁定书，裁定受理贵州</w:t>
      </w:r>
      <w:r>
        <w:rPr>
          <w:rFonts w:hint="eastAsia" w:ascii="仿宋" w:hAnsi="仿宋" w:eastAsia="仿宋" w:cs="仿宋"/>
          <w:i w:val="0"/>
          <w:iCs w:val="0"/>
          <w:caps w:val="0"/>
          <w:spacing w:val="7"/>
          <w:sz w:val="28"/>
          <w:szCs w:val="28"/>
          <w:shd w:val="clear" w:fill="FFFFFF"/>
          <w:lang w:val="en-US" w:eastAsia="zh-CN"/>
        </w:rPr>
        <w:t>华黔能源</w:t>
      </w:r>
      <w:r>
        <w:rPr>
          <w:rFonts w:hint="eastAsia" w:ascii="仿宋" w:hAnsi="仿宋" w:eastAsia="仿宋" w:cs="仿宋"/>
          <w:i w:val="0"/>
          <w:iCs w:val="0"/>
          <w:caps w:val="0"/>
          <w:spacing w:val="7"/>
          <w:sz w:val="28"/>
          <w:szCs w:val="28"/>
          <w:shd w:val="clear" w:fill="FFFFFF"/>
        </w:rPr>
        <w:t>有限公司（以下简称“</w:t>
      </w:r>
      <w:r>
        <w:rPr>
          <w:rFonts w:hint="eastAsia" w:ascii="仿宋" w:hAnsi="仿宋" w:eastAsia="仿宋" w:cs="仿宋"/>
          <w:i w:val="0"/>
          <w:iCs w:val="0"/>
          <w:caps w:val="0"/>
          <w:spacing w:val="7"/>
          <w:sz w:val="28"/>
          <w:szCs w:val="28"/>
          <w:shd w:val="clear" w:fill="FFFFFF"/>
          <w:lang w:val="en-US" w:eastAsia="zh-CN"/>
        </w:rPr>
        <w:t>华黔</w:t>
      </w:r>
      <w:r>
        <w:rPr>
          <w:rFonts w:hint="eastAsia" w:ascii="仿宋" w:hAnsi="仿宋" w:eastAsia="仿宋" w:cs="仿宋"/>
          <w:i w:val="0"/>
          <w:iCs w:val="0"/>
          <w:caps w:val="0"/>
          <w:spacing w:val="7"/>
          <w:sz w:val="28"/>
          <w:szCs w:val="28"/>
          <w:shd w:val="clear" w:fill="FFFFFF"/>
        </w:rPr>
        <w:t>公司”）破产清算一案，并于2025年</w:t>
      </w:r>
      <w:r>
        <w:rPr>
          <w:rFonts w:hint="eastAsia" w:ascii="仿宋" w:hAnsi="仿宋" w:eastAsia="仿宋" w:cs="仿宋"/>
          <w:i w:val="0"/>
          <w:iCs w:val="0"/>
          <w:caps w:val="0"/>
          <w:spacing w:val="7"/>
          <w:sz w:val="28"/>
          <w:szCs w:val="28"/>
          <w:shd w:val="clear" w:fill="FFFFFF"/>
          <w:lang w:val="en-US" w:eastAsia="zh-CN"/>
        </w:rPr>
        <w:t>10</w:t>
      </w:r>
      <w:r>
        <w:rPr>
          <w:rFonts w:hint="eastAsia" w:ascii="仿宋" w:hAnsi="仿宋" w:eastAsia="仿宋" w:cs="仿宋"/>
          <w:i w:val="0"/>
          <w:iCs w:val="0"/>
          <w:caps w:val="0"/>
          <w:spacing w:val="7"/>
          <w:sz w:val="28"/>
          <w:szCs w:val="28"/>
          <w:shd w:val="clear" w:fill="FFFFFF"/>
        </w:rPr>
        <w:t>月</w:t>
      </w:r>
      <w:r>
        <w:rPr>
          <w:rFonts w:hint="eastAsia" w:ascii="仿宋" w:hAnsi="仿宋" w:eastAsia="仿宋" w:cs="仿宋"/>
          <w:i w:val="0"/>
          <w:iCs w:val="0"/>
          <w:caps w:val="0"/>
          <w:spacing w:val="7"/>
          <w:sz w:val="28"/>
          <w:szCs w:val="28"/>
          <w:shd w:val="clear" w:fill="FFFFFF"/>
          <w:lang w:val="en-US" w:eastAsia="zh-CN"/>
        </w:rPr>
        <w:t>1</w:t>
      </w:r>
      <w:r>
        <w:rPr>
          <w:rFonts w:hint="eastAsia" w:ascii="仿宋" w:hAnsi="仿宋" w:eastAsia="仿宋" w:cs="仿宋"/>
          <w:i w:val="0"/>
          <w:iCs w:val="0"/>
          <w:caps w:val="0"/>
          <w:spacing w:val="7"/>
          <w:sz w:val="28"/>
          <w:szCs w:val="28"/>
          <w:shd w:val="clear" w:fill="FFFFFF"/>
        </w:rPr>
        <w:t>0日作出（2025）黔01破</w:t>
      </w:r>
      <w:r>
        <w:rPr>
          <w:rFonts w:hint="eastAsia" w:ascii="仿宋" w:hAnsi="仿宋" w:eastAsia="仿宋" w:cs="仿宋"/>
          <w:i w:val="0"/>
          <w:iCs w:val="0"/>
          <w:caps w:val="0"/>
          <w:spacing w:val="7"/>
          <w:sz w:val="28"/>
          <w:szCs w:val="28"/>
          <w:shd w:val="clear" w:fill="FFFFFF"/>
          <w:lang w:val="en-US" w:eastAsia="zh-CN"/>
        </w:rPr>
        <w:t>7</w:t>
      </w:r>
      <w:r>
        <w:rPr>
          <w:rFonts w:hint="eastAsia" w:ascii="仿宋" w:hAnsi="仿宋" w:eastAsia="仿宋" w:cs="仿宋"/>
          <w:i w:val="0"/>
          <w:iCs w:val="0"/>
          <w:caps w:val="0"/>
          <w:spacing w:val="7"/>
          <w:sz w:val="28"/>
          <w:szCs w:val="28"/>
          <w:shd w:val="clear" w:fill="FFFFFF"/>
        </w:rPr>
        <w:t>号决定书，指定</w:t>
      </w:r>
      <w:r>
        <w:rPr>
          <w:rFonts w:hint="eastAsia" w:ascii="仿宋" w:hAnsi="仿宋" w:eastAsia="仿宋" w:cs="仿宋"/>
          <w:i w:val="0"/>
          <w:iCs w:val="0"/>
          <w:caps w:val="0"/>
          <w:spacing w:val="7"/>
          <w:sz w:val="28"/>
          <w:szCs w:val="28"/>
          <w:shd w:val="clear" w:fill="FFFFFF"/>
          <w:lang w:val="en-US" w:eastAsia="zh-CN"/>
        </w:rPr>
        <w:t>贵州法以正</w:t>
      </w:r>
      <w:r>
        <w:rPr>
          <w:rFonts w:hint="eastAsia" w:ascii="仿宋" w:hAnsi="仿宋" w:eastAsia="仿宋" w:cs="仿宋"/>
          <w:i w:val="0"/>
          <w:iCs w:val="0"/>
          <w:caps w:val="0"/>
          <w:spacing w:val="7"/>
          <w:sz w:val="28"/>
          <w:szCs w:val="28"/>
          <w:shd w:val="clear" w:fill="FFFFFF"/>
        </w:rPr>
        <w:t>律师事务所担任</w:t>
      </w:r>
      <w:r>
        <w:rPr>
          <w:rFonts w:hint="eastAsia" w:ascii="仿宋" w:hAnsi="仿宋" w:eastAsia="仿宋" w:cs="仿宋"/>
          <w:i w:val="0"/>
          <w:iCs w:val="0"/>
          <w:caps w:val="0"/>
          <w:spacing w:val="7"/>
          <w:sz w:val="28"/>
          <w:szCs w:val="28"/>
          <w:shd w:val="clear" w:fill="FFFFFF"/>
          <w:lang w:val="en-US" w:eastAsia="zh-CN"/>
        </w:rPr>
        <w:t>华黔</w:t>
      </w:r>
      <w:r>
        <w:rPr>
          <w:rFonts w:hint="eastAsia" w:ascii="仿宋" w:hAnsi="仿宋" w:eastAsia="仿宋" w:cs="仿宋"/>
          <w:i w:val="0"/>
          <w:iCs w:val="0"/>
          <w:caps w:val="0"/>
          <w:spacing w:val="7"/>
          <w:sz w:val="28"/>
          <w:szCs w:val="28"/>
          <w:shd w:val="clear" w:fill="FFFFFF"/>
        </w:rPr>
        <w:t>公司管理人（以下简称“管理人”）。</w:t>
      </w:r>
    </w:p>
    <w:p w14:paraId="45F222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为顺利推进破产清算程序，需要选聘审计机构、评估机构对</w:t>
      </w:r>
      <w:r>
        <w:rPr>
          <w:rFonts w:hint="eastAsia" w:ascii="仿宋" w:hAnsi="仿宋" w:eastAsia="仿宋" w:cs="仿宋"/>
          <w:i w:val="0"/>
          <w:iCs w:val="0"/>
          <w:caps w:val="0"/>
          <w:spacing w:val="7"/>
          <w:sz w:val="28"/>
          <w:szCs w:val="28"/>
          <w:shd w:val="clear" w:fill="FFFFFF"/>
          <w:lang w:val="en-US" w:eastAsia="zh-CN"/>
        </w:rPr>
        <w:t>华黔</w:t>
      </w:r>
      <w:r>
        <w:rPr>
          <w:rFonts w:hint="eastAsia" w:ascii="仿宋" w:hAnsi="仿宋" w:eastAsia="仿宋" w:cs="仿宋"/>
          <w:i w:val="0"/>
          <w:iCs w:val="0"/>
          <w:caps w:val="0"/>
          <w:spacing w:val="7"/>
          <w:sz w:val="28"/>
          <w:szCs w:val="28"/>
          <w:shd w:val="clear" w:fill="FFFFFF"/>
        </w:rPr>
        <w:t>公司进行专项审计、资产评估。管理人决定公开选聘，现就本次公开选聘的原则、条件、评选方式等有关内容公告如下：</w:t>
      </w:r>
    </w:p>
    <w:p w14:paraId="5D7A29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40" w:firstLineChars="217"/>
        <w:jc w:val="both"/>
        <w:textAlignment w:val="auto"/>
        <w:rPr>
          <w:rFonts w:hint="eastAsia" w:ascii="仿宋" w:hAnsi="仿宋" w:eastAsia="仿宋" w:cs="仿宋"/>
          <w:sz w:val="28"/>
          <w:szCs w:val="28"/>
        </w:rPr>
      </w:pPr>
      <w:r>
        <w:rPr>
          <w:rStyle w:val="8"/>
          <w:rFonts w:hint="eastAsia" w:ascii="仿宋" w:hAnsi="仿宋" w:eastAsia="仿宋" w:cs="仿宋"/>
          <w:i w:val="0"/>
          <w:iCs w:val="0"/>
          <w:caps w:val="0"/>
          <w:spacing w:val="7"/>
          <w:sz w:val="28"/>
          <w:szCs w:val="28"/>
          <w:shd w:val="clear" w:fill="FFFFFF"/>
        </w:rPr>
        <w:t>一、企业基本情况</w:t>
      </w:r>
    </w:p>
    <w:p w14:paraId="1F0BB3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40" w:firstLineChars="217"/>
        <w:jc w:val="both"/>
        <w:textAlignment w:val="auto"/>
        <w:rPr>
          <w:rFonts w:hint="eastAsia" w:ascii="仿宋" w:hAnsi="仿宋" w:eastAsia="仿宋" w:cs="仿宋"/>
          <w:sz w:val="28"/>
          <w:szCs w:val="28"/>
        </w:rPr>
      </w:pPr>
      <w:r>
        <w:rPr>
          <w:rStyle w:val="8"/>
          <w:rFonts w:hint="eastAsia" w:ascii="仿宋" w:hAnsi="仿宋" w:eastAsia="仿宋" w:cs="仿宋"/>
          <w:i w:val="0"/>
          <w:iCs w:val="0"/>
          <w:caps w:val="0"/>
          <w:spacing w:val="7"/>
          <w:sz w:val="28"/>
          <w:szCs w:val="28"/>
          <w:shd w:val="clear" w:fill="FFFFFF"/>
        </w:rPr>
        <w:t>（一）基础信息</w:t>
      </w:r>
    </w:p>
    <w:p w14:paraId="0A22A5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lang w:val="en-US" w:eastAsia="zh-CN"/>
        </w:rPr>
      </w:pPr>
      <w:r>
        <w:rPr>
          <w:rFonts w:hint="eastAsia" w:ascii="仿宋" w:hAnsi="仿宋" w:eastAsia="仿宋" w:cs="仿宋"/>
          <w:i w:val="0"/>
          <w:iCs w:val="0"/>
          <w:caps w:val="0"/>
          <w:spacing w:val="7"/>
          <w:sz w:val="28"/>
          <w:szCs w:val="28"/>
          <w:shd w:val="clear" w:fill="FFFFFF"/>
        </w:rPr>
        <w:t>企业名称：贵州</w:t>
      </w:r>
      <w:r>
        <w:rPr>
          <w:rFonts w:hint="eastAsia" w:ascii="仿宋" w:hAnsi="仿宋" w:eastAsia="仿宋" w:cs="仿宋"/>
          <w:i w:val="0"/>
          <w:iCs w:val="0"/>
          <w:caps w:val="0"/>
          <w:spacing w:val="7"/>
          <w:sz w:val="28"/>
          <w:szCs w:val="28"/>
          <w:shd w:val="clear" w:fill="FFFFFF"/>
          <w:lang w:val="en-US" w:eastAsia="zh-CN"/>
        </w:rPr>
        <w:t>华黔能源有限公司</w:t>
      </w:r>
    </w:p>
    <w:p w14:paraId="1860A8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lang w:val="en-US" w:eastAsia="zh-CN"/>
        </w:rPr>
      </w:pPr>
      <w:r>
        <w:rPr>
          <w:rFonts w:hint="eastAsia" w:ascii="仿宋" w:hAnsi="仿宋" w:eastAsia="仿宋" w:cs="仿宋"/>
          <w:i w:val="0"/>
          <w:iCs w:val="0"/>
          <w:caps w:val="0"/>
          <w:spacing w:val="7"/>
          <w:sz w:val="28"/>
          <w:szCs w:val="28"/>
          <w:shd w:val="clear" w:fill="FFFFFF"/>
        </w:rPr>
        <w:t>统一社会信用代码：91520</w:t>
      </w:r>
      <w:r>
        <w:rPr>
          <w:rFonts w:hint="eastAsia" w:ascii="仿宋" w:hAnsi="仿宋" w:eastAsia="仿宋" w:cs="仿宋"/>
          <w:i w:val="0"/>
          <w:iCs w:val="0"/>
          <w:caps w:val="0"/>
          <w:spacing w:val="7"/>
          <w:sz w:val="28"/>
          <w:szCs w:val="28"/>
          <w:shd w:val="clear" w:fill="FFFFFF"/>
          <w:lang w:val="en-US" w:eastAsia="zh-CN"/>
        </w:rPr>
        <w:t>0006884341132</w:t>
      </w:r>
    </w:p>
    <w:p w14:paraId="200D66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lang w:val="en-US" w:eastAsia="zh-CN"/>
        </w:rPr>
      </w:pPr>
      <w:r>
        <w:rPr>
          <w:rFonts w:hint="eastAsia" w:ascii="仿宋" w:hAnsi="仿宋" w:eastAsia="仿宋" w:cs="仿宋"/>
          <w:i w:val="0"/>
          <w:iCs w:val="0"/>
          <w:caps w:val="0"/>
          <w:spacing w:val="7"/>
          <w:sz w:val="28"/>
          <w:szCs w:val="28"/>
          <w:shd w:val="clear" w:fill="FFFFFF"/>
        </w:rPr>
        <w:t>法定代表人：</w:t>
      </w:r>
      <w:r>
        <w:rPr>
          <w:rFonts w:hint="eastAsia" w:ascii="仿宋" w:hAnsi="仿宋" w:eastAsia="仿宋" w:cs="仿宋"/>
          <w:i w:val="0"/>
          <w:iCs w:val="0"/>
          <w:caps w:val="0"/>
          <w:spacing w:val="7"/>
          <w:sz w:val="28"/>
          <w:szCs w:val="28"/>
          <w:shd w:val="clear" w:fill="FFFFFF"/>
          <w:lang w:val="en-US" w:eastAsia="zh-CN"/>
        </w:rPr>
        <w:t>李海</w:t>
      </w:r>
    </w:p>
    <w:p w14:paraId="21F30F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成立日期：20</w:t>
      </w:r>
      <w:r>
        <w:rPr>
          <w:rFonts w:hint="eastAsia" w:ascii="仿宋" w:hAnsi="仿宋" w:eastAsia="仿宋" w:cs="仿宋"/>
          <w:i w:val="0"/>
          <w:iCs w:val="0"/>
          <w:caps w:val="0"/>
          <w:spacing w:val="7"/>
          <w:sz w:val="28"/>
          <w:szCs w:val="28"/>
          <w:shd w:val="clear" w:fill="FFFFFF"/>
          <w:lang w:val="en-US" w:eastAsia="zh-CN"/>
        </w:rPr>
        <w:t>09</w:t>
      </w:r>
      <w:r>
        <w:rPr>
          <w:rFonts w:hint="eastAsia" w:ascii="仿宋" w:hAnsi="仿宋" w:eastAsia="仿宋" w:cs="仿宋"/>
          <w:i w:val="0"/>
          <w:iCs w:val="0"/>
          <w:caps w:val="0"/>
          <w:spacing w:val="7"/>
          <w:sz w:val="28"/>
          <w:szCs w:val="28"/>
          <w:shd w:val="clear" w:fill="FFFFFF"/>
        </w:rPr>
        <w:t>年</w:t>
      </w:r>
      <w:r>
        <w:rPr>
          <w:rFonts w:hint="eastAsia" w:ascii="仿宋" w:hAnsi="仿宋" w:eastAsia="仿宋" w:cs="仿宋"/>
          <w:i w:val="0"/>
          <w:iCs w:val="0"/>
          <w:caps w:val="0"/>
          <w:spacing w:val="7"/>
          <w:sz w:val="28"/>
          <w:szCs w:val="28"/>
          <w:shd w:val="clear" w:fill="FFFFFF"/>
          <w:lang w:val="en-US" w:eastAsia="zh-CN"/>
        </w:rPr>
        <w:t>2</w:t>
      </w:r>
      <w:r>
        <w:rPr>
          <w:rFonts w:hint="eastAsia" w:ascii="仿宋" w:hAnsi="仿宋" w:eastAsia="仿宋" w:cs="仿宋"/>
          <w:i w:val="0"/>
          <w:iCs w:val="0"/>
          <w:caps w:val="0"/>
          <w:spacing w:val="7"/>
          <w:sz w:val="28"/>
          <w:szCs w:val="28"/>
          <w:shd w:val="clear" w:fill="FFFFFF"/>
        </w:rPr>
        <w:t>月2</w:t>
      </w:r>
      <w:r>
        <w:rPr>
          <w:rFonts w:hint="eastAsia" w:ascii="仿宋" w:hAnsi="仿宋" w:eastAsia="仿宋" w:cs="仿宋"/>
          <w:i w:val="0"/>
          <w:iCs w:val="0"/>
          <w:caps w:val="0"/>
          <w:spacing w:val="7"/>
          <w:sz w:val="28"/>
          <w:szCs w:val="28"/>
          <w:shd w:val="clear" w:fill="FFFFFF"/>
          <w:lang w:val="en-US" w:eastAsia="zh-CN"/>
        </w:rPr>
        <w:t>5</w:t>
      </w:r>
      <w:r>
        <w:rPr>
          <w:rFonts w:hint="eastAsia" w:ascii="仿宋" w:hAnsi="仿宋" w:eastAsia="仿宋" w:cs="仿宋"/>
          <w:i w:val="0"/>
          <w:iCs w:val="0"/>
          <w:caps w:val="0"/>
          <w:spacing w:val="7"/>
          <w:sz w:val="28"/>
          <w:szCs w:val="28"/>
          <w:shd w:val="clear" w:fill="FFFFFF"/>
        </w:rPr>
        <w:t>日</w:t>
      </w:r>
    </w:p>
    <w:p w14:paraId="2DF579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注册资本：</w:t>
      </w:r>
      <w:r>
        <w:rPr>
          <w:rFonts w:hint="eastAsia" w:ascii="仿宋" w:hAnsi="仿宋" w:eastAsia="仿宋" w:cs="仿宋"/>
          <w:i w:val="0"/>
          <w:iCs w:val="0"/>
          <w:caps w:val="0"/>
          <w:spacing w:val="7"/>
          <w:sz w:val="28"/>
          <w:szCs w:val="28"/>
          <w:shd w:val="clear" w:fill="FFFFFF"/>
          <w:lang w:val="en-US" w:eastAsia="zh-CN"/>
        </w:rPr>
        <w:t>13000</w:t>
      </w:r>
      <w:r>
        <w:rPr>
          <w:rFonts w:hint="eastAsia" w:ascii="仿宋" w:hAnsi="仿宋" w:eastAsia="仿宋" w:cs="仿宋"/>
          <w:i w:val="0"/>
          <w:iCs w:val="0"/>
          <w:caps w:val="0"/>
          <w:spacing w:val="7"/>
          <w:sz w:val="28"/>
          <w:szCs w:val="28"/>
          <w:shd w:val="clear" w:fill="FFFFFF"/>
        </w:rPr>
        <w:t>万元人民币</w:t>
      </w:r>
    </w:p>
    <w:p w14:paraId="0170D4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登记机关：</w:t>
      </w:r>
      <w:r>
        <w:rPr>
          <w:rFonts w:hint="eastAsia" w:ascii="仿宋" w:hAnsi="仿宋" w:eastAsia="仿宋" w:cs="仿宋"/>
          <w:i w:val="0"/>
          <w:iCs w:val="0"/>
          <w:caps w:val="0"/>
          <w:spacing w:val="7"/>
          <w:sz w:val="28"/>
          <w:szCs w:val="28"/>
          <w:shd w:val="clear" w:fill="FFFFFF"/>
          <w:lang w:val="en-US" w:eastAsia="zh-CN"/>
        </w:rPr>
        <w:t>贵州省</w:t>
      </w:r>
      <w:r>
        <w:rPr>
          <w:rFonts w:hint="eastAsia" w:ascii="仿宋" w:hAnsi="仿宋" w:eastAsia="仿宋" w:cs="仿宋"/>
          <w:i w:val="0"/>
          <w:iCs w:val="0"/>
          <w:caps w:val="0"/>
          <w:spacing w:val="7"/>
          <w:sz w:val="28"/>
          <w:szCs w:val="28"/>
          <w:shd w:val="clear" w:fill="FFFFFF"/>
        </w:rPr>
        <w:t>市场监督管理局</w:t>
      </w:r>
    </w:p>
    <w:p w14:paraId="443C7A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i w:val="0"/>
          <w:iCs w:val="0"/>
          <w:caps w:val="0"/>
          <w:spacing w:val="7"/>
          <w:sz w:val="28"/>
          <w:szCs w:val="28"/>
          <w:shd w:val="clear" w:fill="FFFFFF"/>
          <w:lang w:val="en-US" w:eastAsia="zh-CN"/>
        </w:rPr>
      </w:pPr>
      <w:r>
        <w:rPr>
          <w:rFonts w:hint="eastAsia" w:ascii="仿宋" w:hAnsi="仿宋" w:eastAsia="仿宋" w:cs="仿宋"/>
          <w:i w:val="0"/>
          <w:iCs w:val="0"/>
          <w:caps w:val="0"/>
          <w:spacing w:val="7"/>
          <w:sz w:val="28"/>
          <w:szCs w:val="28"/>
          <w:shd w:val="clear" w:fill="FFFFFF"/>
        </w:rPr>
        <w:t>注册地址：贵州省贵阳市</w:t>
      </w:r>
      <w:r>
        <w:rPr>
          <w:rFonts w:hint="eastAsia" w:ascii="仿宋" w:hAnsi="仿宋" w:eastAsia="仿宋" w:cs="仿宋"/>
          <w:i w:val="0"/>
          <w:iCs w:val="0"/>
          <w:caps w:val="0"/>
          <w:spacing w:val="7"/>
          <w:sz w:val="28"/>
          <w:szCs w:val="28"/>
          <w:shd w:val="clear" w:fill="FFFFFF"/>
          <w:lang w:val="en-US" w:eastAsia="zh-CN"/>
        </w:rPr>
        <w:t>南明区新华路9号。</w:t>
      </w:r>
    </w:p>
    <w:p w14:paraId="2A90C3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i w:val="0"/>
          <w:iCs w:val="0"/>
          <w:caps w:val="0"/>
          <w:spacing w:val="7"/>
          <w:sz w:val="28"/>
          <w:szCs w:val="28"/>
          <w:shd w:val="clear" w:fill="FFFFFF"/>
          <w:lang w:val="en-US" w:eastAsia="zh-CN"/>
        </w:rPr>
      </w:pPr>
      <w:r>
        <w:rPr>
          <w:rFonts w:hint="eastAsia" w:ascii="仿宋" w:hAnsi="仿宋" w:eastAsia="仿宋" w:cs="仿宋"/>
          <w:i w:val="0"/>
          <w:iCs w:val="0"/>
          <w:caps w:val="0"/>
          <w:spacing w:val="7"/>
          <w:sz w:val="28"/>
          <w:szCs w:val="28"/>
          <w:shd w:val="clear" w:fill="FFFFFF"/>
        </w:rPr>
        <w:t>经营业务范围：法律、法规、国务院决定规定禁止的不得经营；法律、法规、国务院决定规定应当许可（审批）的，经审批机关批准后凭许可（审批）文件经营;法律、法规、国务院决定规定无需许可（审批）的，市场主体自主选择经营。</w:t>
      </w:r>
      <w:r>
        <w:rPr>
          <w:rFonts w:hint="eastAsia" w:ascii="仿宋" w:hAnsi="仿宋" w:eastAsia="仿宋" w:cs="仿宋"/>
          <w:i w:val="0"/>
          <w:iCs w:val="0"/>
          <w:caps w:val="0"/>
          <w:spacing w:val="7"/>
          <w:sz w:val="28"/>
          <w:szCs w:val="28"/>
          <w:shd w:val="clear" w:fill="FFFFFF"/>
          <w:lang w:val="en-US" w:eastAsia="zh-CN"/>
        </w:rPr>
        <w:t>煤矿投资；非金融性投资；煤矿经营；矿井设备安装；销售：燃料油（不含成品油）、化工产品（危险品除外）、地点设备、润滑油；批零兼营预包装食品、有色金属；设备租赁；技术咨询及服务；进出口贸易；建材销售。</w:t>
      </w:r>
    </w:p>
    <w:p w14:paraId="289045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40" w:firstLineChars="217"/>
        <w:jc w:val="both"/>
        <w:textAlignment w:val="auto"/>
        <w:rPr>
          <w:rFonts w:hint="eastAsia" w:ascii="仿宋" w:hAnsi="仿宋" w:eastAsia="仿宋" w:cs="仿宋"/>
          <w:sz w:val="28"/>
          <w:szCs w:val="28"/>
        </w:rPr>
      </w:pPr>
      <w:r>
        <w:rPr>
          <w:rStyle w:val="8"/>
          <w:rFonts w:hint="eastAsia" w:ascii="仿宋" w:hAnsi="仿宋" w:eastAsia="仿宋" w:cs="仿宋"/>
          <w:i w:val="0"/>
          <w:iCs w:val="0"/>
          <w:caps w:val="0"/>
          <w:spacing w:val="7"/>
          <w:sz w:val="28"/>
          <w:szCs w:val="28"/>
          <w:shd w:val="clear" w:fill="FFFFFF"/>
        </w:rPr>
        <w:t>（二）公司运营、资产情况</w:t>
      </w:r>
    </w:p>
    <w:p w14:paraId="78120B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公司名下主要资产为其应收债权、</w:t>
      </w:r>
      <w:r>
        <w:rPr>
          <w:rFonts w:hint="eastAsia" w:ascii="仿宋" w:hAnsi="仿宋" w:eastAsia="仿宋" w:cs="仿宋"/>
          <w:i w:val="0"/>
          <w:iCs w:val="0"/>
          <w:caps w:val="0"/>
          <w:spacing w:val="7"/>
          <w:sz w:val="28"/>
          <w:szCs w:val="28"/>
          <w:shd w:val="clear" w:fill="FFFFFF"/>
          <w:lang w:val="en-US" w:eastAsia="zh-CN"/>
        </w:rPr>
        <w:t>股权</w:t>
      </w:r>
      <w:r>
        <w:rPr>
          <w:rFonts w:hint="eastAsia" w:ascii="仿宋" w:hAnsi="仿宋" w:eastAsia="仿宋" w:cs="仿宋"/>
          <w:i w:val="0"/>
          <w:iCs w:val="0"/>
          <w:caps w:val="0"/>
          <w:spacing w:val="7"/>
          <w:sz w:val="28"/>
          <w:szCs w:val="28"/>
          <w:shd w:val="clear" w:fill="FFFFFF"/>
        </w:rPr>
        <w:t>及</w:t>
      </w:r>
      <w:r>
        <w:rPr>
          <w:rFonts w:hint="eastAsia" w:ascii="仿宋" w:hAnsi="仿宋" w:eastAsia="仿宋" w:cs="仿宋"/>
          <w:i w:val="0"/>
          <w:iCs w:val="0"/>
          <w:caps w:val="0"/>
          <w:spacing w:val="7"/>
          <w:sz w:val="28"/>
          <w:szCs w:val="28"/>
          <w:shd w:val="clear" w:fill="FFFFFF"/>
          <w:lang w:val="en-US" w:eastAsia="zh-CN"/>
        </w:rPr>
        <w:t>不动产</w:t>
      </w:r>
      <w:r>
        <w:rPr>
          <w:rFonts w:hint="eastAsia" w:ascii="仿宋" w:hAnsi="仿宋" w:eastAsia="仿宋" w:cs="仿宋"/>
          <w:i w:val="0"/>
          <w:iCs w:val="0"/>
          <w:caps w:val="0"/>
          <w:spacing w:val="7"/>
          <w:sz w:val="28"/>
          <w:szCs w:val="28"/>
          <w:shd w:val="clear" w:fill="FFFFFF"/>
        </w:rPr>
        <w:t>，公司已于202</w:t>
      </w:r>
      <w:r>
        <w:rPr>
          <w:rFonts w:hint="eastAsia" w:ascii="仿宋" w:hAnsi="仿宋" w:eastAsia="仿宋" w:cs="仿宋"/>
          <w:i w:val="0"/>
          <w:iCs w:val="0"/>
          <w:caps w:val="0"/>
          <w:spacing w:val="7"/>
          <w:sz w:val="28"/>
          <w:szCs w:val="28"/>
          <w:shd w:val="clear" w:fill="FFFFFF"/>
          <w:lang w:val="en-US" w:eastAsia="zh-CN"/>
        </w:rPr>
        <w:t>0</w:t>
      </w:r>
      <w:r>
        <w:rPr>
          <w:rFonts w:hint="eastAsia" w:ascii="仿宋" w:hAnsi="仿宋" w:eastAsia="仿宋" w:cs="仿宋"/>
          <w:i w:val="0"/>
          <w:iCs w:val="0"/>
          <w:caps w:val="0"/>
          <w:spacing w:val="7"/>
          <w:sz w:val="28"/>
          <w:szCs w:val="28"/>
          <w:shd w:val="clear" w:fill="FFFFFF"/>
        </w:rPr>
        <w:t>年</w:t>
      </w:r>
      <w:r>
        <w:rPr>
          <w:rFonts w:hint="eastAsia" w:ascii="仿宋" w:hAnsi="仿宋" w:eastAsia="仿宋" w:cs="仿宋"/>
          <w:i w:val="0"/>
          <w:iCs w:val="0"/>
          <w:caps w:val="0"/>
          <w:spacing w:val="7"/>
          <w:sz w:val="28"/>
          <w:szCs w:val="28"/>
          <w:shd w:val="clear" w:fill="FFFFFF"/>
          <w:lang w:val="en-US" w:eastAsia="zh-CN"/>
        </w:rPr>
        <w:t>1</w:t>
      </w:r>
      <w:r>
        <w:rPr>
          <w:rFonts w:hint="eastAsia" w:ascii="仿宋" w:hAnsi="仿宋" w:eastAsia="仿宋" w:cs="仿宋"/>
          <w:i w:val="0"/>
          <w:iCs w:val="0"/>
          <w:caps w:val="0"/>
          <w:spacing w:val="7"/>
          <w:sz w:val="28"/>
          <w:szCs w:val="28"/>
          <w:shd w:val="clear" w:fill="FFFFFF"/>
        </w:rPr>
        <w:t>2月停止经营。</w:t>
      </w:r>
    </w:p>
    <w:p w14:paraId="3B5660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40" w:firstLineChars="217"/>
        <w:jc w:val="both"/>
        <w:textAlignment w:val="auto"/>
        <w:rPr>
          <w:rFonts w:hint="eastAsia" w:ascii="仿宋" w:hAnsi="仿宋" w:eastAsia="仿宋" w:cs="仿宋"/>
          <w:sz w:val="28"/>
          <w:szCs w:val="28"/>
        </w:rPr>
      </w:pPr>
      <w:r>
        <w:rPr>
          <w:rStyle w:val="8"/>
          <w:rFonts w:hint="eastAsia" w:ascii="仿宋" w:hAnsi="仿宋" w:eastAsia="仿宋" w:cs="仿宋"/>
          <w:i w:val="0"/>
          <w:iCs w:val="0"/>
          <w:caps w:val="0"/>
          <w:spacing w:val="7"/>
          <w:sz w:val="28"/>
          <w:szCs w:val="28"/>
          <w:shd w:val="clear" w:fill="FFFFFF"/>
        </w:rPr>
        <w:t>二、评审方式</w:t>
      </w:r>
    </w:p>
    <w:p w14:paraId="1C7138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40" w:firstLineChars="217"/>
        <w:jc w:val="both"/>
        <w:textAlignment w:val="auto"/>
        <w:rPr>
          <w:rFonts w:hint="eastAsia" w:ascii="仿宋" w:hAnsi="仿宋" w:eastAsia="仿宋" w:cs="仿宋"/>
          <w:sz w:val="28"/>
          <w:szCs w:val="28"/>
        </w:rPr>
      </w:pPr>
      <w:r>
        <w:rPr>
          <w:rStyle w:val="8"/>
          <w:rFonts w:hint="eastAsia" w:ascii="仿宋" w:hAnsi="仿宋" w:eastAsia="仿宋" w:cs="仿宋"/>
          <w:i w:val="0"/>
          <w:iCs w:val="0"/>
          <w:caps w:val="0"/>
          <w:spacing w:val="7"/>
          <w:sz w:val="28"/>
          <w:szCs w:val="28"/>
          <w:shd w:val="clear" w:fill="FFFFFF"/>
        </w:rPr>
        <w:t>（一）报名</w:t>
      </w:r>
    </w:p>
    <w:p w14:paraId="1B7C29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符合报名条件的有意向竞争者，应在2025年1</w:t>
      </w:r>
      <w:r>
        <w:rPr>
          <w:rFonts w:hint="eastAsia" w:ascii="仿宋" w:hAnsi="仿宋" w:eastAsia="仿宋" w:cs="仿宋"/>
          <w:i w:val="0"/>
          <w:iCs w:val="0"/>
          <w:caps w:val="0"/>
          <w:spacing w:val="7"/>
          <w:sz w:val="28"/>
          <w:szCs w:val="28"/>
          <w:shd w:val="clear" w:fill="FFFFFF"/>
          <w:lang w:val="en-US" w:eastAsia="zh-CN"/>
        </w:rPr>
        <w:t>1</w:t>
      </w:r>
      <w:r>
        <w:rPr>
          <w:rFonts w:hint="eastAsia" w:ascii="仿宋" w:hAnsi="仿宋" w:eastAsia="仿宋" w:cs="仿宋"/>
          <w:i w:val="0"/>
          <w:iCs w:val="0"/>
          <w:caps w:val="0"/>
          <w:spacing w:val="7"/>
          <w:sz w:val="28"/>
          <w:szCs w:val="28"/>
          <w:shd w:val="clear" w:fill="FFFFFF"/>
        </w:rPr>
        <w:t>月</w:t>
      </w:r>
      <w:r>
        <w:rPr>
          <w:rFonts w:hint="eastAsia" w:ascii="仿宋" w:hAnsi="仿宋" w:eastAsia="仿宋" w:cs="仿宋"/>
          <w:i w:val="0"/>
          <w:iCs w:val="0"/>
          <w:caps w:val="0"/>
          <w:spacing w:val="7"/>
          <w:sz w:val="28"/>
          <w:szCs w:val="28"/>
          <w:shd w:val="clear" w:fill="FFFFFF"/>
          <w:lang w:val="en-US" w:eastAsia="zh-CN"/>
        </w:rPr>
        <w:t>14</w:t>
      </w:r>
      <w:r>
        <w:rPr>
          <w:rFonts w:hint="eastAsia" w:ascii="仿宋" w:hAnsi="仿宋" w:eastAsia="仿宋" w:cs="仿宋"/>
          <w:i w:val="0"/>
          <w:iCs w:val="0"/>
          <w:caps w:val="0"/>
          <w:spacing w:val="7"/>
          <w:sz w:val="28"/>
          <w:szCs w:val="28"/>
          <w:shd w:val="clear" w:fill="FFFFFF"/>
        </w:rPr>
        <w:t>日17:00前向管理人报名并提交书面资料（联系人：</w:t>
      </w:r>
      <w:r>
        <w:rPr>
          <w:rFonts w:hint="eastAsia" w:ascii="仿宋" w:hAnsi="仿宋" w:eastAsia="仿宋" w:cs="仿宋"/>
          <w:i w:val="0"/>
          <w:iCs w:val="0"/>
          <w:caps w:val="0"/>
          <w:spacing w:val="7"/>
          <w:sz w:val="28"/>
          <w:szCs w:val="28"/>
          <w:shd w:val="clear" w:fill="FFFFFF"/>
          <w:lang w:val="en-US" w:eastAsia="zh-CN"/>
        </w:rPr>
        <w:t>王</w:t>
      </w:r>
      <w:r>
        <w:rPr>
          <w:rFonts w:hint="eastAsia" w:ascii="仿宋" w:hAnsi="仿宋" w:eastAsia="仿宋" w:cs="仿宋"/>
          <w:i w:val="0"/>
          <w:iCs w:val="0"/>
          <w:caps w:val="0"/>
          <w:spacing w:val="7"/>
          <w:sz w:val="28"/>
          <w:szCs w:val="28"/>
          <w:shd w:val="clear" w:fill="FFFFFF"/>
        </w:rPr>
        <w:t>律师，联系电话：</w:t>
      </w:r>
      <w:r>
        <w:rPr>
          <w:rFonts w:hint="eastAsia" w:ascii="仿宋" w:hAnsi="仿宋" w:eastAsia="仿宋" w:cs="仿宋"/>
          <w:i w:val="0"/>
          <w:iCs w:val="0"/>
          <w:caps w:val="0"/>
          <w:spacing w:val="7"/>
          <w:sz w:val="28"/>
          <w:szCs w:val="28"/>
          <w:shd w:val="clear" w:fill="FFFFFF"/>
          <w:lang w:val="en-US" w:eastAsia="zh-CN"/>
        </w:rPr>
        <w:t>18585195563</w:t>
      </w:r>
      <w:r>
        <w:rPr>
          <w:rFonts w:hint="eastAsia" w:ascii="仿宋" w:hAnsi="仿宋" w:eastAsia="仿宋" w:cs="仿宋"/>
          <w:i w:val="0"/>
          <w:iCs w:val="0"/>
          <w:caps w:val="0"/>
          <w:spacing w:val="7"/>
          <w:sz w:val="28"/>
          <w:szCs w:val="28"/>
          <w:shd w:val="clear" w:fill="FFFFFF"/>
        </w:rPr>
        <w:t>，报名及联系地址：贵州省贵阳市</w:t>
      </w:r>
      <w:r>
        <w:rPr>
          <w:rFonts w:hint="eastAsia" w:ascii="仿宋" w:hAnsi="仿宋" w:eastAsia="仿宋" w:cs="仿宋"/>
          <w:i w:val="0"/>
          <w:iCs w:val="0"/>
          <w:caps w:val="0"/>
          <w:spacing w:val="7"/>
          <w:sz w:val="28"/>
          <w:szCs w:val="28"/>
          <w:shd w:val="clear" w:fill="FFFFFF"/>
          <w:lang w:val="en-US" w:eastAsia="zh-CN"/>
        </w:rPr>
        <w:t>云岩区中华北路众厦大楼29-3号</w:t>
      </w:r>
      <w:r>
        <w:rPr>
          <w:rFonts w:hint="eastAsia" w:ascii="仿宋" w:hAnsi="仿宋" w:eastAsia="仿宋" w:cs="仿宋"/>
          <w:i w:val="0"/>
          <w:iCs w:val="0"/>
          <w:caps w:val="0"/>
          <w:spacing w:val="7"/>
          <w:sz w:val="28"/>
          <w:szCs w:val="28"/>
          <w:shd w:val="clear" w:fill="FFFFFF"/>
        </w:rPr>
        <w:t>）。以邮寄方式提交资料的，应在上述时间内送达管理人，逾期未送达管理人的，视为未报名。管理人在报名现场对报名者资格进行初步审查，不符合报名条件的不接收其资料。对初审结果有异议者，可在2个工作日内向贵阳市中级人民法院提出书面异议。</w:t>
      </w:r>
    </w:p>
    <w:p w14:paraId="67A82B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40" w:firstLineChars="217"/>
        <w:jc w:val="both"/>
        <w:textAlignment w:val="auto"/>
        <w:rPr>
          <w:rFonts w:hint="eastAsia" w:ascii="仿宋" w:hAnsi="仿宋" w:eastAsia="仿宋" w:cs="仿宋"/>
          <w:sz w:val="28"/>
          <w:szCs w:val="28"/>
        </w:rPr>
      </w:pPr>
      <w:r>
        <w:rPr>
          <w:rStyle w:val="8"/>
          <w:rFonts w:hint="eastAsia" w:ascii="仿宋" w:hAnsi="仿宋" w:eastAsia="仿宋" w:cs="仿宋"/>
          <w:i w:val="0"/>
          <w:iCs w:val="0"/>
          <w:caps w:val="0"/>
          <w:spacing w:val="7"/>
          <w:sz w:val="28"/>
          <w:szCs w:val="28"/>
          <w:shd w:val="clear" w:fill="FFFFFF"/>
        </w:rPr>
        <w:t>（二）评分机制</w:t>
      </w:r>
    </w:p>
    <w:p w14:paraId="70C558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经审查合格的报名竞争者，如超过3家的，由贵阳市中级人民法院摇号确定3家后，管理人根据机构实力、业绩、报价进行综合评定，确定中选机构和备选机构；经审查合格的报名竞争者数量等于或小于3家的，由管理人根据机构实力、业绩、报价进行综合评定，确定中选机构和备选机构。</w:t>
      </w:r>
    </w:p>
    <w:p w14:paraId="4AF796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40" w:firstLineChars="217"/>
        <w:jc w:val="both"/>
        <w:textAlignment w:val="auto"/>
        <w:rPr>
          <w:rFonts w:hint="eastAsia" w:ascii="仿宋" w:hAnsi="仿宋" w:eastAsia="仿宋" w:cs="仿宋"/>
          <w:sz w:val="28"/>
          <w:szCs w:val="28"/>
        </w:rPr>
      </w:pPr>
      <w:r>
        <w:rPr>
          <w:rStyle w:val="8"/>
          <w:rFonts w:hint="eastAsia" w:ascii="仿宋" w:hAnsi="仿宋" w:eastAsia="仿宋" w:cs="仿宋"/>
          <w:i w:val="0"/>
          <w:iCs w:val="0"/>
          <w:caps w:val="0"/>
          <w:spacing w:val="7"/>
          <w:sz w:val="28"/>
          <w:szCs w:val="28"/>
          <w:shd w:val="clear" w:fill="FFFFFF"/>
        </w:rPr>
        <w:t>（三）获选机构的确定</w:t>
      </w:r>
    </w:p>
    <w:p w14:paraId="516565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管理人确定中选机构和备选机构后，将报贵阳市中级人民法院许可，在许可后由管理人与获选机构签订审计业务约定书或评估合同。</w:t>
      </w:r>
    </w:p>
    <w:p w14:paraId="0244DA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40" w:firstLineChars="217"/>
        <w:jc w:val="both"/>
        <w:textAlignment w:val="auto"/>
        <w:rPr>
          <w:rFonts w:hint="eastAsia" w:ascii="仿宋" w:hAnsi="仿宋" w:eastAsia="仿宋" w:cs="仿宋"/>
          <w:sz w:val="28"/>
          <w:szCs w:val="28"/>
        </w:rPr>
      </w:pPr>
      <w:r>
        <w:rPr>
          <w:rStyle w:val="8"/>
          <w:rFonts w:hint="eastAsia" w:ascii="仿宋" w:hAnsi="仿宋" w:eastAsia="仿宋" w:cs="仿宋"/>
          <w:i w:val="0"/>
          <w:iCs w:val="0"/>
          <w:caps w:val="0"/>
          <w:spacing w:val="7"/>
          <w:sz w:val="28"/>
          <w:szCs w:val="28"/>
          <w:shd w:val="clear" w:fill="FFFFFF"/>
        </w:rPr>
        <w:t>三、审计工作内容</w:t>
      </w:r>
    </w:p>
    <w:p w14:paraId="51E71F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1.对</w:t>
      </w:r>
      <w:r>
        <w:rPr>
          <w:rFonts w:hint="eastAsia" w:ascii="仿宋" w:hAnsi="仿宋" w:eastAsia="仿宋" w:cs="仿宋"/>
          <w:i w:val="0"/>
          <w:iCs w:val="0"/>
          <w:caps w:val="0"/>
          <w:spacing w:val="7"/>
          <w:sz w:val="28"/>
          <w:szCs w:val="28"/>
          <w:shd w:val="clear" w:fill="FFFFFF"/>
          <w:lang w:val="en-US" w:eastAsia="zh-CN"/>
        </w:rPr>
        <w:t>华黔</w:t>
      </w:r>
      <w:r>
        <w:rPr>
          <w:rFonts w:hint="eastAsia" w:ascii="仿宋" w:hAnsi="仿宋" w:eastAsia="仿宋" w:cs="仿宋"/>
          <w:i w:val="0"/>
          <w:iCs w:val="0"/>
          <w:caps w:val="0"/>
          <w:spacing w:val="7"/>
          <w:sz w:val="28"/>
          <w:szCs w:val="28"/>
          <w:shd w:val="clear" w:fill="FFFFFF"/>
        </w:rPr>
        <w:t>公司</w:t>
      </w:r>
      <w:r>
        <w:rPr>
          <w:rFonts w:hint="eastAsia" w:ascii="仿宋" w:hAnsi="仿宋" w:eastAsia="仿宋" w:cs="仿宋"/>
          <w:i w:val="0"/>
          <w:iCs w:val="0"/>
          <w:caps w:val="0"/>
          <w:spacing w:val="7"/>
          <w:sz w:val="28"/>
          <w:szCs w:val="28"/>
          <w:shd w:val="clear" w:fill="FFFFFF"/>
          <w:lang w:val="en-US" w:eastAsia="zh-CN"/>
        </w:rPr>
        <w:t>成立之日起</w:t>
      </w:r>
      <w:r>
        <w:rPr>
          <w:rFonts w:hint="eastAsia" w:ascii="仿宋" w:hAnsi="仿宋" w:eastAsia="仿宋" w:cs="仿宋"/>
          <w:i w:val="0"/>
          <w:iCs w:val="0"/>
          <w:caps w:val="0"/>
          <w:spacing w:val="7"/>
          <w:sz w:val="28"/>
          <w:szCs w:val="28"/>
          <w:shd w:val="clear" w:fill="FFFFFF"/>
        </w:rPr>
        <w:t>至破产清算受理日2025年</w:t>
      </w:r>
      <w:r>
        <w:rPr>
          <w:rFonts w:hint="eastAsia" w:ascii="仿宋" w:hAnsi="仿宋" w:eastAsia="仿宋" w:cs="仿宋"/>
          <w:i w:val="0"/>
          <w:iCs w:val="0"/>
          <w:caps w:val="0"/>
          <w:spacing w:val="7"/>
          <w:sz w:val="28"/>
          <w:szCs w:val="28"/>
          <w:shd w:val="clear" w:fill="FFFFFF"/>
          <w:lang w:val="en-US" w:eastAsia="zh-CN"/>
        </w:rPr>
        <w:t>9</w:t>
      </w:r>
      <w:r>
        <w:rPr>
          <w:rFonts w:hint="eastAsia" w:ascii="仿宋" w:hAnsi="仿宋" w:eastAsia="仿宋" w:cs="仿宋"/>
          <w:i w:val="0"/>
          <w:iCs w:val="0"/>
          <w:caps w:val="0"/>
          <w:spacing w:val="7"/>
          <w:sz w:val="28"/>
          <w:szCs w:val="28"/>
          <w:shd w:val="clear" w:fill="FFFFFF"/>
        </w:rPr>
        <w:t>月</w:t>
      </w:r>
      <w:r>
        <w:rPr>
          <w:rFonts w:hint="eastAsia" w:ascii="仿宋" w:hAnsi="仿宋" w:eastAsia="仿宋" w:cs="仿宋"/>
          <w:i w:val="0"/>
          <w:iCs w:val="0"/>
          <w:caps w:val="0"/>
          <w:spacing w:val="7"/>
          <w:sz w:val="28"/>
          <w:szCs w:val="28"/>
          <w:shd w:val="clear" w:fill="FFFFFF"/>
          <w:lang w:val="en-US" w:eastAsia="zh-CN"/>
        </w:rPr>
        <w:t>25</w:t>
      </w:r>
      <w:r>
        <w:rPr>
          <w:rFonts w:hint="eastAsia" w:ascii="仿宋" w:hAnsi="仿宋" w:eastAsia="仿宋" w:cs="仿宋"/>
          <w:i w:val="0"/>
          <w:iCs w:val="0"/>
          <w:caps w:val="0"/>
          <w:spacing w:val="7"/>
          <w:sz w:val="28"/>
          <w:szCs w:val="28"/>
          <w:shd w:val="clear" w:fill="FFFFFF"/>
        </w:rPr>
        <w:t>日的资产、负债、股东权益，根据《中华人民共和国会计法》《中华人民共和国注册会计师法》《中国注册会计师审计准则》及相关准则规定独立、公正进行审计，出具资产负债专项清查审计报告。资产负债专项清查审计报告应包含但不限于以下审计内容：清产核资审计、注册资本缴付情况审计、可撤销事项审计、财务混同及关联交易审计、债权债务审计、董监高是否利用职权获取非正常收入或侵占债务人财产审计。</w:t>
      </w:r>
    </w:p>
    <w:p w14:paraId="2A396E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2.必要时按照管理人要求，对破产清算程序所需事项出具专项报告或鉴证文件。</w:t>
      </w:r>
    </w:p>
    <w:p w14:paraId="2ADA11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3.必要时为管理人提供财务会计专业知识咨询。</w:t>
      </w:r>
    </w:p>
    <w:p w14:paraId="619B7A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4.按管理人要求，获选机构应在确定中选后</w:t>
      </w:r>
      <w:r>
        <w:rPr>
          <w:rFonts w:hint="eastAsia" w:ascii="仿宋" w:hAnsi="仿宋" w:eastAsia="仿宋" w:cs="仿宋"/>
          <w:i w:val="0"/>
          <w:iCs w:val="0"/>
          <w:caps w:val="0"/>
          <w:spacing w:val="7"/>
          <w:sz w:val="28"/>
          <w:szCs w:val="28"/>
          <w:shd w:val="clear" w:fill="FFFFFF"/>
          <w:lang w:val="en-US" w:eastAsia="zh-CN"/>
        </w:rPr>
        <w:t>12</w:t>
      </w:r>
      <w:r>
        <w:rPr>
          <w:rFonts w:hint="eastAsia" w:ascii="仿宋" w:hAnsi="仿宋" w:eastAsia="仿宋" w:cs="仿宋"/>
          <w:i w:val="0"/>
          <w:iCs w:val="0"/>
          <w:caps w:val="0"/>
          <w:spacing w:val="7"/>
          <w:sz w:val="28"/>
          <w:szCs w:val="28"/>
          <w:shd w:val="clear" w:fill="FFFFFF"/>
        </w:rPr>
        <w:t>日内提交审计报告初稿。</w:t>
      </w:r>
    </w:p>
    <w:p w14:paraId="4BBF9B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5.特别说明，审计机构报名前可与管理人联系了解情况或至现场查看。如中选的审计机构以财务资料完整性欠缺或不具备审计条件不出具审计报告的，管理人有权拒绝支付任何费用。</w:t>
      </w:r>
    </w:p>
    <w:p w14:paraId="266C67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40" w:firstLineChars="217"/>
        <w:jc w:val="both"/>
        <w:textAlignment w:val="auto"/>
        <w:rPr>
          <w:rFonts w:hint="eastAsia" w:ascii="仿宋" w:hAnsi="仿宋" w:eastAsia="仿宋" w:cs="仿宋"/>
          <w:sz w:val="28"/>
          <w:szCs w:val="28"/>
        </w:rPr>
      </w:pPr>
      <w:r>
        <w:rPr>
          <w:rStyle w:val="8"/>
          <w:rFonts w:hint="eastAsia" w:ascii="仿宋" w:hAnsi="仿宋" w:eastAsia="仿宋" w:cs="仿宋"/>
          <w:i w:val="0"/>
          <w:iCs w:val="0"/>
          <w:caps w:val="0"/>
          <w:spacing w:val="7"/>
          <w:sz w:val="28"/>
          <w:szCs w:val="28"/>
          <w:shd w:val="clear" w:fill="FFFFFF"/>
        </w:rPr>
        <w:t>四、评估工作内容</w:t>
      </w:r>
    </w:p>
    <w:p w14:paraId="4AD2A9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1.为破产清算及资产处置所需，对</w:t>
      </w:r>
      <w:r>
        <w:rPr>
          <w:rFonts w:hint="eastAsia" w:ascii="仿宋" w:hAnsi="仿宋" w:eastAsia="仿宋" w:cs="仿宋"/>
          <w:i w:val="0"/>
          <w:iCs w:val="0"/>
          <w:caps w:val="0"/>
          <w:spacing w:val="7"/>
          <w:sz w:val="28"/>
          <w:szCs w:val="28"/>
          <w:shd w:val="clear" w:fill="FFFFFF"/>
          <w:lang w:val="en-US" w:eastAsia="zh-CN"/>
        </w:rPr>
        <w:t>华黔</w:t>
      </w:r>
      <w:r>
        <w:rPr>
          <w:rFonts w:hint="eastAsia" w:ascii="仿宋" w:hAnsi="仿宋" w:eastAsia="仿宋" w:cs="仿宋"/>
          <w:i w:val="0"/>
          <w:iCs w:val="0"/>
          <w:caps w:val="0"/>
          <w:spacing w:val="7"/>
          <w:sz w:val="28"/>
          <w:szCs w:val="28"/>
          <w:shd w:val="clear" w:fill="FFFFFF"/>
        </w:rPr>
        <w:t>公司的全部资产进行价值评估，资产范围包括但不限于固定资产、无形资产、机械设备、应收账款、其他流动资产等；</w:t>
      </w:r>
    </w:p>
    <w:p w14:paraId="01562D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2.根据管理人实际工作情况安排的其他相关工作；</w:t>
      </w:r>
    </w:p>
    <w:p w14:paraId="2BEBC9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3.按管理人要求，获选机构应在确定中选后</w:t>
      </w:r>
      <w:r>
        <w:rPr>
          <w:rFonts w:hint="eastAsia" w:ascii="仿宋" w:hAnsi="仿宋" w:eastAsia="仿宋" w:cs="仿宋"/>
          <w:i w:val="0"/>
          <w:iCs w:val="0"/>
          <w:caps w:val="0"/>
          <w:spacing w:val="7"/>
          <w:sz w:val="28"/>
          <w:szCs w:val="28"/>
          <w:shd w:val="clear" w:fill="FFFFFF"/>
          <w:lang w:val="en-US" w:eastAsia="zh-CN"/>
        </w:rPr>
        <w:t>12</w:t>
      </w:r>
      <w:r>
        <w:rPr>
          <w:rFonts w:hint="eastAsia" w:ascii="仿宋" w:hAnsi="仿宋" w:eastAsia="仿宋" w:cs="仿宋"/>
          <w:i w:val="0"/>
          <w:iCs w:val="0"/>
          <w:caps w:val="0"/>
          <w:spacing w:val="7"/>
          <w:sz w:val="28"/>
          <w:szCs w:val="28"/>
          <w:shd w:val="clear" w:fill="FFFFFF"/>
        </w:rPr>
        <w:t>日内提交资产评估报告初稿。</w:t>
      </w:r>
    </w:p>
    <w:p w14:paraId="2D4594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40" w:firstLineChars="217"/>
        <w:jc w:val="both"/>
        <w:textAlignment w:val="auto"/>
        <w:rPr>
          <w:rFonts w:hint="eastAsia" w:ascii="仿宋" w:hAnsi="仿宋" w:eastAsia="仿宋" w:cs="仿宋"/>
          <w:sz w:val="28"/>
          <w:szCs w:val="28"/>
        </w:rPr>
      </w:pPr>
      <w:r>
        <w:rPr>
          <w:rStyle w:val="8"/>
          <w:rFonts w:hint="eastAsia" w:ascii="仿宋" w:hAnsi="仿宋" w:eastAsia="仿宋" w:cs="仿宋"/>
          <w:i w:val="0"/>
          <w:iCs w:val="0"/>
          <w:caps w:val="0"/>
          <w:spacing w:val="7"/>
          <w:sz w:val="28"/>
          <w:szCs w:val="28"/>
          <w:shd w:val="clear" w:fill="FFFFFF"/>
        </w:rPr>
        <w:t>五、参选机构资格条件</w:t>
      </w:r>
    </w:p>
    <w:p w14:paraId="60728D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1.依法设立，具有相应执业资质，近三年连续正常执业（成立不足三年的，从成立之日起计算），并通过上年度有关部门的年检；</w:t>
      </w:r>
    </w:p>
    <w:p w14:paraId="5CF02D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2.2022年7月29日以来，竞选机构没有受到行政处罚或刑事处罚；</w:t>
      </w:r>
    </w:p>
    <w:p w14:paraId="4CC433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3.现场工作负责人须有三年以上执业经历，近三年曾主导过企业的审计、评估事务。</w:t>
      </w:r>
    </w:p>
    <w:p w14:paraId="412AB1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40" w:firstLineChars="217"/>
        <w:jc w:val="both"/>
        <w:textAlignment w:val="auto"/>
        <w:rPr>
          <w:rFonts w:hint="eastAsia" w:ascii="仿宋" w:hAnsi="仿宋" w:eastAsia="仿宋" w:cs="仿宋"/>
          <w:sz w:val="28"/>
          <w:szCs w:val="28"/>
        </w:rPr>
      </w:pPr>
      <w:r>
        <w:rPr>
          <w:rStyle w:val="8"/>
          <w:rFonts w:hint="eastAsia" w:ascii="仿宋" w:hAnsi="仿宋" w:eastAsia="仿宋" w:cs="仿宋"/>
          <w:i w:val="0"/>
          <w:iCs w:val="0"/>
          <w:caps w:val="0"/>
          <w:spacing w:val="7"/>
          <w:sz w:val="28"/>
          <w:szCs w:val="28"/>
          <w:shd w:val="clear" w:fill="FFFFFF"/>
        </w:rPr>
        <w:t>六、需要提交的资料及要求</w:t>
      </w:r>
    </w:p>
    <w:p w14:paraId="368EC3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40" w:firstLineChars="217"/>
        <w:jc w:val="both"/>
        <w:textAlignment w:val="auto"/>
        <w:rPr>
          <w:rFonts w:hint="eastAsia" w:ascii="仿宋" w:hAnsi="仿宋" w:eastAsia="仿宋" w:cs="仿宋"/>
          <w:sz w:val="28"/>
          <w:szCs w:val="28"/>
        </w:rPr>
      </w:pPr>
      <w:r>
        <w:rPr>
          <w:rStyle w:val="8"/>
          <w:rFonts w:hint="eastAsia" w:ascii="仿宋" w:hAnsi="仿宋" w:eastAsia="仿宋" w:cs="仿宋"/>
          <w:i w:val="0"/>
          <w:iCs w:val="0"/>
          <w:caps w:val="0"/>
          <w:spacing w:val="7"/>
          <w:sz w:val="28"/>
          <w:szCs w:val="28"/>
          <w:shd w:val="clear" w:fill="FFFFFF"/>
        </w:rPr>
        <w:t>（一）竞选文件的编写</w:t>
      </w:r>
    </w:p>
    <w:p w14:paraId="4EF81C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1.竞选机构应仔细阅读公告的相关内容，按本公告的要求起草和提交竞选文件，并保证所提供的全部资料的真实性、准确性及完整性；</w:t>
      </w:r>
    </w:p>
    <w:p w14:paraId="0E65C4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2.竞选文件应装订成册且密封提交。封面及全部文件均加盖竞选机构公章并由法定代表人（负责人）或授权代理人签字，全部文件应一式三份进行提交；</w:t>
      </w:r>
    </w:p>
    <w:p w14:paraId="07732A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3.竞选文件相关内容的制定不得设置假设性前置条件。</w:t>
      </w:r>
    </w:p>
    <w:p w14:paraId="2FE589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40" w:firstLineChars="217"/>
        <w:jc w:val="both"/>
        <w:textAlignment w:val="auto"/>
        <w:rPr>
          <w:rFonts w:hint="eastAsia" w:ascii="仿宋" w:hAnsi="仿宋" w:eastAsia="仿宋" w:cs="仿宋"/>
          <w:sz w:val="28"/>
          <w:szCs w:val="28"/>
        </w:rPr>
      </w:pPr>
      <w:r>
        <w:rPr>
          <w:rStyle w:val="8"/>
          <w:rFonts w:hint="eastAsia" w:ascii="仿宋" w:hAnsi="仿宋" w:eastAsia="仿宋" w:cs="仿宋"/>
          <w:i w:val="0"/>
          <w:iCs w:val="0"/>
          <w:caps w:val="0"/>
          <w:spacing w:val="7"/>
          <w:sz w:val="28"/>
          <w:szCs w:val="28"/>
          <w:shd w:val="clear" w:fill="FFFFFF"/>
        </w:rPr>
        <w:t>（二）竞标文件的内容</w:t>
      </w:r>
    </w:p>
    <w:p w14:paraId="1D72FF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参与本次遴选工作的评估机构需按照如下清单提供材料，以备管理人遴选评定：</w:t>
      </w:r>
    </w:p>
    <w:p w14:paraId="2EB5C9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1.参加</w:t>
      </w:r>
      <w:r>
        <w:rPr>
          <w:rFonts w:hint="eastAsia" w:ascii="仿宋" w:hAnsi="仿宋" w:eastAsia="仿宋" w:cs="仿宋"/>
          <w:i w:val="0"/>
          <w:iCs w:val="0"/>
          <w:caps w:val="0"/>
          <w:spacing w:val="7"/>
          <w:sz w:val="28"/>
          <w:szCs w:val="28"/>
          <w:shd w:val="clear" w:fill="FFFFFF"/>
          <w:lang w:val="en-US" w:eastAsia="zh-CN"/>
        </w:rPr>
        <w:t>华黔</w:t>
      </w:r>
      <w:r>
        <w:rPr>
          <w:rFonts w:hint="eastAsia" w:ascii="仿宋" w:hAnsi="仿宋" w:eastAsia="仿宋" w:cs="仿宋"/>
          <w:i w:val="0"/>
          <w:iCs w:val="0"/>
          <w:caps w:val="0"/>
          <w:spacing w:val="7"/>
          <w:sz w:val="28"/>
          <w:szCs w:val="28"/>
          <w:shd w:val="clear" w:fill="FFFFFF"/>
        </w:rPr>
        <w:t>公司清算审计/评估工作的意向书（原件）。意向书中需包含自2022年7月29日以来，竞选机构没有受到行政处罚或刑事处罚的声明以及与管理人、债权人、债务人及相关人员不存在利害关系，或者其他可能影响公正判断的关系的声明；</w:t>
      </w:r>
    </w:p>
    <w:p w14:paraId="669324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2.在“意向书”后装订《评分表》。按照评分标准在自评内容一栏自行填报相关内容，以评分表中的全部项目为目录准备佐证资料，注明对应页码（评分表附后）；</w:t>
      </w:r>
    </w:p>
    <w:p w14:paraId="1AD3D1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3.主体资格介绍及相应证明材料（包括但不限于有效的机构注册证书、资质证书、营业执照复印件、年检记录）；</w:t>
      </w:r>
    </w:p>
    <w:p w14:paraId="1B4132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4.参与本项目的总负责人、主要人员名单及其相应的执业资格证书（复印件）；</w:t>
      </w:r>
    </w:p>
    <w:p w14:paraId="339A94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5.有关业绩资料；</w:t>
      </w:r>
    </w:p>
    <w:p w14:paraId="5D9C59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6.项目工作计划，包括但不限于本项目的工作计划和安排等、机构的基本情况、机构参与破产清算工作经验、项目现场负责人破产清算工作经验、项目团队人员组成，同时应包含对工作时间的承诺；</w:t>
      </w:r>
    </w:p>
    <w:p w14:paraId="3A1259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7.项目报价函（报价包含餐饮、住宿、差旅、税费等），评估报价还应包括资产评估有效期届满后重新出具评估报告的报价。</w:t>
      </w:r>
    </w:p>
    <w:p w14:paraId="222BEA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40" w:firstLineChars="217"/>
        <w:jc w:val="both"/>
        <w:textAlignment w:val="auto"/>
        <w:rPr>
          <w:rFonts w:hint="eastAsia" w:ascii="仿宋" w:hAnsi="仿宋" w:eastAsia="仿宋" w:cs="仿宋"/>
          <w:sz w:val="28"/>
          <w:szCs w:val="28"/>
        </w:rPr>
      </w:pPr>
      <w:r>
        <w:rPr>
          <w:rStyle w:val="8"/>
          <w:rFonts w:hint="eastAsia" w:ascii="仿宋" w:hAnsi="仿宋" w:eastAsia="仿宋" w:cs="仿宋"/>
          <w:i w:val="0"/>
          <w:iCs w:val="0"/>
          <w:caps w:val="0"/>
          <w:spacing w:val="7"/>
          <w:sz w:val="28"/>
          <w:szCs w:val="28"/>
          <w:shd w:val="clear" w:fill="FFFFFF"/>
        </w:rPr>
        <w:t>七、特别说明</w:t>
      </w:r>
    </w:p>
    <w:p w14:paraId="01BD3B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1.报名的竞选机构一经确认，不得拒绝与管理人签订委托合同，且应于管理人确定为获选机构后3日内与管理人签订委托合同；</w:t>
      </w:r>
    </w:p>
    <w:p w14:paraId="652874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2.由于本项目的特殊性，相应委托费用的支付可能存在迟延，竞选机构应充分考虑并提出报价。迟延付款在二个月以内的，不承担逾期付款违约责任且获选机构应按照承诺时间完成相应工作并提交审计/评估报告；同时，承诺在资产处置完成后收取委托费用的，管理人将优先考虑；</w:t>
      </w:r>
    </w:p>
    <w:p w14:paraId="39303A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3.由于破产项目的特殊性，如参选单位均不符合管理人的资质要求，或现场面谈时管理人认为竞选机构均不能胜任本次工作的，或管理人确定的机构未取得贵阳市中级人民法院许可，管理人有权不与参选单位中任何一家单位签订合同；</w:t>
      </w:r>
    </w:p>
    <w:p w14:paraId="76EA4E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4.有意向报名的机构可通过上述联系电话向管理人联系了解</w:t>
      </w:r>
      <w:r>
        <w:rPr>
          <w:rFonts w:hint="eastAsia" w:ascii="仿宋" w:hAnsi="仿宋" w:eastAsia="仿宋" w:cs="仿宋"/>
          <w:i w:val="0"/>
          <w:iCs w:val="0"/>
          <w:caps w:val="0"/>
          <w:spacing w:val="7"/>
          <w:sz w:val="28"/>
          <w:szCs w:val="28"/>
          <w:shd w:val="clear" w:fill="FFFFFF"/>
          <w:lang w:val="en-US" w:eastAsia="zh-CN"/>
        </w:rPr>
        <w:t>华黔</w:t>
      </w:r>
      <w:r>
        <w:rPr>
          <w:rFonts w:hint="eastAsia" w:ascii="仿宋" w:hAnsi="仿宋" w:eastAsia="仿宋" w:cs="仿宋"/>
          <w:i w:val="0"/>
          <w:iCs w:val="0"/>
          <w:caps w:val="0"/>
          <w:spacing w:val="7"/>
          <w:sz w:val="28"/>
          <w:szCs w:val="28"/>
          <w:shd w:val="clear" w:fill="FFFFFF"/>
        </w:rPr>
        <w:t>公司的初步情况，具体情况以管理人调查确认的书面文件为准；</w:t>
      </w:r>
    </w:p>
    <w:p w14:paraId="5FA310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5.竞选文件一经提交，无论是否中选，管理人均不予退回；未中选的竞选机构，管理人不另行通知；</w:t>
      </w:r>
    </w:p>
    <w:p w14:paraId="0CE0D2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6.竞选机构应确保实际开展工作的人员与竞选文件体现的项目成员一致；</w:t>
      </w:r>
    </w:p>
    <w:p w14:paraId="1C6F14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7.本公告的最终解释权归管理人所有。</w:t>
      </w:r>
    </w:p>
    <w:p w14:paraId="755480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637" w:firstLineChars="217"/>
        <w:jc w:val="both"/>
        <w:textAlignment w:val="auto"/>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rPr>
        <w:t>特此公告。</w:t>
      </w:r>
    </w:p>
    <w:p w14:paraId="48469C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仿宋" w:hAnsi="仿宋" w:eastAsia="仿宋" w:cs="仿宋"/>
          <w:sz w:val="28"/>
          <w:szCs w:val="28"/>
        </w:rPr>
      </w:pPr>
      <w:r>
        <w:rPr>
          <w:rFonts w:hint="eastAsia" w:ascii="仿宋" w:hAnsi="仿宋" w:eastAsia="仿宋" w:cs="仿宋"/>
          <w:i w:val="0"/>
          <w:iCs w:val="0"/>
          <w:caps w:val="0"/>
          <w:spacing w:val="7"/>
          <w:sz w:val="28"/>
          <w:szCs w:val="28"/>
          <w:shd w:val="clear" w:fill="FFFFFF"/>
          <w:lang w:val="en-US" w:eastAsia="zh-CN"/>
        </w:rPr>
        <w:t>贵州华黔能源</w:t>
      </w:r>
      <w:r>
        <w:rPr>
          <w:rFonts w:hint="eastAsia" w:ascii="仿宋" w:hAnsi="仿宋" w:eastAsia="仿宋" w:cs="仿宋"/>
          <w:i w:val="0"/>
          <w:iCs w:val="0"/>
          <w:caps w:val="0"/>
          <w:spacing w:val="7"/>
          <w:sz w:val="28"/>
          <w:szCs w:val="28"/>
          <w:shd w:val="clear" w:fill="FFFFFF"/>
        </w:rPr>
        <w:t>有限公司管理人</w:t>
      </w:r>
    </w:p>
    <w:p w14:paraId="705B20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二〇二五年十</w:t>
      </w:r>
      <w:r>
        <w:rPr>
          <w:rFonts w:hint="eastAsia" w:ascii="仿宋" w:hAnsi="仿宋" w:eastAsia="仿宋" w:cs="仿宋"/>
          <w:i w:val="0"/>
          <w:iCs w:val="0"/>
          <w:caps w:val="0"/>
          <w:spacing w:val="7"/>
          <w:sz w:val="28"/>
          <w:szCs w:val="28"/>
          <w:shd w:val="clear" w:fill="FFFFFF"/>
          <w:lang w:val="en-US" w:eastAsia="zh-CN"/>
        </w:rPr>
        <w:t>一</w:t>
      </w:r>
      <w:r>
        <w:rPr>
          <w:rFonts w:hint="eastAsia" w:ascii="仿宋" w:hAnsi="仿宋" w:eastAsia="仿宋" w:cs="仿宋"/>
          <w:i w:val="0"/>
          <w:iCs w:val="0"/>
          <w:caps w:val="0"/>
          <w:spacing w:val="7"/>
          <w:sz w:val="28"/>
          <w:szCs w:val="28"/>
          <w:shd w:val="clear" w:fill="FFFFFF"/>
        </w:rPr>
        <w:t>月</w:t>
      </w:r>
      <w:r>
        <w:rPr>
          <w:rFonts w:hint="eastAsia" w:ascii="仿宋" w:hAnsi="仿宋" w:eastAsia="仿宋" w:cs="仿宋"/>
          <w:i w:val="0"/>
          <w:iCs w:val="0"/>
          <w:caps w:val="0"/>
          <w:spacing w:val="7"/>
          <w:sz w:val="28"/>
          <w:szCs w:val="28"/>
          <w:shd w:val="clear" w:fill="FFFFFF"/>
          <w:lang w:val="en-US" w:eastAsia="zh-CN"/>
        </w:rPr>
        <w:t>五</w:t>
      </w:r>
      <w:r>
        <w:rPr>
          <w:rFonts w:hint="eastAsia" w:ascii="仿宋" w:hAnsi="仿宋" w:eastAsia="仿宋" w:cs="仿宋"/>
          <w:i w:val="0"/>
          <w:iCs w:val="0"/>
          <w:caps w:val="0"/>
          <w:spacing w:val="7"/>
          <w:sz w:val="28"/>
          <w:szCs w:val="28"/>
          <w:shd w:val="clear" w:fill="FFFFFF"/>
        </w:rPr>
        <w:t>日</w:t>
      </w:r>
    </w:p>
    <w:p w14:paraId="62BE94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bCs/>
          <w:i w:val="0"/>
          <w:iCs w:val="0"/>
          <w:caps w:val="0"/>
          <w:spacing w:val="7"/>
          <w:sz w:val="28"/>
          <w:szCs w:val="28"/>
          <w:shd w:val="clear" w:fill="FFFFFF"/>
          <w:lang w:val="en-US" w:eastAsia="zh-CN"/>
        </w:rPr>
      </w:pPr>
      <w:r>
        <w:rPr>
          <w:rFonts w:hint="eastAsia" w:ascii="仿宋" w:hAnsi="仿宋" w:eastAsia="仿宋" w:cs="仿宋"/>
          <w:b/>
          <w:bCs/>
          <w:i w:val="0"/>
          <w:iCs w:val="0"/>
          <w:caps w:val="0"/>
          <w:spacing w:val="7"/>
          <w:sz w:val="28"/>
          <w:szCs w:val="28"/>
          <w:shd w:val="clear" w:fill="FFFFFF"/>
          <w:lang w:val="en-US" w:eastAsia="zh-CN"/>
        </w:rPr>
        <w:t>附：评分表</w:t>
      </w:r>
    </w:p>
    <w:p w14:paraId="60D3B3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bCs/>
          <w:i w:val="0"/>
          <w:iCs w:val="0"/>
          <w:caps w:val="0"/>
          <w:spacing w:val="7"/>
          <w:sz w:val="28"/>
          <w:szCs w:val="28"/>
          <w:shd w:val="clear" w:fill="FFFFFF"/>
          <w:lang w:val="en-US" w:eastAsia="zh-CN"/>
        </w:rPr>
      </w:pPr>
    </w:p>
    <w:p w14:paraId="1F48A0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bCs/>
          <w:i w:val="0"/>
          <w:iCs w:val="0"/>
          <w:caps w:val="0"/>
          <w:spacing w:val="7"/>
          <w:sz w:val="28"/>
          <w:szCs w:val="28"/>
          <w:shd w:val="clear" w:fill="FFFFFF"/>
          <w:lang w:val="en-US" w:eastAsia="zh-CN"/>
        </w:rPr>
      </w:pPr>
    </w:p>
    <w:p w14:paraId="5D82A5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bCs/>
          <w:i w:val="0"/>
          <w:iCs w:val="0"/>
          <w:caps w:val="0"/>
          <w:spacing w:val="7"/>
          <w:sz w:val="28"/>
          <w:szCs w:val="28"/>
          <w:shd w:val="clear" w:fill="FFFFFF"/>
          <w:lang w:val="en-US" w:eastAsia="zh-CN"/>
        </w:rPr>
      </w:pPr>
    </w:p>
    <w:p w14:paraId="5C494E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bCs/>
          <w:i w:val="0"/>
          <w:iCs w:val="0"/>
          <w:caps w:val="0"/>
          <w:spacing w:val="7"/>
          <w:sz w:val="28"/>
          <w:szCs w:val="28"/>
          <w:shd w:val="clear" w:fill="FFFFFF"/>
          <w:lang w:val="en-US" w:eastAsia="zh-CN"/>
        </w:rPr>
      </w:pPr>
    </w:p>
    <w:p w14:paraId="52DDE7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bCs/>
          <w:i w:val="0"/>
          <w:iCs w:val="0"/>
          <w:caps w:val="0"/>
          <w:spacing w:val="7"/>
          <w:sz w:val="28"/>
          <w:szCs w:val="28"/>
          <w:shd w:val="clear" w:fill="FFFFFF"/>
          <w:lang w:val="en-US" w:eastAsia="zh-CN"/>
        </w:rPr>
      </w:pPr>
    </w:p>
    <w:p w14:paraId="71F08A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bCs/>
          <w:i w:val="0"/>
          <w:iCs w:val="0"/>
          <w:caps w:val="0"/>
          <w:spacing w:val="7"/>
          <w:sz w:val="28"/>
          <w:szCs w:val="28"/>
          <w:shd w:val="clear" w:fill="FFFFFF"/>
          <w:lang w:val="en-US" w:eastAsia="zh-CN"/>
        </w:rPr>
      </w:pPr>
    </w:p>
    <w:p w14:paraId="002E18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bCs/>
          <w:i w:val="0"/>
          <w:iCs w:val="0"/>
          <w:caps w:val="0"/>
          <w:spacing w:val="7"/>
          <w:sz w:val="28"/>
          <w:szCs w:val="28"/>
          <w:shd w:val="clear" w:fill="FFFFFF"/>
          <w:lang w:val="en-US" w:eastAsia="zh-CN"/>
        </w:rPr>
      </w:pPr>
    </w:p>
    <w:p w14:paraId="2FCD4F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bCs/>
          <w:i w:val="0"/>
          <w:iCs w:val="0"/>
          <w:caps w:val="0"/>
          <w:spacing w:val="7"/>
          <w:sz w:val="28"/>
          <w:szCs w:val="28"/>
          <w:shd w:val="clear" w:fill="FFFFFF"/>
          <w:lang w:val="en-US" w:eastAsia="zh-CN"/>
        </w:rPr>
      </w:pPr>
    </w:p>
    <w:p w14:paraId="4AE522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bCs/>
          <w:i w:val="0"/>
          <w:iCs w:val="0"/>
          <w:caps w:val="0"/>
          <w:spacing w:val="7"/>
          <w:sz w:val="28"/>
          <w:szCs w:val="28"/>
          <w:shd w:val="clear" w:fill="FFFFFF"/>
          <w:lang w:val="en-US" w:eastAsia="zh-CN"/>
        </w:rPr>
      </w:pPr>
    </w:p>
    <w:p w14:paraId="0E2CC4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bCs/>
          <w:i w:val="0"/>
          <w:iCs w:val="0"/>
          <w:caps w:val="0"/>
          <w:spacing w:val="7"/>
          <w:sz w:val="28"/>
          <w:szCs w:val="28"/>
          <w:shd w:val="clear" w:fill="FFFFFF"/>
          <w:lang w:val="en-US" w:eastAsia="zh-CN"/>
        </w:rPr>
      </w:pPr>
    </w:p>
    <w:p w14:paraId="0814C1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bCs/>
          <w:i w:val="0"/>
          <w:iCs w:val="0"/>
          <w:caps w:val="0"/>
          <w:spacing w:val="7"/>
          <w:sz w:val="28"/>
          <w:szCs w:val="28"/>
          <w:shd w:val="clear" w:fill="FFFFFF"/>
          <w:lang w:val="en-US" w:eastAsia="zh-CN"/>
        </w:rPr>
      </w:pPr>
    </w:p>
    <w:p w14:paraId="17CD09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bCs/>
          <w:i w:val="0"/>
          <w:iCs w:val="0"/>
          <w:caps w:val="0"/>
          <w:spacing w:val="7"/>
          <w:sz w:val="28"/>
          <w:szCs w:val="28"/>
          <w:shd w:val="clear" w:fill="FFFFFF"/>
          <w:lang w:val="en-US" w:eastAsia="zh-CN"/>
        </w:rPr>
      </w:pPr>
    </w:p>
    <w:p w14:paraId="4D070C0E">
      <w:pPr>
        <w:widowControl/>
        <w:spacing w:line="480" w:lineRule="exact"/>
        <w:ind w:firstLine="0" w:firstLineChars="0"/>
        <w:jc w:val="both"/>
        <w:textAlignment w:val="center"/>
        <w:rPr>
          <w:rFonts w:hint="eastAsia" w:ascii="宋体" w:hAnsi="宋体" w:eastAsia="宋体" w:cs="仿宋"/>
          <w:b/>
          <w:bCs/>
          <w:color w:val="000000"/>
          <w:kern w:val="0"/>
          <w:sz w:val="44"/>
          <w:szCs w:val="44"/>
          <w:lang w:eastAsia="zh-CN" w:bidi="ar"/>
        </w:rPr>
      </w:pPr>
    </w:p>
    <w:tbl>
      <w:tblPr>
        <w:tblStyle w:val="6"/>
        <w:tblW w:w="5000" w:type="pct"/>
        <w:tblInd w:w="0" w:type="dxa"/>
        <w:tblLayout w:type="autofit"/>
        <w:tblCellMar>
          <w:top w:w="15" w:type="dxa"/>
          <w:left w:w="15" w:type="dxa"/>
          <w:bottom w:w="15" w:type="dxa"/>
          <w:right w:w="15" w:type="dxa"/>
        </w:tblCellMar>
      </w:tblPr>
      <w:tblGrid>
        <w:gridCol w:w="394"/>
        <w:gridCol w:w="382"/>
        <w:gridCol w:w="894"/>
        <w:gridCol w:w="3418"/>
        <w:gridCol w:w="512"/>
        <w:gridCol w:w="1991"/>
        <w:gridCol w:w="745"/>
      </w:tblGrid>
      <w:tr w14:paraId="32ACA096">
        <w:tblPrEx>
          <w:tblCellMar>
            <w:top w:w="15" w:type="dxa"/>
            <w:left w:w="15" w:type="dxa"/>
            <w:bottom w:w="15" w:type="dxa"/>
            <w:right w:w="15" w:type="dxa"/>
          </w:tblCellMar>
        </w:tblPrEx>
        <w:trPr>
          <w:trHeight w:val="896" w:hRule="atLeast"/>
        </w:trPr>
        <w:tc>
          <w:tcPr>
            <w:tcW w:w="5000" w:type="pct"/>
            <w:gridSpan w:val="7"/>
            <w:tcBorders>
              <w:bottom w:val="single" w:color="auto" w:sz="4" w:space="0"/>
            </w:tcBorders>
            <w:vAlign w:val="center"/>
          </w:tcPr>
          <w:p w14:paraId="12FDBE16">
            <w:pPr>
              <w:keepNext/>
              <w:keepLines w:val="0"/>
              <w:pageBreakBefore w:val="0"/>
              <w:widowControl/>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仿宋"/>
                <w:b/>
                <w:bCs/>
                <w:color w:val="000000"/>
                <w:kern w:val="0"/>
                <w:sz w:val="44"/>
                <w:szCs w:val="44"/>
                <w:lang w:eastAsia="zh-CN" w:bidi="ar"/>
              </w:rPr>
            </w:pPr>
            <w:r>
              <w:rPr>
                <w:rFonts w:hint="eastAsia" w:ascii="宋体" w:hAnsi="宋体" w:eastAsia="宋体" w:cs="仿宋"/>
                <w:b/>
                <w:bCs/>
                <w:color w:val="000000"/>
                <w:kern w:val="0"/>
                <w:sz w:val="44"/>
                <w:szCs w:val="44"/>
                <w:lang w:eastAsia="zh-CN" w:bidi="ar"/>
              </w:rPr>
              <w:t>贵州</w:t>
            </w:r>
            <w:r>
              <w:rPr>
                <w:rFonts w:hint="eastAsia" w:ascii="宋体" w:hAnsi="宋体" w:eastAsia="宋体" w:cs="仿宋"/>
                <w:b/>
                <w:bCs/>
                <w:color w:val="000000"/>
                <w:kern w:val="0"/>
                <w:sz w:val="44"/>
                <w:szCs w:val="44"/>
                <w:lang w:val="en-US" w:eastAsia="zh-CN" w:bidi="ar"/>
              </w:rPr>
              <w:t>华黔能源</w:t>
            </w:r>
            <w:r>
              <w:rPr>
                <w:rFonts w:hint="eastAsia" w:ascii="宋体" w:hAnsi="宋体" w:eastAsia="宋体" w:cs="仿宋"/>
                <w:b/>
                <w:bCs/>
                <w:color w:val="000000"/>
                <w:kern w:val="0"/>
                <w:sz w:val="44"/>
                <w:szCs w:val="44"/>
                <w:lang w:eastAsia="zh-CN" w:bidi="ar"/>
              </w:rPr>
              <w:t>有限公司</w:t>
            </w:r>
          </w:p>
          <w:p w14:paraId="351646F3">
            <w:pPr>
              <w:keepNext/>
              <w:keepLines w:val="0"/>
              <w:pageBreakBefore w:val="0"/>
              <w:widowControl/>
              <w:kinsoku/>
              <w:wordWrap/>
              <w:overflowPunct/>
              <w:topLinePunct w:val="0"/>
              <w:autoSpaceDE/>
              <w:autoSpaceDN/>
              <w:bidi w:val="0"/>
              <w:adjustRightInd/>
              <w:snapToGrid/>
              <w:spacing w:line="480" w:lineRule="exact"/>
              <w:ind w:firstLine="0" w:firstLineChars="0"/>
              <w:jc w:val="center"/>
              <w:textAlignment w:val="center"/>
              <w:rPr>
                <w:rFonts w:hint="eastAsia" w:ascii="宋体" w:hAnsi="宋体" w:eastAsia="宋体" w:cs="仿宋"/>
                <w:b/>
                <w:bCs/>
                <w:color w:val="000000"/>
                <w:kern w:val="0"/>
                <w:sz w:val="44"/>
                <w:szCs w:val="44"/>
                <w:lang w:bidi="ar"/>
              </w:rPr>
            </w:pPr>
            <w:r>
              <w:rPr>
                <w:rFonts w:hint="eastAsia" w:ascii="宋体" w:hAnsi="宋体" w:eastAsia="宋体" w:cs="仿宋"/>
                <w:b/>
                <w:bCs/>
                <w:color w:val="000000"/>
                <w:kern w:val="0"/>
                <w:sz w:val="44"/>
                <w:szCs w:val="44"/>
                <w:lang w:bidi="ar"/>
              </w:rPr>
              <w:t>选聘审计机构评分表</w:t>
            </w:r>
          </w:p>
        </w:tc>
      </w:tr>
      <w:tr w14:paraId="4FC05CCD">
        <w:tblPrEx>
          <w:tblCellMar>
            <w:top w:w="15" w:type="dxa"/>
            <w:left w:w="15" w:type="dxa"/>
            <w:bottom w:w="15" w:type="dxa"/>
            <w:right w:w="15" w:type="dxa"/>
          </w:tblCellMar>
        </w:tblPrEx>
        <w:trPr>
          <w:trHeight w:val="584" w:hRule="atLeast"/>
        </w:trPr>
        <w:tc>
          <w:tcPr>
            <w:tcW w:w="237" w:type="pct"/>
            <w:tcBorders>
              <w:top w:val="single" w:color="auto" w:sz="4" w:space="0"/>
              <w:left w:val="single" w:color="000000" w:sz="4" w:space="0"/>
              <w:bottom w:val="single" w:color="000000" w:sz="4" w:space="0"/>
              <w:right w:val="single" w:color="000000" w:sz="4" w:space="0"/>
            </w:tcBorders>
            <w:vAlign w:val="center"/>
          </w:tcPr>
          <w:p w14:paraId="239958D6">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序号</w:t>
            </w:r>
          </w:p>
        </w:tc>
        <w:tc>
          <w:tcPr>
            <w:tcW w:w="229" w:type="pct"/>
            <w:tcBorders>
              <w:top w:val="single" w:color="auto" w:sz="4" w:space="0"/>
              <w:left w:val="single" w:color="000000" w:sz="4" w:space="0"/>
              <w:bottom w:val="single" w:color="000000" w:sz="4" w:space="0"/>
              <w:right w:val="single" w:color="000000" w:sz="4" w:space="0"/>
            </w:tcBorders>
            <w:vAlign w:val="center"/>
          </w:tcPr>
          <w:p w14:paraId="4CF1C203">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类别</w:t>
            </w:r>
          </w:p>
        </w:tc>
        <w:tc>
          <w:tcPr>
            <w:tcW w:w="536" w:type="pct"/>
            <w:tcBorders>
              <w:top w:val="single" w:color="auto" w:sz="4" w:space="0"/>
              <w:left w:val="single" w:color="000000" w:sz="4" w:space="0"/>
              <w:bottom w:val="single" w:color="000000" w:sz="4" w:space="0"/>
              <w:right w:val="single" w:color="000000" w:sz="4" w:space="0"/>
            </w:tcBorders>
            <w:vAlign w:val="center"/>
          </w:tcPr>
          <w:p w14:paraId="71ACD6BC">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项目</w:t>
            </w:r>
          </w:p>
        </w:tc>
        <w:tc>
          <w:tcPr>
            <w:tcW w:w="2050" w:type="pct"/>
            <w:tcBorders>
              <w:top w:val="single" w:color="auto" w:sz="4" w:space="0"/>
              <w:left w:val="single" w:color="000000" w:sz="4" w:space="0"/>
              <w:bottom w:val="single" w:color="000000" w:sz="4" w:space="0"/>
              <w:right w:val="single" w:color="000000" w:sz="4" w:space="0"/>
            </w:tcBorders>
            <w:vAlign w:val="center"/>
          </w:tcPr>
          <w:p w14:paraId="0EB6EED9">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标准</w:t>
            </w:r>
          </w:p>
        </w:tc>
        <w:tc>
          <w:tcPr>
            <w:tcW w:w="307" w:type="pct"/>
            <w:tcBorders>
              <w:top w:val="single" w:color="auto" w:sz="4" w:space="0"/>
              <w:left w:val="single" w:color="000000" w:sz="4" w:space="0"/>
              <w:bottom w:val="single" w:color="000000" w:sz="4" w:space="0"/>
              <w:right w:val="single" w:color="000000" w:sz="4" w:space="0"/>
            </w:tcBorders>
            <w:vAlign w:val="center"/>
          </w:tcPr>
          <w:p w14:paraId="1AF5BAC0">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分值</w:t>
            </w:r>
          </w:p>
        </w:tc>
        <w:tc>
          <w:tcPr>
            <w:tcW w:w="1194" w:type="pct"/>
            <w:tcBorders>
              <w:top w:val="single" w:color="auto" w:sz="4" w:space="0"/>
              <w:left w:val="single" w:color="000000" w:sz="4" w:space="0"/>
              <w:bottom w:val="single" w:color="000000" w:sz="4" w:space="0"/>
              <w:right w:val="single" w:color="000000" w:sz="4" w:space="0"/>
            </w:tcBorders>
            <w:vAlign w:val="center"/>
          </w:tcPr>
          <w:p w14:paraId="600A08E7">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自评内容</w:t>
            </w:r>
          </w:p>
        </w:tc>
        <w:tc>
          <w:tcPr>
            <w:tcW w:w="445" w:type="pct"/>
            <w:tcBorders>
              <w:top w:val="single" w:color="auto" w:sz="4" w:space="0"/>
              <w:left w:val="single" w:color="000000" w:sz="4" w:space="0"/>
              <w:bottom w:val="single" w:color="000000" w:sz="4" w:space="0"/>
              <w:right w:val="single" w:color="000000" w:sz="4" w:space="0"/>
            </w:tcBorders>
            <w:vAlign w:val="center"/>
          </w:tcPr>
          <w:p w14:paraId="7C0465BF">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对应页码</w:t>
            </w:r>
          </w:p>
        </w:tc>
      </w:tr>
      <w:tr w14:paraId="40C18648">
        <w:tblPrEx>
          <w:tblCellMar>
            <w:top w:w="15" w:type="dxa"/>
            <w:left w:w="15" w:type="dxa"/>
            <w:bottom w:w="15" w:type="dxa"/>
            <w:right w:w="15"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vAlign w:val="center"/>
          </w:tcPr>
          <w:p w14:paraId="21B50D99">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1</w:t>
            </w:r>
          </w:p>
        </w:tc>
        <w:tc>
          <w:tcPr>
            <w:tcW w:w="229" w:type="pct"/>
            <w:vMerge w:val="restart"/>
            <w:tcBorders>
              <w:top w:val="single" w:color="000000" w:sz="4" w:space="0"/>
              <w:left w:val="single" w:color="000000" w:sz="4" w:space="0"/>
              <w:bottom w:val="single" w:color="000000" w:sz="4" w:space="0"/>
              <w:right w:val="single" w:color="000000" w:sz="4" w:space="0"/>
            </w:tcBorders>
            <w:vAlign w:val="center"/>
          </w:tcPr>
          <w:p w14:paraId="39D77A5A">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参选资质</w:t>
            </w:r>
          </w:p>
        </w:tc>
        <w:tc>
          <w:tcPr>
            <w:tcW w:w="536" w:type="pct"/>
            <w:tcBorders>
              <w:top w:val="single" w:color="000000" w:sz="4" w:space="0"/>
              <w:left w:val="single" w:color="000000" w:sz="4" w:space="0"/>
              <w:bottom w:val="single" w:color="000000" w:sz="4" w:space="0"/>
              <w:right w:val="single" w:color="000000" w:sz="4" w:space="0"/>
            </w:tcBorders>
            <w:vAlign w:val="center"/>
          </w:tcPr>
          <w:p w14:paraId="1A7DAB62">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w:t>
            </w:r>
          </w:p>
        </w:tc>
        <w:tc>
          <w:tcPr>
            <w:tcW w:w="2050" w:type="pct"/>
            <w:tcBorders>
              <w:top w:val="single" w:color="000000" w:sz="4" w:space="0"/>
              <w:left w:val="single" w:color="000000" w:sz="4" w:space="0"/>
              <w:bottom w:val="single" w:color="000000" w:sz="4" w:space="0"/>
              <w:right w:val="single" w:color="000000" w:sz="4" w:space="0"/>
            </w:tcBorders>
            <w:vAlign w:val="center"/>
          </w:tcPr>
          <w:p w14:paraId="62249C86">
            <w:pPr>
              <w:keepNext/>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rPr>
                <w:rFonts w:hint="eastAsia" w:hAnsi="仿宋" w:cs="仿宋"/>
                <w:color w:val="000000"/>
                <w:sz w:val="24"/>
                <w:szCs w:val="24"/>
              </w:rPr>
            </w:pPr>
            <w:r>
              <w:rPr>
                <w:rFonts w:hint="eastAsia" w:hAnsi="仿宋" w:cs="仿宋"/>
                <w:color w:val="000000"/>
                <w:kern w:val="0"/>
                <w:sz w:val="24"/>
                <w:szCs w:val="24"/>
                <w:lang w:bidi="ar"/>
              </w:rPr>
              <w:t>依法设立，具有相应执业资质，近三年连续正常执业，通过上一年度年检</w:t>
            </w:r>
          </w:p>
        </w:tc>
        <w:tc>
          <w:tcPr>
            <w:tcW w:w="307" w:type="pct"/>
            <w:tcBorders>
              <w:top w:val="single" w:color="000000" w:sz="4" w:space="0"/>
              <w:left w:val="single" w:color="000000" w:sz="4" w:space="0"/>
              <w:bottom w:val="single" w:color="000000" w:sz="4" w:space="0"/>
              <w:right w:val="single" w:color="000000" w:sz="4" w:space="0"/>
            </w:tcBorders>
            <w:vAlign w:val="center"/>
          </w:tcPr>
          <w:p w14:paraId="3195BD49">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w:t>
            </w:r>
          </w:p>
        </w:tc>
        <w:tc>
          <w:tcPr>
            <w:tcW w:w="1194" w:type="pct"/>
            <w:tcBorders>
              <w:top w:val="single" w:color="000000" w:sz="4" w:space="0"/>
              <w:left w:val="single" w:color="000000" w:sz="4" w:space="0"/>
              <w:bottom w:val="single" w:color="000000" w:sz="4" w:space="0"/>
              <w:right w:val="single" w:color="000000" w:sz="4" w:space="0"/>
            </w:tcBorders>
            <w:vAlign w:val="center"/>
          </w:tcPr>
          <w:p w14:paraId="588B75FB">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7939FD90">
            <w:pPr>
              <w:keepNext/>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hAnsi="仿宋" w:cs="仿宋"/>
                <w:color w:val="000000"/>
                <w:sz w:val="24"/>
                <w:szCs w:val="24"/>
              </w:rPr>
            </w:pPr>
          </w:p>
        </w:tc>
      </w:tr>
      <w:tr w14:paraId="2AFB1ACA">
        <w:tblPrEx>
          <w:tblCellMar>
            <w:top w:w="15" w:type="dxa"/>
            <w:left w:w="15" w:type="dxa"/>
            <w:bottom w:w="15" w:type="dxa"/>
            <w:right w:w="15" w:type="dxa"/>
          </w:tblCellMar>
        </w:tblPrEx>
        <w:trPr>
          <w:trHeight w:val="195" w:hRule="atLeast"/>
        </w:trPr>
        <w:tc>
          <w:tcPr>
            <w:tcW w:w="237" w:type="pct"/>
            <w:tcBorders>
              <w:top w:val="single" w:color="000000" w:sz="4" w:space="0"/>
              <w:left w:val="single" w:color="000000" w:sz="4" w:space="0"/>
              <w:bottom w:val="single" w:color="000000" w:sz="4" w:space="0"/>
              <w:right w:val="single" w:color="000000" w:sz="4" w:space="0"/>
            </w:tcBorders>
            <w:vAlign w:val="center"/>
          </w:tcPr>
          <w:p w14:paraId="5B49537E">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2</w:t>
            </w:r>
          </w:p>
        </w:tc>
        <w:tc>
          <w:tcPr>
            <w:tcW w:w="229" w:type="pct"/>
            <w:vMerge w:val="continue"/>
            <w:tcBorders>
              <w:top w:val="single" w:color="000000" w:sz="4" w:space="0"/>
              <w:left w:val="single" w:color="000000" w:sz="4" w:space="0"/>
              <w:bottom w:val="single" w:color="000000" w:sz="4" w:space="0"/>
              <w:right w:val="single" w:color="000000" w:sz="4" w:space="0"/>
            </w:tcBorders>
            <w:vAlign w:val="center"/>
          </w:tcPr>
          <w:p w14:paraId="2714F2B9">
            <w:pPr>
              <w:keepNext/>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hAnsi="仿宋" w:cs="仿宋"/>
                <w:color w:val="000000"/>
                <w:sz w:val="24"/>
                <w:szCs w:val="24"/>
              </w:rPr>
            </w:pPr>
          </w:p>
        </w:tc>
        <w:tc>
          <w:tcPr>
            <w:tcW w:w="536" w:type="pct"/>
            <w:tcBorders>
              <w:top w:val="single" w:color="000000" w:sz="4" w:space="0"/>
              <w:left w:val="single" w:color="000000" w:sz="4" w:space="0"/>
              <w:bottom w:val="single" w:color="000000" w:sz="4" w:space="0"/>
              <w:right w:val="single" w:color="000000" w:sz="4" w:space="0"/>
            </w:tcBorders>
            <w:vAlign w:val="center"/>
          </w:tcPr>
          <w:p w14:paraId="69B076E6">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w:t>
            </w:r>
          </w:p>
        </w:tc>
        <w:tc>
          <w:tcPr>
            <w:tcW w:w="2050" w:type="pct"/>
            <w:tcBorders>
              <w:top w:val="single" w:color="000000" w:sz="4" w:space="0"/>
              <w:left w:val="single" w:color="000000" w:sz="4" w:space="0"/>
              <w:bottom w:val="single" w:color="000000" w:sz="4" w:space="0"/>
              <w:right w:val="single" w:color="000000" w:sz="4" w:space="0"/>
            </w:tcBorders>
            <w:vAlign w:val="center"/>
          </w:tcPr>
          <w:p w14:paraId="31CE51A3">
            <w:pPr>
              <w:keepNext/>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rPr>
                <w:rFonts w:hint="eastAsia" w:hAnsi="仿宋" w:cs="仿宋"/>
                <w:color w:val="000000"/>
                <w:sz w:val="24"/>
                <w:szCs w:val="24"/>
              </w:rPr>
            </w:pPr>
            <w:r>
              <w:rPr>
                <w:rFonts w:hint="eastAsia" w:hAnsi="仿宋" w:cs="仿宋"/>
                <w:color w:val="000000"/>
                <w:kern w:val="0"/>
                <w:sz w:val="24"/>
                <w:szCs w:val="24"/>
                <w:lang w:bidi="ar"/>
              </w:rPr>
              <w:t>三年内没有受到行政处罚或刑事处罚</w:t>
            </w:r>
          </w:p>
        </w:tc>
        <w:tc>
          <w:tcPr>
            <w:tcW w:w="307" w:type="pct"/>
            <w:tcBorders>
              <w:top w:val="single" w:color="000000" w:sz="4" w:space="0"/>
              <w:left w:val="single" w:color="000000" w:sz="4" w:space="0"/>
              <w:bottom w:val="single" w:color="000000" w:sz="4" w:space="0"/>
              <w:right w:val="single" w:color="000000" w:sz="4" w:space="0"/>
            </w:tcBorders>
            <w:vAlign w:val="center"/>
          </w:tcPr>
          <w:p w14:paraId="531EAC43">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w:t>
            </w:r>
          </w:p>
        </w:tc>
        <w:tc>
          <w:tcPr>
            <w:tcW w:w="1194" w:type="pct"/>
            <w:tcBorders>
              <w:top w:val="single" w:color="000000" w:sz="4" w:space="0"/>
              <w:left w:val="single" w:color="000000" w:sz="4" w:space="0"/>
              <w:bottom w:val="single" w:color="000000" w:sz="4" w:space="0"/>
              <w:right w:val="single" w:color="000000" w:sz="4" w:space="0"/>
            </w:tcBorders>
            <w:vAlign w:val="center"/>
          </w:tcPr>
          <w:p w14:paraId="5AC35C35">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13B53D3D">
            <w:pPr>
              <w:keepNext/>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hAnsi="仿宋" w:cs="仿宋"/>
                <w:color w:val="000000"/>
                <w:sz w:val="24"/>
                <w:szCs w:val="24"/>
              </w:rPr>
            </w:pPr>
          </w:p>
        </w:tc>
      </w:tr>
      <w:tr w14:paraId="706B8A7C">
        <w:tblPrEx>
          <w:tblCellMar>
            <w:top w:w="15" w:type="dxa"/>
            <w:left w:w="15" w:type="dxa"/>
            <w:bottom w:w="15" w:type="dxa"/>
            <w:right w:w="15"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vAlign w:val="center"/>
          </w:tcPr>
          <w:p w14:paraId="7E3F71C0">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3</w:t>
            </w:r>
          </w:p>
        </w:tc>
        <w:tc>
          <w:tcPr>
            <w:tcW w:w="229" w:type="pct"/>
            <w:vMerge w:val="continue"/>
            <w:tcBorders>
              <w:top w:val="single" w:color="000000" w:sz="4" w:space="0"/>
              <w:left w:val="single" w:color="000000" w:sz="4" w:space="0"/>
              <w:bottom w:val="single" w:color="000000" w:sz="4" w:space="0"/>
              <w:right w:val="single" w:color="000000" w:sz="4" w:space="0"/>
            </w:tcBorders>
            <w:vAlign w:val="center"/>
          </w:tcPr>
          <w:p w14:paraId="62FBBFB2">
            <w:pPr>
              <w:keepNext/>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hAnsi="仿宋" w:cs="仿宋"/>
                <w:color w:val="000000"/>
                <w:sz w:val="24"/>
                <w:szCs w:val="24"/>
              </w:rPr>
            </w:pPr>
          </w:p>
        </w:tc>
        <w:tc>
          <w:tcPr>
            <w:tcW w:w="536" w:type="pct"/>
            <w:tcBorders>
              <w:top w:val="single" w:color="000000" w:sz="4" w:space="0"/>
              <w:left w:val="single" w:color="000000" w:sz="4" w:space="0"/>
              <w:bottom w:val="single" w:color="000000" w:sz="4" w:space="0"/>
              <w:right w:val="single" w:color="000000" w:sz="4" w:space="0"/>
            </w:tcBorders>
            <w:vAlign w:val="center"/>
          </w:tcPr>
          <w:p w14:paraId="6EF5EDB2">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w:t>
            </w:r>
          </w:p>
        </w:tc>
        <w:tc>
          <w:tcPr>
            <w:tcW w:w="2050" w:type="pct"/>
            <w:tcBorders>
              <w:top w:val="single" w:color="000000" w:sz="4" w:space="0"/>
              <w:left w:val="single" w:color="000000" w:sz="4" w:space="0"/>
              <w:bottom w:val="single" w:color="000000" w:sz="4" w:space="0"/>
              <w:right w:val="single" w:color="000000" w:sz="4" w:space="0"/>
            </w:tcBorders>
            <w:vAlign w:val="center"/>
          </w:tcPr>
          <w:p w14:paraId="6BACC44A">
            <w:pPr>
              <w:keepNext/>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rPr>
                <w:rFonts w:hint="eastAsia" w:hAnsi="仿宋" w:cs="仿宋"/>
                <w:color w:val="000000"/>
                <w:sz w:val="24"/>
                <w:szCs w:val="24"/>
              </w:rPr>
            </w:pPr>
            <w:r>
              <w:rPr>
                <w:rFonts w:hint="eastAsia" w:hAnsi="仿宋" w:cs="仿宋"/>
                <w:color w:val="000000"/>
                <w:kern w:val="0"/>
                <w:sz w:val="24"/>
                <w:szCs w:val="24"/>
                <w:lang w:bidi="ar"/>
              </w:rPr>
              <w:t>现场工作负责人需有三年以上执业经历，近三年曾主导过企业的审计事务</w:t>
            </w:r>
          </w:p>
        </w:tc>
        <w:tc>
          <w:tcPr>
            <w:tcW w:w="307" w:type="pct"/>
            <w:tcBorders>
              <w:top w:val="single" w:color="000000" w:sz="4" w:space="0"/>
              <w:left w:val="single" w:color="000000" w:sz="4" w:space="0"/>
              <w:bottom w:val="single" w:color="000000" w:sz="4" w:space="0"/>
              <w:right w:val="single" w:color="000000" w:sz="4" w:space="0"/>
            </w:tcBorders>
            <w:vAlign w:val="center"/>
          </w:tcPr>
          <w:p w14:paraId="5DF34A2F">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w:t>
            </w:r>
          </w:p>
        </w:tc>
        <w:tc>
          <w:tcPr>
            <w:tcW w:w="1194" w:type="pct"/>
            <w:tcBorders>
              <w:top w:val="single" w:color="000000" w:sz="4" w:space="0"/>
              <w:left w:val="single" w:color="000000" w:sz="4" w:space="0"/>
              <w:bottom w:val="single" w:color="000000" w:sz="4" w:space="0"/>
              <w:right w:val="single" w:color="000000" w:sz="4" w:space="0"/>
            </w:tcBorders>
            <w:vAlign w:val="center"/>
          </w:tcPr>
          <w:p w14:paraId="5971DE4A">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0069A856">
            <w:pPr>
              <w:keepNext/>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hAnsi="仿宋" w:cs="仿宋"/>
                <w:color w:val="000000"/>
                <w:sz w:val="24"/>
                <w:szCs w:val="24"/>
              </w:rPr>
            </w:pPr>
          </w:p>
        </w:tc>
      </w:tr>
      <w:tr w14:paraId="03329664">
        <w:tblPrEx>
          <w:tblCellMar>
            <w:top w:w="15" w:type="dxa"/>
            <w:left w:w="15" w:type="dxa"/>
            <w:bottom w:w="15" w:type="dxa"/>
            <w:right w:w="15" w:type="dxa"/>
          </w:tblCellMar>
        </w:tblPrEx>
        <w:trPr>
          <w:trHeight w:val="195" w:hRule="atLeast"/>
        </w:trPr>
        <w:tc>
          <w:tcPr>
            <w:tcW w:w="237" w:type="pct"/>
            <w:tcBorders>
              <w:top w:val="single" w:color="000000" w:sz="4" w:space="0"/>
              <w:left w:val="single" w:color="000000" w:sz="4" w:space="0"/>
              <w:bottom w:val="single" w:color="000000" w:sz="4" w:space="0"/>
              <w:right w:val="single" w:color="000000" w:sz="4" w:space="0"/>
            </w:tcBorders>
            <w:vAlign w:val="center"/>
          </w:tcPr>
          <w:p w14:paraId="68ACAD6F">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4</w:t>
            </w:r>
          </w:p>
        </w:tc>
        <w:tc>
          <w:tcPr>
            <w:tcW w:w="229" w:type="pct"/>
            <w:vMerge w:val="restart"/>
            <w:tcBorders>
              <w:top w:val="single" w:color="000000" w:sz="4" w:space="0"/>
              <w:left w:val="single" w:color="000000" w:sz="4" w:space="0"/>
              <w:bottom w:val="single" w:color="000000" w:sz="4" w:space="0"/>
              <w:right w:val="single" w:color="000000" w:sz="4" w:space="0"/>
            </w:tcBorders>
            <w:vAlign w:val="center"/>
          </w:tcPr>
          <w:p w14:paraId="43866340">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机构规模</w:t>
            </w:r>
          </w:p>
        </w:tc>
        <w:tc>
          <w:tcPr>
            <w:tcW w:w="536" w:type="pct"/>
            <w:tcBorders>
              <w:top w:val="single" w:color="000000" w:sz="4" w:space="0"/>
              <w:left w:val="single" w:color="000000" w:sz="4" w:space="0"/>
              <w:bottom w:val="single" w:color="000000" w:sz="4" w:space="0"/>
              <w:right w:val="single" w:color="000000" w:sz="4" w:space="0"/>
            </w:tcBorders>
            <w:vAlign w:val="center"/>
          </w:tcPr>
          <w:p w14:paraId="159A659F">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成立年限</w:t>
            </w:r>
          </w:p>
        </w:tc>
        <w:tc>
          <w:tcPr>
            <w:tcW w:w="2050" w:type="pct"/>
            <w:tcBorders>
              <w:top w:val="single" w:color="000000" w:sz="4" w:space="0"/>
              <w:left w:val="single" w:color="000000" w:sz="4" w:space="0"/>
              <w:bottom w:val="single" w:color="000000" w:sz="4" w:space="0"/>
              <w:right w:val="single" w:color="000000" w:sz="4" w:space="0"/>
            </w:tcBorders>
            <w:vAlign w:val="center"/>
          </w:tcPr>
          <w:p w14:paraId="5F39304B">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批准执业年限</w:t>
            </w:r>
          </w:p>
        </w:tc>
        <w:tc>
          <w:tcPr>
            <w:tcW w:w="307" w:type="pct"/>
            <w:tcBorders>
              <w:top w:val="single" w:color="000000" w:sz="4" w:space="0"/>
              <w:left w:val="single" w:color="000000" w:sz="4" w:space="0"/>
              <w:bottom w:val="single" w:color="000000" w:sz="4" w:space="0"/>
              <w:right w:val="single" w:color="000000" w:sz="4" w:space="0"/>
            </w:tcBorders>
            <w:vAlign w:val="center"/>
          </w:tcPr>
          <w:p w14:paraId="2FFE9B8B">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2</w:t>
            </w:r>
          </w:p>
        </w:tc>
        <w:tc>
          <w:tcPr>
            <w:tcW w:w="1194" w:type="pct"/>
            <w:tcBorders>
              <w:top w:val="single" w:color="000000" w:sz="4" w:space="0"/>
              <w:left w:val="single" w:color="000000" w:sz="4" w:space="0"/>
              <w:bottom w:val="single" w:color="000000" w:sz="4" w:space="0"/>
              <w:right w:val="single" w:color="000000" w:sz="4" w:space="0"/>
            </w:tcBorders>
            <w:vAlign w:val="center"/>
          </w:tcPr>
          <w:p w14:paraId="55A1E55B">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3EE8C74C">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r>
      <w:tr w14:paraId="65563976">
        <w:tblPrEx>
          <w:tblCellMar>
            <w:top w:w="15" w:type="dxa"/>
            <w:left w:w="15" w:type="dxa"/>
            <w:bottom w:w="15" w:type="dxa"/>
            <w:right w:w="15" w:type="dxa"/>
          </w:tblCellMar>
        </w:tblPrEx>
        <w:trPr>
          <w:trHeight w:val="195" w:hRule="atLeast"/>
        </w:trPr>
        <w:tc>
          <w:tcPr>
            <w:tcW w:w="237" w:type="pct"/>
            <w:tcBorders>
              <w:top w:val="single" w:color="000000" w:sz="4" w:space="0"/>
              <w:left w:val="single" w:color="000000" w:sz="4" w:space="0"/>
              <w:bottom w:val="single" w:color="000000" w:sz="4" w:space="0"/>
              <w:right w:val="single" w:color="000000" w:sz="4" w:space="0"/>
            </w:tcBorders>
            <w:vAlign w:val="center"/>
          </w:tcPr>
          <w:p w14:paraId="46C01D65">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5</w:t>
            </w:r>
          </w:p>
        </w:tc>
        <w:tc>
          <w:tcPr>
            <w:tcW w:w="229" w:type="pct"/>
            <w:vMerge w:val="continue"/>
            <w:tcBorders>
              <w:top w:val="single" w:color="000000" w:sz="4" w:space="0"/>
              <w:left w:val="single" w:color="000000" w:sz="4" w:space="0"/>
              <w:bottom w:val="single" w:color="000000" w:sz="4" w:space="0"/>
              <w:right w:val="single" w:color="000000" w:sz="4" w:space="0"/>
            </w:tcBorders>
            <w:vAlign w:val="center"/>
          </w:tcPr>
          <w:p w14:paraId="533485D5">
            <w:pPr>
              <w:keepNext/>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hAnsi="仿宋" w:cs="仿宋"/>
                <w:color w:val="000000"/>
                <w:sz w:val="24"/>
                <w:szCs w:val="24"/>
              </w:rPr>
            </w:pPr>
          </w:p>
        </w:tc>
        <w:tc>
          <w:tcPr>
            <w:tcW w:w="536" w:type="pct"/>
            <w:tcBorders>
              <w:top w:val="single" w:color="000000" w:sz="4" w:space="0"/>
              <w:left w:val="single" w:color="000000" w:sz="4" w:space="0"/>
              <w:bottom w:val="single" w:color="000000" w:sz="4" w:space="0"/>
              <w:right w:val="single" w:color="000000" w:sz="4" w:space="0"/>
            </w:tcBorders>
            <w:vAlign w:val="center"/>
          </w:tcPr>
          <w:p w14:paraId="20FF1A91">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专业人员</w:t>
            </w:r>
          </w:p>
        </w:tc>
        <w:tc>
          <w:tcPr>
            <w:tcW w:w="2050" w:type="pct"/>
            <w:tcBorders>
              <w:top w:val="single" w:color="000000" w:sz="4" w:space="0"/>
              <w:left w:val="single" w:color="000000" w:sz="4" w:space="0"/>
              <w:bottom w:val="single" w:color="000000" w:sz="4" w:space="0"/>
              <w:right w:val="single" w:color="000000" w:sz="4" w:space="0"/>
            </w:tcBorders>
            <w:vAlign w:val="center"/>
          </w:tcPr>
          <w:p w14:paraId="75AAEC83">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注册会计师数量</w:t>
            </w:r>
          </w:p>
        </w:tc>
        <w:tc>
          <w:tcPr>
            <w:tcW w:w="307" w:type="pct"/>
            <w:tcBorders>
              <w:top w:val="single" w:color="000000" w:sz="4" w:space="0"/>
              <w:left w:val="single" w:color="000000" w:sz="4" w:space="0"/>
              <w:bottom w:val="single" w:color="000000" w:sz="4" w:space="0"/>
              <w:right w:val="single" w:color="000000" w:sz="4" w:space="0"/>
            </w:tcBorders>
            <w:vAlign w:val="center"/>
          </w:tcPr>
          <w:p w14:paraId="39405480">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6</w:t>
            </w:r>
          </w:p>
        </w:tc>
        <w:tc>
          <w:tcPr>
            <w:tcW w:w="1194" w:type="pct"/>
            <w:tcBorders>
              <w:top w:val="single" w:color="000000" w:sz="4" w:space="0"/>
              <w:left w:val="single" w:color="000000" w:sz="4" w:space="0"/>
              <w:bottom w:val="single" w:color="000000" w:sz="4" w:space="0"/>
              <w:right w:val="single" w:color="000000" w:sz="4" w:space="0"/>
            </w:tcBorders>
            <w:vAlign w:val="center"/>
          </w:tcPr>
          <w:p w14:paraId="73F69687">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55F9A5B0">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r>
      <w:tr w14:paraId="5932379A">
        <w:tblPrEx>
          <w:tblCellMar>
            <w:top w:w="15" w:type="dxa"/>
            <w:left w:w="15" w:type="dxa"/>
            <w:bottom w:w="15" w:type="dxa"/>
            <w:right w:w="15" w:type="dxa"/>
          </w:tblCellMar>
        </w:tblPrEx>
        <w:trPr>
          <w:trHeight w:val="195" w:hRule="atLeast"/>
        </w:trPr>
        <w:tc>
          <w:tcPr>
            <w:tcW w:w="237" w:type="pct"/>
            <w:tcBorders>
              <w:top w:val="single" w:color="000000" w:sz="4" w:space="0"/>
              <w:left w:val="single" w:color="000000" w:sz="4" w:space="0"/>
              <w:bottom w:val="single" w:color="000000" w:sz="4" w:space="0"/>
              <w:right w:val="single" w:color="000000" w:sz="4" w:space="0"/>
            </w:tcBorders>
            <w:vAlign w:val="center"/>
          </w:tcPr>
          <w:p w14:paraId="37E74C9E">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6</w:t>
            </w:r>
          </w:p>
        </w:tc>
        <w:tc>
          <w:tcPr>
            <w:tcW w:w="229" w:type="pct"/>
            <w:vMerge w:val="continue"/>
            <w:tcBorders>
              <w:top w:val="single" w:color="000000" w:sz="4" w:space="0"/>
              <w:left w:val="single" w:color="000000" w:sz="4" w:space="0"/>
              <w:bottom w:val="single" w:color="000000" w:sz="4" w:space="0"/>
              <w:right w:val="single" w:color="000000" w:sz="4" w:space="0"/>
            </w:tcBorders>
            <w:vAlign w:val="center"/>
          </w:tcPr>
          <w:p w14:paraId="3F7320B1">
            <w:pPr>
              <w:keepNext/>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hAnsi="仿宋" w:cs="仿宋"/>
                <w:color w:val="000000"/>
                <w:sz w:val="24"/>
                <w:szCs w:val="24"/>
              </w:rPr>
            </w:pPr>
          </w:p>
        </w:tc>
        <w:tc>
          <w:tcPr>
            <w:tcW w:w="536" w:type="pct"/>
            <w:tcBorders>
              <w:top w:val="single" w:color="000000" w:sz="4" w:space="0"/>
              <w:left w:val="single" w:color="000000" w:sz="4" w:space="0"/>
              <w:bottom w:val="single" w:color="000000" w:sz="4" w:space="0"/>
              <w:right w:val="single" w:color="000000" w:sz="4" w:space="0"/>
            </w:tcBorders>
            <w:vAlign w:val="center"/>
          </w:tcPr>
          <w:p w14:paraId="3EB9F13B">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注册资本</w:t>
            </w:r>
          </w:p>
        </w:tc>
        <w:tc>
          <w:tcPr>
            <w:tcW w:w="2050" w:type="pct"/>
            <w:tcBorders>
              <w:top w:val="single" w:color="000000" w:sz="4" w:space="0"/>
              <w:left w:val="single" w:color="000000" w:sz="4" w:space="0"/>
              <w:bottom w:val="single" w:color="000000" w:sz="4" w:space="0"/>
              <w:right w:val="single" w:color="000000" w:sz="4" w:space="0"/>
            </w:tcBorders>
            <w:vAlign w:val="center"/>
          </w:tcPr>
          <w:p w14:paraId="7E68307B">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注册资本</w:t>
            </w:r>
          </w:p>
        </w:tc>
        <w:tc>
          <w:tcPr>
            <w:tcW w:w="307" w:type="pct"/>
            <w:tcBorders>
              <w:top w:val="single" w:color="000000" w:sz="4" w:space="0"/>
              <w:left w:val="single" w:color="000000" w:sz="4" w:space="0"/>
              <w:bottom w:val="single" w:color="000000" w:sz="4" w:space="0"/>
              <w:right w:val="single" w:color="000000" w:sz="4" w:space="0"/>
            </w:tcBorders>
            <w:vAlign w:val="center"/>
          </w:tcPr>
          <w:p w14:paraId="7E18ECE5">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2</w:t>
            </w:r>
          </w:p>
        </w:tc>
        <w:tc>
          <w:tcPr>
            <w:tcW w:w="1194" w:type="pct"/>
            <w:tcBorders>
              <w:top w:val="single" w:color="000000" w:sz="4" w:space="0"/>
              <w:left w:val="single" w:color="000000" w:sz="4" w:space="0"/>
              <w:bottom w:val="single" w:color="000000" w:sz="4" w:space="0"/>
              <w:right w:val="single" w:color="000000" w:sz="4" w:space="0"/>
            </w:tcBorders>
            <w:vAlign w:val="center"/>
          </w:tcPr>
          <w:p w14:paraId="1D45041B">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7BBB3D79">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r>
      <w:tr w14:paraId="6530EEE0">
        <w:tblPrEx>
          <w:tblCellMar>
            <w:top w:w="15" w:type="dxa"/>
            <w:left w:w="15" w:type="dxa"/>
            <w:bottom w:w="15" w:type="dxa"/>
            <w:right w:w="15"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vAlign w:val="center"/>
          </w:tcPr>
          <w:p w14:paraId="768BF778">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7</w:t>
            </w:r>
          </w:p>
        </w:tc>
        <w:tc>
          <w:tcPr>
            <w:tcW w:w="229" w:type="pct"/>
            <w:vMerge w:val="restart"/>
            <w:tcBorders>
              <w:top w:val="single" w:color="000000" w:sz="4" w:space="0"/>
              <w:left w:val="single" w:color="000000" w:sz="4" w:space="0"/>
              <w:bottom w:val="single" w:color="000000" w:sz="4" w:space="0"/>
              <w:right w:val="single" w:color="000000" w:sz="4" w:space="0"/>
            </w:tcBorders>
            <w:vAlign w:val="center"/>
          </w:tcPr>
          <w:p w14:paraId="72A19F57">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专业经验</w:t>
            </w:r>
          </w:p>
        </w:tc>
        <w:tc>
          <w:tcPr>
            <w:tcW w:w="536" w:type="pct"/>
            <w:tcBorders>
              <w:top w:val="single" w:color="000000" w:sz="4" w:space="0"/>
              <w:left w:val="single" w:color="000000" w:sz="4" w:space="0"/>
              <w:bottom w:val="single" w:color="000000" w:sz="4" w:space="0"/>
              <w:right w:val="single" w:color="000000" w:sz="4" w:space="0"/>
            </w:tcBorders>
            <w:vAlign w:val="center"/>
          </w:tcPr>
          <w:p w14:paraId="3D6ACA69">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从业经验</w:t>
            </w:r>
          </w:p>
        </w:tc>
        <w:tc>
          <w:tcPr>
            <w:tcW w:w="2050" w:type="pct"/>
            <w:tcBorders>
              <w:top w:val="single" w:color="000000" w:sz="4" w:space="0"/>
              <w:left w:val="single" w:color="000000" w:sz="4" w:space="0"/>
              <w:bottom w:val="single" w:color="000000" w:sz="4" w:space="0"/>
              <w:right w:val="single" w:color="000000" w:sz="4" w:space="0"/>
            </w:tcBorders>
            <w:vAlign w:val="center"/>
          </w:tcPr>
          <w:p w14:paraId="44E3F716">
            <w:pPr>
              <w:keepNext/>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rPr>
                <w:rFonts w:hint="eastAsia" w:hAnsi="仿宋" w:cs="仿宋"/>
                <w:color w:val="000000"/>
                <w:sz w:val="24"/>
                <w:szCs w:val="24"/>
              </w:rPr>
            </w:pPr>
            <w:r>
              <w:rPr>
                <w:rFonts w:hint="eastAsia" w:hAnsi="仿宋" w:cs="仿宋"/>
                <w:color w:val="000000"/>
                <w:kern w:val="0"/>
                <w:sz w:val="24"/>
                <w:szCs w:val="24"/>
                <w:lang w:bidi="ar"/>
              </w:rPr>
              <w:t>有破产相关从业经验，至少办理过一件企业破产的审计</w:t>
            </w:r>
          </w:p>
        </w:tc>
        <w:tc>
          <w:tcPr>
            <w:tcW w:w="307" w:type="pct"/>
            <w:tcBorders>
              <w:top w:val="single" w:color="000000" w:sz="4" w:space="0"/>
              <w:left w:val="single" w:color="000000" w:sz="4" w:space="0"/>
              <w:bottom w:val="single" w:color="000000" w:sz="4" w:space="0"/>
              <w:right w:val="single" w:color="000000" w:sz="4" w:space="0"/>
            </w:tcBorders>
            <w:vAlign w:val="center"/>
          </w:tcPr>
          <w:p w14:paraId="788AD1C4">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sz w:val="24"/>
                <w:szCs w:val="24"/>
              </w:rPr>
              <w:t>3</w:t>
            </w:r>
          </w:p>
        </w:tc>
        <w:tc>
          <w:tcPr>
            <w:tcW w:w="1194" w:type="pct"/>
            <w:tcBorders>
              <w:top w:val="single" w:color="000000" w:sz="4" w:space="0"/>
              <w:left w:val="single" w:color="000000" w:sz="4" w:space="0"/>
              <w:bottom w:val="single" w:color="000000" w:sz="4" w:space="0"/>
              <w:right w:val="single" w:color="000000" w:sz="4" w:space="0"/>
            </w:tcBorders>
            <w:vAlign w:val="center"/>
          </w:tcPr>
          <w:p w14:paraId="009E570D">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557E312A">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r>
      <w:tr w14:paraId="548CDE13">
        <w:tblPrEx>
          <w:tblCellMar>
            <w:top w:w="15" w:type="dxa"/>
            <w:left w:w="15" w:type="dxa"/>
            <w:bottom w:w="15" w:type="dxa"/>
            <w:right w:w="15"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vAlign w:val="center"/>
          </w:tcPr>
          <w:p w14:paraId="2148EBC8">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8</w:t>
            </w:r>
          </w:p>
        </w:tc>
        <w:tc>
          <w:tcPr>
            <w:tcW w:w="229" w:type="pct"/>
            <w:vMerge w:val="continue"/>
            <w:tcBorders>
              <w:top w:val="single" w:color="000000" w:sz="4" w:space="0"/>
              <w:left w:val="single" w:color="000000" w:sz="4" w:space="0"/>
              <w:bottom w:val="single" w:color="000000" w:sz="4" w:space="0"/>
              <w:right w:val="single" w:color="000000" w:sz="4" w:space="0"/>
            </w:tcBorders>
            <w:vAlign w:val="center"/>
          </w:tcPr>
          <w:p w14:paraId="058A1A6C">
            <w:pPr>
              <w:keepNext/>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hAnsi="仿宋" w:cs="仿宋"/>
                <w:color w:val="000000"/>
                <w:sz w:val="24"/>
                <w:szCs w:val="24"/>
              </w:rPr>
            </w:pPr>
          </w:p>
        </w:tc>
        <w:tc>
          <w:tcPr>
            <w:tcW w:w="536" w:type="pct"/>
            <w:tcBorders>
              <w:top w:val="single" w:color="000000" w:sz="4" w:space="0"/>
              <w:left w:val="single" w:color="000000" w:sz="4" w:space="0"/>
              <w:bottom w:val="single" w:color="000000" w:sz="4" w:space="0"/>
              <w:right w:val="single" w:color="000000" w:sz="4" w:space="0"/>
            </w:tcBorders>
            <w:vAlign w:val="center"/>
          </w:tcPr>
          <w:p w14:paraId="1E244EA5">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破产审计</w:t>
            </w:r>
          </w:p>
        </w:tc>
        <w:tc>
          <w:tcPr>
            <w:tcW w:w="2050" w:type="pct"/>
            <w:tcBorders>
              <w:top w:val="single" w:color="000000" w:sz="4" w:space="0"/>
              <w:left w:val="single" w:color="000000" w:sz="4" w:space="0"/>
              <w:bottom w:val="single" w:color="000000" w:sz="4" w:space="0"/>
              <w:right w:val="single" w:color="000000" w:sz="4" w:space="0"/>
            </w:tcBorders>
            <w:vAlign w:val="center"/>
          </w:tcPr>
          <w:p w14:paraId="71E9C643">
            <w:pPr>
              <w:keepNext/>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rPr>
                <w:rFonts w:hint="eastAsia" w:hAnsi="仿宋" w:cs="仿宋"/>
                <w:color w:val="000000"/>
                <w:sz w:val="24"/>
                <w:szCs w:val="24"/>
              </w:rPr>
            </w:pPr>
            <w:r>
              <w:rPr>
                <w:rFonts w:hint="eastAsia" w:hAnsi="仿宋" w:cs="仿宋"/>
                <w:color w:val="000000"/>
                <w:kern w:val="0"/>
                <w:sz w:val="24"/>
                <w:szCs w:val="24"/>
                <w:lang w:bidi="ar"/>
              </w:rPr>
              <w:t>除7外，每增加一个破产审计经验加1分</w:t>
            </w:r>
          </w:p>
        </w:tc>
        <w:tc>
          <w:tcPr>
            <w:tcW w:w="307" w:type="pct"/>
            <w:tcBorders>
              <w:top w:val="single" w:color="000000" w:sz="4" w:space="0"/>
              <w:left w:val="single" w:color="000000" w:sz="4" w:space="0"/>
              <w:bottom w:val="single" w:color="000000" w:sz="4" w:space="0"/>
              <w:right w:val="single" w:color="000000" w:sz="4" w:space="0"/>
            </w:tcBorders>
            <w:vAlign w:val="center"/>
          </w:tcPr>
          <w:p w14:paraId="3067ECA1">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16</w:t>
            </w:r>
          </w:p>
        </w:tc>
        <w:tc>
          <w:tcPr>
            <w:tcW w:w="1194" w:type="pct"/>
            <w:tcBorders>
              <w:top w:val="single" w:color="000000" w:sz="4" w:space="0"/>
              <w:left w:val="single" w:color="000000" w:sz="4" w:space="0"/>
              <w:bottom w:val="single" w:color="000000" w:sz="4" w:space="0"/>
              <w:right w:val="single" w:color="000000" w:sz="4" w:space="0"/>
            </w:tcBorders>
            <w:vAlign w:val="center"/>
          </w:tcPr>
          <w:p w14:paraId="1DEDB2BC">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42EE8C65">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r>
      <w:tr w14:paraId="3B741EFF">
        <w:tblPrEx>
          <w:tblCellMar>
            <w:top w:w="15" w:type="dxa"/>
            <w:left w:w="15" w:type="dxa"/>
            <w:bottom w:w="15" w:type="dxa"/>
            <w:right w:w="15" w:type="dxa"/>
          </w:tblCellMar>
        </w:tblPrEx>
        <w:trPr>
          <w:trHeight w:val="195" w:hRule="atLeast"/>
        </w:trPr>
        <w:tc>
          <w:tcPr>
            <w:tcW w:w="237" w:type="pct"/>
            <w:tcBorders>
              <w:top w:val="single" w:color="000000" w:sz="4" w:space="0"/>
              <w:left w:val="single" w:color="000000" w:sz="4" w:space="0"/>
              <w:bottom w:val="single" w:color="000000" w:sz="4" w:space="0"/>
              <w:right w:val="single" w:color="000000" w:sz="4" w:space="0"/>
            </w:tcBorders>
            <w:vAlign w:val="center"/>
          </w:tcPr>
          <w:p w14:paraId="3B306182">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9</w:t>
            </w:r>
          </w:p>
        </w:tc>
        <w:tc>
          <w:tcPr>
            <w:tcW w:w="229" w:type="pct"/>
            <w:vMerge w:val="continue"/>
            <w:tcBorders>
              <w:top w:val="single" w:color="000000" w:sz="4" w:space="0"/>
              <w:left w:val="single" w:color="000000" w:sz="4" w:space="0"/>
              <w:bottom w:val="single" w:color="000000" w:sz="4" w:space="0"/>
              <w:right w:val="single" w:color="000000" w:sz="4" w:space="0"/>
            </w:tcBorders>
            <w:vAlign w:val="center"/>
          </w:tcPr>
          <w:p w14:paraId="4A199390">
            <w:pPr>
              <w:keepNext/>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hAnsi="仿宋" w:cs="仿宋"/>
                <w:color w:val="000000"/>
                <w:sz w:val="24"/>
                <w:szCs w:val="24"/>
              </w:rPr>
            </w:pPr>
          </w:p>
        </w:tc>
        <w:tc>
          <w:tcPr>
            <w:tcW w:w="536" w:type="pct"/>
            <w:tcBorders>
              <w:top w:val="single" w:color="000000" w:sz="4" w:space="0"/>
              <w:left w:val="single" w:color="000000" w:sz="4" w:space="0"/>
              <w:bottom w:val="single" w:color="000000" w:sz="4" w:space="0"/>
              <w:right w:val="single" w:color="000000" w:sz="4" w:space="0"/>
            </w:tcBorders>
            <w:vAlign w:val="center"/>
          </w:tcPr>
          <w:p w14:paraId="523EE543">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负责人</w:t>
            </w:r>
          </w:p>
        </w:tc>
        <w:tc>
          <w:tcPr>
            <w:tcW w:w="2050" w:type="pct"/>
            <w:tcBorders>
              <w:top w:val="single" w:color="000000" w:sz="4" w:space="0"/>
              <w:left w:val="single" w:color="000000" w:sz="4" w:space="0"/>
              <w:bottom w:val="single" w:color="000000" w:sz="4" w:space="0"/>
              <w:right w:val="single" w:color="000000" w:sz="4" w:space="0"/>
            </w:tcBorders>
            <w:vAlign w:val="center"/>
          </w:tcPr>
          <w:p w14:paraId="51EE0F09">
            <w:pPr>
              <w:keepNext/>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rPr>
                <w:rFonts w:hint="eastAsia" w:hAnsi="仿宋" w:cs="仿宋"/>
                <w:color w:val="000000"/>
                <w:sz w:val="24"/>
                <w:szCs w:val="24"/>
              </w:rPr>
            </w:pPr>
            <w:r>
              <w:rPr>
                <w:rFonts w:hint="eastAsia" w:hAnsi="仿宋" w:cs="仿宋"/>
                <w:color w:val="000000"/>
                <w:kern w:val="0"/>
                <w:sz w:val="24"/>
                <w:szCs w:val="24"/>
                <w:lang w:bidi="ar"/>
              </w:rPr>
              <w:t>拟指派负责人办理的破产案件的数量，每增加1件计1分，最高不超过8分</w:t>
            </w:r>
          </w:p>
        </w:tc>
        <w:tc>
          <w:tcPr>
            <w:tcW w:w="307" w:type="pct"/>
            <w:tcBorders>
              <w:top w:val="single" w:color="000000" w:sz="4" w:space="0"/>
              <w:left w:val="single" w:color="000000" w:sz="4" w:space="0"/>
              <w:bottom w:val="single" w:color="000000" w:sz="4" w:space="0"/>
              <w:right w:val="single" w:color="000000" w:sz="4" w:space="0"/>
            </w:tcBorders>
            <w:vAlign w:val="center"/>
          </w:tcPr>
          <w:p w14:paraId="34C3A1FD">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8</w:t>
            </w:r>
          </w:p>
        </w:tc>
        <w:tc>
          <w:tcPr>
            <w:tcW w:w="1194" w:type="pct"/>
            <w:tcBorders>
              <w:top w:val="single" w:color="000000" w:sz="4" w:space="0"/>
              <w:left w:val="single" w:color="000000" w:sz="4" w:space="0"/>
              <w:bottom w:val="single" w:color="000000" w:sz="4" w:space="0"/>
              <w:right w:val="single" w:color="000000" w:sz="4" w:space="0"/>
            </w:tcBorders>
            <w:vAlign w:val="center"/>
          </w:tcPr>
          <w:p w14:paraId="502A38F5">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7ED7E4DE">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r>
      <w:tr w14:paraId="57E807C3">
        <w:tblPrEx>
          <w:tblCellMar>
            <w:top w:w="15" w:type="dxa"/>
            <w:left w:w="15" w:type="dxa"/>
            <w:bottom w:w="15" w:type="dxa"/>
            <w:right w:w="15"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vAlign w:val="center"/>
          </w:tcPr>
          <w:p w14:paraId="70D5EA56">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10</w:t>
            </w:r>
          </w:p>
        </w:tc>
        <w:tc>
          <w:tcPr>
            <w:tcW w:w="229" w:type="pct"/>
            <w:vMerge w:val="continue"/>
            <w:tcBorders>
              <w:top w:val="single" w:color="000000" w:sz="4" w:space="0"/>
              <w:left w:val="single" w:color="000000" w:sz="4" w:space="0"/>
              <w:bottom w:val="single" w:color="000000" w:sz="4" w:space="0"/>
              <w:right w:val="single" w:color="000000" w:sz="4" w:space="0"/>
            </w:tcBorders>
            <w:vAlign w:val="center"/>
          </w:tcPr>
          <w:p w14:paraId="598BCCF1">
            <w:pPr>
              <w:keepNext/>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hAnsi="仿宋" w:cs="仿宋"/>
                <w:color w:val="000000"/>
                <w:sz w:val="24"/>
                <w:szCs w:val="24"/>
              </w:rPr>
            </w:pPr>
          </w:p>
        </w:tc>
        <w:tc>
          <w:tcPr>
            <w:tcW w:w="536" w:type="pct"/>
            <w:tcBorders>
              <w:top w:val="single" w:color="000000" w:sz="4" w:space="0"/>
              <w:left w:val="single" w:color="000000" w:sz="4" w:space="0"/>
              <w:bottom w:val="single" w:color="000000" w:sz="4" w:space="0"/>
              <w:right w:val="single" w:color="000000" w:sz="4" w:space="0"/>
            </w:tcBorders>
            <w:vAlign w:val="center"/>
          </w:tcPr>
          <w:p w14:paraId="63422260">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工作成员</w:t>
            </w:r>
          </w:p>
        </w:tc>
        <w:tc>
          <w:tcPr>
            <w:tcW w:w="2050" w:type="pct"/>
            <w:tcBorders>
              <w:top w:val="single" w:color="000000" w:sz="4" w:space="0"/>
              <w:left w:val="single" w:color="000000" w:sz="4" w:space="0"/>
              <w:bottom w:val="single" w:color="000000" w:sz="4" w:space="0"/>
              <w:right w:val="single" w:color="000000" w:sz="4" w:space="0"/>
            </w:tcBorders>
            <w:vAlign w:val="center"/>
          </w:tcPr>
          <w:p w14:paraId="7B2D9B22">
            <w:pPr>
              <w:keepNext/>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rPr>
                <w:rFonts w:hint="eastAsia" w:hAnsi="仿宋" w:cs="仿宋"/>
                <w:color w:val="000000"/>
                <w:sz w:val="24"/>
                <w:szCs w:val="24"/>
              </w:rPr>
            </w:pPr>
            <w:r>
              <w:rPr>
                <w:rFonts w:hint="eastAsia" w:hAnsi="仿宋" w:cs="仿宋"/>
                <w:color w:val="000000"/>
                <w:kern w:val="0"/>
                <w:sz w:val="24"/>
                <w:szCs w:val="24"/>
                <w:lang w:bidi="ar"/>
              </w:rPr>
              <w:t>拟指派工作人员中，有破产审计经验的人员数量，每增加1名计1分，最高不超过8分</w:t>
            </w:r>
          </w:p>
        </w:tc>
        <w:tc>
          <w:tcPr>
            <w:tcW w:w="307" w:type="pct"/>
            <w:tcBorders>
              <w:top w:val="single" w:color="000000" w:sz="4" w:space="0"/>
              <w:left w:val="single" w:color="000000" w:sz="4" w:space="0"/>
              <w:bottom w:val="single" w:color="000000" w:sz="4" w:space="0"/>
              <w:right w:val="single" w:color="000000" w:sz="4" w:space="0"/>
            </w:tcBorders>
            <w:vAlign w:val="center"/>
          </w:tcPr>
          <w:p w14:paraId="1FA55486">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8</w:t>
            </w:r>
          </w:p>
        </w:tc>
        <w:tc>
          <w:tcPr>
            <w:tcW w:w="1194" w:type="pct"/>
            <w:tcBorders>
              <w:top w:val="single" w:color="000000" w:sz="4" w:space="0"/>
              <w:left w:val="single" w:color="000000" w:sz="4" w:space="0"/>
              <w:bottom w:val="single" w:color="000000" w:sz="4" w:space="0"/>
              <w:right w:val="single" w:color="000000" w:sz="4" w:space="0"/>
            </w:tcBorders>
            <w:vAlign w:val="center"/>
          </w:tcPr>
          <w:p w14:paraId="24A8652F">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6B3E8102">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r>
      <w:tr w14:paraId="768ED207">
        <w:tblPrEx>
          <w:tblCellMar>
            <w:top w:w="15" w:type="dxa"/>
            <w:left w:w="15" w:type="dxa"/>
            <w:bottom w:w="15" w:type="dxa"/>
            <w:right w:w="15"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vAlign w:val="center"/>
          </w:tcPr>
          <w:p w14:paraId="7B7E9C2D">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11</w:t>
            </w:r>
          </w:p>
        </w:tc>
        <w:tc>
          <w:tcPr>
            <w:tcW w:w="229" w:type="pct"/>
            <w:vMerge w:val="restart"/>
            <w:tcBorders>
              <w:top w:val="single" w:color="000000" w:sz="4" w:space="0"/>
              <w:left w:val="single" w:color="000000" w:sz="4" w:space="0"/>
              <w:bottom w:val="single" w:color="000000" w:sz="4" w:space="0"/>
              <w:right w:val="single" w:color="000000" w:sz="4" w:space="0"/>
            </w:tcBorders>
            <w:vAlign w:val="center"/>
          </w:tcPr>
          <w:p w14:paraId="433A7078">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工作计划</w:t>
            </w:r>
          </w:p>
        </w:tc>
        <w:tc>
          <w:tcPr>
            <w:tcW w:w="536" w:type="pct"/>
            <w:tcBorders>
              <w:top w:val="single" w:color="000000" w:sz="4" w:space="0"/>
              <w:left w:val="single" w:color="000000" w:sz="4" w:space="0"/>
              <w:bottom w:val="single" w:color="000000" w:sz="4" w:space="0"/>
              <w:right w:val="single" w:color="000000" w:sz="4" w:space="0"/>
            </w:tcBorders>
            <w:vAlign w:val="center"/>
          </w:tcPr>
          <w:p w14:paraId="33F98AD4">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合理可行</w:t>
            </w:r>
          </w:p>
        </w:tc>
        <w:tc>
          <w:tcPr>
            <w:tcW w:w="2050" w:type="pct"/>
            <w:tcBorders>
              <w:top w:val="single" w:color="000000" w:sz="4" w:space="0"/>
              <w:left w:val="single" w:color="000000" w:sz="4" w:space="0"/>
              <w:bottom w:val="single" w:color="000000" w:sz="4" w:space="0"/>
              <w:right w:val="single" w:color="000000" w:sz="4" w:space="0"/>
            </w:tcBorders>
            <w:vAlign w:val="center"/>
          </w:tcPr>
          <w:p w14:paraId="074FBBB0">
            <w:pPr>
              <w:keepNext/>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rPr>
                <w:rFonts w:hint="eastAsia" w:hAnsi="仿宋" w:cs="仿宋"/>
                <w:color w:val="000000"/>
                <w:sz w:val="24"/>
                <w:szCs w:val="24"/>
              </w:rPr>
            </w:pPr>
            <w:r>
              <w:rPr>
                <w:rFonts w:hint="eastAsia" w:hAnsi="仿宋" w:cs="仿宋"/>
                <w:color w:val="000000"/>
                <w:kern w:val="0"/>
                <w:sz w:val="24"/>
                <w:szCs w:val="24"/>
                <w:lang w:bidi="ar"/>
              </w:rPr>
              <w:t>工作计划的合理性、可行性，含总体工作安排和项目针对性分析</w:t>
            </w:r>
          </w:p>
        </w:tc>
        <w:tc>
          <w:tcPr>
            <w:tcW w:w="307" w:type="pct"/>
            <w:tcBorders>
              <w:top w:val="single" w:color="000000" w:sz="4" w:space="0"/>
              <w:left w:val="single" w:color="000000" w:sz="4" w:space="0"/>
              <w:bottom w:val="single" w:color="000000" w:sz="4" w:space="0"/>
              <w:right w:val="single" w:color="000000" w:sz="4" w:space="0"/>
            </w:tcBorders>
            <w:vAlign w:val="center"/>
          </w:tcPr>
          <w:p w14:paraId="18E00C28">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15</w:t>
            </w:r>
          </w:p>
        </w:tc>
        <w:tc>
          <w:tcPr>
            <w:tcW w:w="1194" w:type="pct"/>
            <w:tcBorders>
              <w:top w:val="single" w:color="000000" w:sz="4" w:space="0"/>
              <w:left w:val="single" w:color="000000" w:sz="4" w:space="0"/>
              <w:bottom w:val="single" w:color="000000" w:sz="4" w:space="0"/>
              <w:right w:val="single" w:color="000000" w:sz="4" w:space="0"/>
            </w:tcBorders>
            <w:vAlign w:val="center"/>
          </w:tcPr>
          <w:p w14:paraId="663F1D5E">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1E5679E4">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r>
      <w:tr w14:paraId="452EF612">
        <w:tblPrEx>
          <w:tblCellMar>
            <w:top w:w="15" w:type="dxa"/>
            <w:left w:w="15" w:type="dxa"/>
            <w:bottom w:w="15" w:type="dxa"/>
            <w:right w:w="15"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vAlign w:val="center"/>
          </w:tcPr>
          <w:p w14:paraId="601C4B34">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12</w:t>
            </w:r>
          </w:p>
        </w:tc>
        <w:tc>
          <w:tcPr>
            <w:tcW w:w="229" w:type="pct"/>
            <w:vMerge w:val="continue"/>
            <w:tcBorders>
              <w:top w:val="single" w:color="000000" w:sz="4" w:space="0"/>
              <w:left w:val="single" w:color="000000" w:sz="4" w:space="0"/>
              <w:bottom w:val="single" w:color="000000" w:sz="4" w:space="0"/>
              <w:right w:val="single" w:color="000000" w:sz="4" w:space="0"/>
            </w:tcBorders>
            <w:vAlign w:val="center"/>
          </w:tcPr>
          <w:p w14:paraId="387E030D">
            <w:pPr>
              <w:keepNext/>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hAnsi="仿宋" w:cs="仿宋"/>
                <w:color w:val="000000"/>
                <w:sz w:val="24"/>
                <w:szCs w:val="24"/>
              </w:rPr>
            </w:pPr>
          </w:p>
        </w:tc>
        <w:tc>
          <w:tcPr>
            <w:tcW w:w="536" w:type="pct"/>
            <w:tcBorders>
              <w:top w:val="single" w:color="000000" w:sz="4" w:space="0"/>
              <w:left w:val="single" w:color="000000" w:sz="4" w:space="0"/>
              <w:bottom w:val="single" w:color="000000" w:sz="4" w:space="0"/>
              <w:right w:val="single" w:color="000000" w:sz="4" w:space="0"/>
            </w:tcBorders>
            <w:vAlign w:val="center"/>
          </w:tcPr>
          <w:p w14:paraId="5547D88C">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完成时限</w:t>
            </w:r>
          </w:p>
        </w:tc>
        <w:tc>
          <w:tcPr>
            <w:tcW w:w="2050" w:type="pct"/>
            <w:tcBorders>
              <w:top w:val="single" w:color="000000" w:sz="4" w:space="0"/>
              <w:left w:val="single" w:color="000000" w:sz="4" w:space="0"/>
              <w:bottom w:val="single" w:color="000000" w:sz="4" w:space="0"/>
              <w:right w:val="single" w:color="000000" w:sz="4" w:space="0"/>
            </w:tcBorders>
            <w:vAlign w:val="center"/>
          </w:tcPr>
          <w:p w14:paraId="404B4FFF">
            <w:pPr>
              <w:keepNext/>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rPr>
                <w:rFonts w:hint="eastAsia" w:hAnsi="仿宋" w:cs="仿宋"/>
                <w:color w:val="000000"/>
                <w:sz w:val="24"/>
                <w:szCs w:val="24"/>
              </w:rPr>
            </w:pPr>
            <w:r>
              <w:rPr>
                <w:rFonts w:hint="eastAsia" w:hAnsi="仿宋" w:cs="仿宋"/>
                <w:color w:val="000000"/>
                <w:kern w:val="0"/>
                <w:sz w:val="24"/>
                <w:szCs w:val="24"/>
                <w:lang w:bidi="ar"/>
              </w:rPr>
              <w:t>承诺在管理人规定的1个月内提交工作成果</w:t>
            </w:r>
          </w:p>
        </w:tc>
        <w:tc>
          <w:tcPr>
            <w:tcW w:w="307" w:type="pct"/>
            <w:tcBorders>
              <w:top w:val="single" w:color="000000" w:sz="4" w:space="0"/>
              <w:left w:val="single" w:color="000000" w:sz="4" w:space="0"/>
              <w:bottom w:val="single" w:color="000000" w:sz="4" w:space="0"/>
              <w:right w:val="single" w:color="000000" w:sz="4" w:space="0"/>
            </w:tcBorders>
            <w:vAlign w:val="center"/>
          </w:tcPr>
          <w:p w14:paraId="2448BB03">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10</w:t>
            </w:r>
          </w:p>
        </w:tc>
        <w:tc>
          <w:tcPr>
            <w:tcW w:w="1194" w:type="pct"/>
            <w:tcBorders>
              <w:top w:val="single" w:color="000000" w:sz="4" w:space="0"/>
              <w:left w:val="single" w:color="000000" w:sz="4" w:space="0"/>
              <w:bottom w:val="single" w:color="000000" w:sz="4" w:space="0"/>
              <w:right w:val="single" w:color="000000" w:sz="4" w:space="0"/>
            </w:tcBorders>
            <w:vAlign w:val="center"/>
          </w:tcPr>
          <w:p w14:paraId="153B1F9C">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18385C05">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r>
      <w:tr w14:paraId="7DDD310F">
        <w:tblPrEx>
          <w:tblCellMar>
            <w:top w:w="15" w:type="dxa"/>
            <w:left w:w="15" w:type="dxa"/>
            <w:bottom w:w="15" w:type="dxa"/>
            <w:right w:w="15"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vAlign w:val="center"/>
          </w:tcPr>
          <w:p w14:paraId="35A2EA9B">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13</w:t>
            </w:r>
          </w:p>
        </w:tc>
        <w:tc>
          <w:tcPr>
            <w:tcW w:w="229" w:type="pct"/>
            <w:vMerge w:val="continue"/>
            <w:tcBorders>
              <w:top w:val="single" w:color="000000" w:sz="4" w:space="0"/>
              <w:left w:val="single" w:color="000000" w:sz="4" w:space="0"/>
              <w:bottom w:val="single" w:color="000000" w:sz="4" w:space="0"/>
              <w:right w:val="single" w:color="000000" w:sz="4" w:space="0"/>
            </w:tcBorders>
            <w:vAlign w:val="center"/>
          </w:tcPr>
          <w:p w14:paraId="460EFC86">
            <w:pPr>
              <w:keepNext/>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hAnsi="仿宋" w:cs="仿宋"/>
                <w:color w:val="000000"/>
                <w:sz w:val="24"/>
                <w:szCs w:val="24"/>
              </w:rPr>
            </w:pPr>
          </w:p>
        </w:tc>
        <w:tc>
          <w:tcPr>
            <w:tcW w:w="536" w:type="pct"/>
            <w:tcBorders>
              <w:top w:val="single" w:color="000000" w:sz="4" w:space="0"/>
              <w:left w:val="single" w:color="000000" w:sz="4" w:space="0"/>
              <w:bottom w:val="single" w:color="000000" w:sz="4" w:space="0"/>
              <w:right w:val="single" w:color="000000" w:sz="4" w:space="0"/>
            </w:tcBorders>
            <w:vAlign w:val="center"/>
          </w:tcPr>
          <w:p w14:paraId="47FA6DB5">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有关工作</w:t>
            </w:r>
          </w:p>
        </w:tc>
        <w:tc>
          <w:tcPr>
            <w:tcW w:w="2050" w:type="pct"/>
            <w:tcBorders>
              <w:top w:val="single" w:color="000000" w:sz="4" w:space="0"/>
              <w:left w:val="single" w:color="000000" w:sz="4" w:space="0"/>
              <w:bottom w:val="single" w:color="000000" w:sz="4" w:space="0"/>
              <w:right w:val="single" w:color="000000" w:sz="4" w:space="0"/>
            </w:tcBorders>
            <w:vAlign w:val="center"/>
          </w:tcPr>
          <w:p w14:paraId="6D4F881A">
            <w:pPr>
              <w:keepNext/>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rPr>
                <w:rFonts w:hint="eastAsia" w:hAnsi="仿宋" w:cs="仿宋"/>
                <w:color w:val="000000"/>
                <w:sz w:val="24"/>
                <w:szCs w:val="24"/>
              </w:rPr>
            </w:pPr>
            <w:r>
              <w:rPr>
                <w:rFonts w:hint="eastAsia" w:hAnsi="仿宋" w:cs="仿宋"/>
                <w:color w:val="000000"/>
                <w:kern w:val="0"/>
                <w:sz w:val="24"/>
                <w:szCs w:val="24"/>
                <w:lang w:bidi="ar"/>
              </w:rPr>
              <w:t>承诺愿意接受管理人安排的与本案委托内容有关工作，不要求增加费用</w:t>
            </w:r>
          </w:p>
        </w:tc>
        <w:tc>
          <w:tcPr>
            <w:tcW w:w="307" w:type="pct"/>
            <w:tcBorders>
              <w:top w:val="single" w:color="000000" w:sz="4" w:space="0"/>
              <w:left w:val="single" w:color="000000" w:sz="4" w:space="0"/>
              <w:bottom w:val="single" w:color="000000" w:sz="4" w:space="0"/>
              <w:right w:val="single" w:color="000000" w:sz="4" w:space="0"/>
            </w:tcBorders>
            <w:vAlign w:val="center"/>
          </w:tcPr>
          <w:p w14:paraId="1F253500">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5</w:t>
            </w:r>
          </w:p>
        </w:tc>
        <w:tc>
          <w:tcPr>
            <w:tcW w:w="1194" w:type="pct"/>
            <w:tcBorders>
              <w:top w:val="single" w:color="000000" w:sz="4" w:space="0"/>
              <w:left w:val="single" w:color="000000" w:sz="4" w:space="0"/>
              <w:bottom w:val="single" w:color="000000" w:sz="4" w:space="0"/>
              <w:right w:val="single" w:color="000000" w:sz="4" w:space="0"/>
            </w:tcBorders>
            <w:vAlign w:val="center"/>
          </w:tcPr>
          <w:p w14:paraId="716EF5AC">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48D3BBEC">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r>
      <w:tr w14:paraId="2DC11AC0">
        <w:tblPrEx>
          <w:tblCellMar>
            <w:top w:w="15" w:type="dxa"/>
            <w:left w:w="15" w:type="dxa"/>
            <w:bottom w:w="15" w:type="dxa"/>
            <w:right w:w="15" w:type="dxa"/>
          </w:tblCellMar>
        </w:tblPrEx>
        <w:trPr>
          <w:trHeight w:val="195" w:hRule="atLeast"/>
        </w:trPr>
        <w:tc>
          <w:tcPr>
            <w:tcW w:w="237" w:type="pct"/>
            <w:tcBorders>
              <w:top w:val="single" w:color="000000" w:sz="4" w:space="0"/>
              <w:left w:val="single" w:color="000000" w:sz="4" w:space="0"/>
              <w:bottom w:val="single" w:color="000000" w:sz="4" w:space="0"/>
              <w:right w:val="single" w:color="000000" w:sz="4" w:space="0"/>
            </w:tcBorders>
            <w:vAlign w:val="center"/>
          </w:tcPr>
          <w:p w14:paraId="29B014F8">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14</w:t>
            </w:r>
          </w:p>
        </w:tc>
        <w:tc>
          <w:tcPr>
            <w:tcW w:w="229" w:type="pct"/>
            <w:vMerge w:val="restart"/>
            <w:tcBorders>
              <w:top w:val="single" w:color="000000" w:sz="4" w:space="0"/>
              <w:left w:val="single" w:color="000000" w:sz="4" w:space="0"/>
              <w:bottom w:val="single" w:color="000000" w:sz="4" w:space="0"/>
              <w:right w:val="single" w:color="000000" w:sz="4" w:space="0"/>
            </w:tcBorders>
            <w:vAlign w:val="center"/>
          </w:tcPr>
          <w:p w14:paraId="63214622">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委托费用</w:t>
            </w:r>
          </w:p>
        </w:tc>
        <w:tc>
          <w:tcPr>
            <w:tcW w:w="536" w:type="pct"/>
            <w:tcBorders>
              <w:top w:val="single" w:color="000000" w:sz="4" w:space="0"/>
              <w:left w:val="single" w:color="000000" w:sz="4" w:space="0"/>
              <w:bottom w:val="single" w:color="000000" w:sz="4" w:space="0"/>
              <w:right w:val="single" w:color="000000" w:sz="4" w:space="0"/>
            </w:tcBorders>
            <w:vAlign w:val="center"/>
          </w:tcPr>
          <w:p w14:paraId="0E8C709A">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委托费用</w:t>
            </w:r>
          </w:p>
        </w:tc>
        <w:tc>
          <w:tcPr>
            <w:tcW w:w="2050" w:type="pct"/>
            <w:tcBorders>
              <w:top w:val="single" w:color="000000" w:sz="4" w:space="0"/>
              <w:left w:val="single" w:color="000000" w:sz="4" w:space="0"/>
              <w:bottom w:val="single" w:color="000000" w:sz="4" w:space="0"/>
              <w:right w:val="single" w:color="000000" w:sz="4" w:space="0"/>
            </w:tcBorders>
            <w:vAlign w:val="center"/>
          </w:tcPr>
          <w:p w14:paraId="3CC88D27">
            <w:pPr>
              <w:keepNext/>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rPr>
                <w:rFonts w:hint="eastAsia" w:hAnsi="仿宋" w:cs="仿宋"/>
                <w:color w:val="000000"/>
                <w:sz w:val="24"/>
                <w:szCs w:val="24"/>
              </w:rPr>
            </w:pPr>
            <w:r>
              <w:rPr>
                <w:rFonts w:hint="eastAsia" w:hAnsi="仿宋" w:cs="仿宋"/>
                <w:color w:val="000000"/>
                <w:kern w:val="0"/>
                <w:sz w:val="24"/>
                <w:szCs w:val="24"/>
                <w:lang w:bidi="ar"/>
              </w:rPr>
              <w:t>收费是否合理，是否接受调整</w:t>
            </w:r>
          </w:p>
        </w:tc>
        <w:tc>
          <w:tcPr>
            <w:tcW w:w="307" w:type="pct"/>
            <w:tcBorders>
              <w:top w:val="single" w:color="000000" w:sz="4" w:space="0"/>
              <w:left w:val="single" w:color="000000" w:sz="4" w:space="0"/>
              <w:bottom w:val="single" w:color="000000" w:sz="4" w:space="0"/>
              <w:right w:val="single" w:color="000000" w:sz="4" w:space="0"/>
            </w:tcBorders>
            <w:vAlign w:val="center"/>
          </w:tcPr>
          <w:p w14:paraId="74DBD666">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15</w:t>
            </w:r>
          </w:p>
        </w:tc>
        <w:tc>
          <w:tcPr>
            <w:tcW w:w="1194" w:type="pct"/>
            <w:tcBorders>
              <w:top w:val="single" w:color="000000" w:sz="4" w:space="0"/>
              <w:left w:val="single" w:color="000000" w:sz="4" w:space="0"/>
              <w:bottom w:val="single" w:color="000000" w:sz="4" w:space="0"/>
              <w:right w:val="single" w:color="000000" w:sz="4" w:space="0"/>
            </w:tcBorders>
            <w:vAlign w:val="center"/>
          </w:tcPr>
          <w:p w14:paraId="30BD00F7">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5DDACB96">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r>
      <w:tr w14:paraId="0C4182DF">
        <w:tblPrEx>
          <w:tblCellMar>
            <w:top w:w="15" w:type="dxa"/>
            <w:left w:w="15" w:type="dxa"/>
            <w:bottom w:w="15" w:type="dxa"/>
            <w:right w:w="15"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vAlign w:val="center"/>
          </w:tcPr>
          <w:p w14:paraId="642C08BF">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15</w:t>
            </w:r>
          </w:p>
        </w:tc>
        <w:tc>
          <w:tcPr>
            <w:tcW w:w="229" w:type="pct"/>
            <w:vMerge w:val="continue"/>
            <w:tcBorders>
              <w:top w:val="single" w:color="000000" w:sz="4" w:space="0"/>
              <w:left w:val="single" w:color="000000" w:sz="4" w:space="0"/>
              <w:bottom w:val="single" w:color="000000" w:sz="4" w:space="0"/>
              <w:right w:val="single" w:color="000000" w:sz="4" w:space="0"/>
            </w:tcBorders>
            <w:vAlign w:val="center"/>
          </w:tcPr>
          <w:p w14:paraId="08586ECB">
            <w:pPr>
              <w:keepNext/>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hAnsi="仿宋" w:cs="仿宋"/>
                <w:color w:val="000000"/>
                <w:sz w:val="24"/>
                <w:szCs w:val="24"/>
              </w:rPr>
            </w:pPr>
          </w:p>
        </w:tc>
        <w:tc>
          <w:tcPr>
            <w:tcW w:w="536" w:type="pct"/>
            <w:tcBorders>
              <w:top w:val="single" w:color="000000" w:sz="4" w:space="0"/>
              <w:left w:val="single" w:color="000000" w:sz="4" w:space="0"/>
              <w:bottom w:val="single" w:color="000000" w:sz="4" w:space="0"/>
              <w:right w:val="single" w:color="000000" w:sz="4" w:space="0"/>
            </w:tcBorders>
            <w:vAlign w:val="center"/>
          </w:tcPr>
          <w:p w14:paraId="439F0856">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收费节点</w:t>
            </w:r>
          </w:p>
        </w:tc>
        <w:tc>
          <w:tcPr>
            <w:tcW w:w="2050" w:type="pct"/>
            <w:tcBorders>
              <w:top w:val="single" w:color="000000" w:sz="4" w:space="0"/>
              <w:left w:val="single" w:color="000000" w:sz="4" w:space="0"/>
              <w:bottom w:val="single" w:color="000000" w:sz="4" w:space="0"/>
              <w:right w:val="single" w:color="000000" w:sz="4" w:space="0"/>
            </w:tcBorders>
            <w:vAlign w:val="center"/>
          </w:tcPr>
          <w:p w14:paraId="470F939F">
            <w:pPr>
              <w:keepNext/>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rPr>
                <w:rFonts w:hint="eastAsia" w:hAnsi="仿宋" w:cs="仿宋"/>
                <w:color w:val="000000"/>
                <w:sz w:val="24"/>
                <w:szCs w:val="24"/>
              </w:rPr>
            </w:pPr>
            <w:r>
              <w:rPr>
                <w:rFonts w:hint="eastAsia" w:hAnsi="仿宋" w:cs="仿宋"/>
                <w:color w:val="000000"/>
                <w:kern w:val="0"/>
                <w:sz w:val="24"/>
                <w:szCs w:val="24"/>
                <w:lang w:bidi="ar"/>
              </w:rPr>
              <w:t>承诺前期不收费，待资产变现后支付的</w:t>
            </w:r>
          </w:p>
        </w:tc>
        <w:tc>
          <w:tcPr>
            <w:tcW w:w="307" w:type="pct"/>
            <w:tcBorders>
              <w:top w:val="single" w:color="000000" w:sz="4" w:space="0"/>
              <w:left w:val="single" w:color="000000" w:sz="4" w:space="0"/>
              <w:bottom w:val="single" w:color="000000" w:sz="4" w:space="0"/>
              <w:right w:val="single" w:color="000000" w:sz="4" w:space="0"/>
            </w:tcBorders>
            <w:vAlign w:val="center"/>
          </w:tcPr>
          <w:p w14:paraId="3B9F266F">
            <w:pPr>
              <w:keepNext/>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eastAsia" w:hAnsi="仿宋" w:cs="仿宋"/>
                <w:color w:val="000000"/>
                <w:sz w:val="24"/>
                <w:szCs w:val="24"/>
              </w:rPr>
            </w:pPr>
            <w:r>
              <w:rPr>
                <w:rFonts w:hint="eastAsia" w:hAnsi="仿宋" w:cs="仿宋"/>
                <w:color w:val="000000"/>
                <w:kern w:val="0"/>
                <w:sz w:val="24"/>
                <w:szCs w:val="24"/>
                <w:lang w:bidi="ar"/>
              </w:rPr>
              <w:t>10</w:t>
            </w:r>
          </w:p>
        </w:tc>
        <w:tc>
          <w:tcPr>
            <w:tcW w:w="1194" w:type="pct"/>
            <w:tcBorders>
              <w:top w:val="single" w:color="000000" w:sz="4" w:space="0"/>
              <w:left w:val="single" w:color="000000" w:sz="4" w:space="0"/>
              <w:bottom w:val="single" w:color="000000" w:sz="4" w:space="0"/>
              <w:right w:val="single" w:color="000000" w:sz="4" w:space="0"/>
            </w:tcBorders>
            <w:vAlign w:val="center"/>
          </w:tcPr>
          <w:p w14:paraId="63924AD6">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7E4DDDC3">
            <w:pPr>
              <w:keepNext/>
              <w:keepLines w:val="0"/>
              <w:pageBreakBefore w:val="0"/>
              <w:widowControl/>
              <w:kinsoku/>
              <w:wordWrap/>
              <w:overflowPunct/>
              <w:topLinePunct w:val="0"/>
              <w:autoSpaceDE/>
              <w:autoSpaceDN/>
              <w:bidi w:val="0"/>
              <w:adjustRightInd/>
              <w:snapToGrid/>
              <w:spacing w:line="240" w:lineRule="atLeast"/>
              <w:ind w:firstLine="0" w:firstLineChars="0"/>
              <w:rPr>
                <w:rFonts w:hint="eastAsia" w:hAnsi="仿宋" w:cs="仿宋"/>
                <w:color w:val="000000"/>
                <w:sz w:val="24"/>
                <w:szCs w:val="24"/>
              </w:rPr>
            </w:pPr>
          </w:p>
        </w:tc>
      </w:tr>
      <w:tr w14:paraId="4C87130C">
        <w:tblPrEx>
          <w:tblCellMar>
            <w:top w:w="15" w:type="dxa"/>
            <w:left w:w="15" w:type="dxa"/>
            <w:bottom w:w="15" w:type="dxa"/>
            <w:right w:w="15" w:type="dxa"/>
          </w:tblCellMar>
        </w:tblPrEx>
        <w:trPr>
          <w:trHeight w:val="1357" w:hRule="atLeast"/>
        </w:trPr>
        <w:tc>
          <w:tcPr>
            <w:tcW w:w="5000" w:type="pct"/>
            <w:gridSpan w:val="7"/>
            <w:tcBorders>
              <w:left w:val="single" w:color="000000" w:sz="4" w:space="0"/>
              <w:bottom w:val="single" w:color="000000" w:sz="4" w:space="0"/>
              <w:right w:val="single" w:color="000000" w:sz="4" w:space="0"/>
            </w:tcBorders>
            <w:vAlign w:val="center"/>
          </w:tcPr>
          <w:p w14:paraId="48465065">
            <w:pPr>
              <w:keepNext/>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rPr>
                <w:rFonts w:hint="eastAsia" w:hAnsi="仿宋" w:cs="仿宋"/>
                <w:color w:val="000000"/>
                <w:sz w:val="24"/>
                <w:szCs w:val="24"/>
              </w:rPr>
            </w:pPr>
            <w:r>
              <w:rPr>
                <w:rFonts w:hint="eastAsia" w:hAnsi="仿宋" w:cs="仿宋"/>
                <w:color w:val="000000"/>
                <w:kern w:val="0"/>
                <w:sz w:val="24"/>
                <w:szCs w:val="24"/>
                <w:lang w:bidi="ar"/>
              </w:rPr>
              <w:t>说明：</w:t>
            </w:r>
            <w:r>
              <w:rPr>
                <w:rFonts w:hint="eastAsia" w:hAnsi="仿宋" w:cs="仿宋"/>
                <w:color w:val="000000"/>
                <w:kern w:val="0"/>
                <w:sz w:val="24"/>
                <w:szCs w:val="24"/>
                <w:lang w:bidi="ar"/>
              </w:rPr>
              <w:br w:type="textWrapping"/>
            </w:r>
            <w:r>
              <w:rPr>
                <w:rFonts w:hint="eastAsia" w:hAnsi="仿宋" w:cs="仿宋"/>
                <w:color w:val="000000"/>
                <w:kern w:val="0"/>
                <w:sz w:val="24"/>
                <w:szCs w:val="24"/>
                <w:lang w:bidi="ar"/>
              </w:rPr>
              <w:t>1.各报名机构应根据评分标准在自评内容一栏自行填报相关内容并注明佐证材料对应页码，管理人将在各方监督下进行评审；</w:t>
            </w:r>
            <w:r>
              <w:rPr>
                <w:rFonts w:hint="eastAsia" w:hAnsi="仿宋" w:cs="仿宋"/>
                <w:color w:val="000000"/>
                <w:kern w:val="0"/>
                <w:sz w:val="24"/>
                <w:szCs w:val="24"/>
                <w:lang w:bidi="ar"/>
              </w:rPr>
              <w:br w:type="textWrapping"/>
            </w:r>
            <w:r>
              <w:rPr>
                <w:rFonts w:hint="eastAsia" w:hAnsi="仿宋" w:cs="仿宋"/>
                <w:color w:val="000000"/>
                <w:kern w:val="0"/>
                <w:sz w:val="24"/>
                <w:szCs w:val="24"/>
                <w:lang w:bidi="ar"/>
              </w:rPr>
              <w:t>2.报名机构应对自身填报的内容负责。</w:t>
            </w:r>
          </w:p>
        </w:tc>
      </w:tr>
    </w:tbl>
    <w:p w14:paraId="0EB1E44F">
      <w:pPr>
        <w:keepNext/>
        <w:keepLines w:val="0"/>
        <w:pageBreakBefore w:val="0"/>
        <w:widowControl/>
        <w:kinsoku/>
        <w:wordWrap/>
        <w:overflowPunct/>
        <w:topLinePunct w:val="0"/>
        <w:autoSpaceDE/>
        <w:autoSpaceDN/>
        <w:bidi w:val="0"/>
        <w:adjustRightInd/>
        <w:snapToGrid/>
        <w:rPr>
          <w:rFonts w:hint="default"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br w:type="page"/>
      </w:r>
    </w:p>
    <w:tbl>
      <w:tblPr>
        <w:tblStyle w:val="6"/>
        <w:tblW w:w="4991" w:type="pct"/>
        <w:tblInd w:w="0" w:type="dxa"/>
        <w:tblLayout w:type="autofit"/>
        <w:tblCellMar>
          <w:top w:w="15" w:type="dxa"/>
          <w:left w:w="15" w:type="dxa"/>
          <w:bottom w:w="15" w:type="dxa"/>
          <w:right w:w="15" w:type="dxa"/>
        </w:tblCellMar>
      </w:tblPr>
      <w:tblGrid>
        <w:gridCol w:w="391"/>
        <w:gridCol w:w="424"/>
        <w:gridCol w:w="885"/>
        <w:gridCol w:w="3382"/>
        <w:gridCol w:w="499"/>
        <w:gridCol w:w="1881"/>
        <w:gridCol w:w="859"/>
      </w:tblGrid>
      <w:tr w14:paraId="3DD621F3">
        <w:trPr>
          <w:trHeight w:val="885" w:hRule="atLeast"/>
        </w:trPr>
        <w:tc>
          <w:tcPr>
            <w:tcW w:w="5000" w:type="pct"/>
            <w:gridSpan w:val="7"/>
            <w:tcBorders>
              <w:bottom w:val="single" w:color="auto" w:sz="4" w:space="0"/>
            </w:tcBorders>
            <w:vAlign w:val="center"/>
          </w:tcPr>
          <w:p w14:paraId="35A3E5E0">
            <w:pPr>
              <w:widowControl/>
              <w:spacing w:line="480" w:lineRule="exact"/>
              <w:ind w:firstLine="0" w:firstLineChars="0"/>
              <w:jc w:val="center"/>
              <w:textAlignment w:val="center"/>
              <w:rPr>
                <w:rFonts w:hint="eastAsia" w:ascii="宋体" w:hAnsi="宋体" w:eastAsia="宋体" w:cs="仿宋"/>
                <w:b/>
                <w:bCs/>
                <w:color w:val="000000"/>
                <w:kern w:val="0"/>
                <w:sz w:val="44"/>
                <w:szCs w:val="44"/>
                <w:lang w:eastAsia="zh-CN" w:bidi="ar"/>
              </w:rPr>
            </w:pPr>
            <w:r>
              <w:rPr>
                <w:rFonts w:hint="eastAsia" w:ascii="宋体" w:hAnsi="宋体" w:eastAsia="宋体" w:cs="仿宋"/>
                <w:b/>
                <w:bCs/>
                <w:color w:val="000000"/>
                <w:kern w:val="0"/>
                <w:sz w:val="44"/>
                <w:szCs w:val="44"/>
                <w:lang w:eastAsia="zh-CN" w:bidi="ar"/>
              </w:rPr>
              <w:t>贵州</w:t>
            </w:r>
            <w:r>
              <w:rPr>
                <w:rFonts w:hint="eastAsia" w:ascii="宋体" w:hAnsi="宋体" w:eastAsia="宋体" w:cs="仿宋"/>
                <w:b/>
                <w:bCs/>
                <w:color w:val="000000"/>
                <w:kern w:val="0"/>
                <w:sz w:val="44"/>
                <w:szCs w:val="44"/>
                <w:lang w:val="en-US" w:eastAsia="zh-CN" w:bidi="ar"/>
              </w:rPr>
              <w:t>华黔能源</w:t>
            </w:r>
            <w:r>
              <w:rPr>
                <w:rFonts w:hint="eastAsia" w:ascii="宋体" w:hAnsi="宋体" w:eastAsia="宋体" w:cs="仿宋"/>
                <w:b/>
                <w:bCs/>
                <w:color w:val="000000"/>
                <w:kern w:val="0"/>
                <w:sz w:val="44"/>
                <w:szCs w:val="44"/>
                <w:lang w:eastAsia="zh-CN" w:bidi="ar"/>
              </w:rPr>
              <w:t>有限公司</w:t>
            </w:r>
          </w:p>
          <w:p w14:paraId="0AB78781">
            <w:pPr>
              <w:widowControl/>
              <w:spacing w:line="480" w:lineRule="exact"/>
              <w:ind w:firstLine="0" w:firstLineChars="0"/>
              <w:jc w:val="center"/>
              <w:textAlignment w:val="center"/>
              <w:rPr>
                <w:rFonts w:hint="eastAsia" w:hAnsi="仿宋" w:cs="仿宋"/>
                <w:color w:val="000000"/>
                <w:sz w:val="21"/>
                <w:szCs w:val="21"/>
              </w:rPr>
            </w:pPr>
            <w:r>
              <w:rPr>
                <w:rFonts w:hint="eastAsia" w:ascii="宋体" w:hAnsi="宋体" w:eastAsia="宋体" w:cs="仿宋"/>
                <w:b/>
                <w:bCs/>
                <w:color w:val="000000"/>
                <w:kern w:val="0"/>
                <w:sz w:val="44"/>
                <w:szCs w:val="44"/>
                <w:lang w:bidi="ar"/>
              </w:rPr>
              <w:t>选聘评估机构评分表</w:t>
            </w:r>
          </w:p>
        </w:tc>
      </w:tr>
      <w:tr w14:paraId="430060B7">
        <w:tblPrEx>
          <w:tblCellMar>
            <w:top w:w="15" w:type="dxa"/>
            <w:left w:w="15" w:type="dxa"/>
            <w:bottom w:w="15" w:type="dxa"/>
            <w:right w:w="15" w:type="dxa"/>
          </w:tblCellMar>
        </w:tblPrEx>
        <w:trPr>
          <w:trHeight w:val="195" w:hRule="atLeast"/>
        </w:trPr>
        <w:tc>
          <w:tcPr>
            <w:tcW w:w="235" w:type="pct"/>
            <w:tcBorders>
              <w:top w:val="single" w:color="auto" w:sz="4" w:space="0"/>
              <w:left w:val="single" w:color="000000" w:sz="4" w:space="0"/>
              <w:bottom w:val="single" w:color="000000" w:sz="4" w:space="0"/>
              <w:right w:val="single" w:color="000000" w:sz="4" w:space="0"/>
            </w:tcBorders>
            <w:vAlign w:val="center"/>
          </w:tcPr>
          <w:p w14:paraId="5AE1490F">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序号</w:t>
            </w:r>
          </w:p>
        </w:tc>
        <w:tc>
          <w:tcPr>
            <w:tcW w:w="255" w:type="pct"/>
            <w:tcBorders>
              <w:top w:val="single" w:color="auto" w:sz="4" w:space="0"/>
              <w:left w:val="single" w:color="000000" w:sz="4" w:space="0"/>
              <w:bottom w:val="single" w:color="000000" w:sz="4" w:space="0"/>
              <w:right w:val="single" w:color="000000" w:sz="4" w:space="0"/>
            </w:tcBorders>
            <w:vAlign w:val="center"/>
          </w:tcPr>
          <w:p w14:paraId="0FBC9FDD">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类别</w:t>
            </w:r>
          </w:p>
        </w:tc>
        <w:tc>
          <w:tcPr>
            <w:tcW w:w="532" w:type="pct"/>
            <w:tcBorders>
              <w:top w:val="single" w:color="auto" w:sz="4" w:space="0"/>
              <w:left w:val="single" w:color="000000" w:sz="4" w:space="0"/>
              <w:bottom w:val="single" w:color="000000" w:sz="4" w:space="0"/>
              <w:right w:val="single" w:color="000000" w:sz="4" w:space="0"/>
            </w:tcBorders>
            <w:vAlign w:val="center"/>
          </w:tcPr>
          <w:p w14:paraId="524DABD7">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项目</w:t>
            </w:r>
          </w:p>
        </w:tc>
        <w:tc>
          <w:tcPr>
            <w:tcW w:w="2032" w:type="pct"/>
            <w:tcBorders>
              <w:top w:val="single" w:color="auto" w:sz="4" w:space="0"/>
              <w:left w:val="single" w:color="000000" w:sz="4" w:space="0"/>
              <w:bottom w:val="single" w:color="000000" w:sz="4" w:space="0"/>
              <w:right w:val="single" w:color="000000" w:sz="4" w:space="0"/>
            </w:tcBorders>
            <w:vAlign w:val="center"/>
          </w:tcPr>
          <w:p w14:paraId="08C626AF">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标准</w:t>
            </w:r>
          </w:p>
        </w:tc>
        <w:tc>
          <w:tcPr>
            <w:tcW w:w="300" w:type="pct"/>
            <w:tcBorders>
              <w:top w:val="single" w:color="auto" w:sz="4" w:space="0"/>
              <w:left w:val="single" w:color="000000" w:sz="4" w:space="0"/>
              <w:bottom w:val="single" w:color="000000" w:sz="4" w:space="0"/>
              <w:right w:val="single" w:color="000000" w:sz="4" w:space="0"/>
            </w:tcBorders>
            <w:vAlign w:val="center"/>
          </w:tcPr>
          <w:p w14:paraId="34C6B74E">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分值</w:t>
            </w:r>
          </w:p>
        </w:tc>
        <w:tc>
          <w:tcPr>
            <w:tcW w:w="1130" w:type="pct"/>
            <w:tcBorders>
              <w:top w:val="single" w:color="auto" w:sz="4" w:space="0"/>
              <w:left w:val="single" w:color="000000" w:sz="4" w:space="0"/>
              <w:bottom w:val="single" w:color="000000" w:sz="4" w:space="0"/>
              <w:right w:val="single" w:color="000000" w:sz="4" w:space="0"/>
            </w:tcBorders>
            <w:vAlign w:val="center"/>
          </w:tcPr>
          <w:p w14:paraId="4672F9DC">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自评内容</w:t>
            </w:r>
          </w:p>
        </w:tc>
        <w:tc>
          <w:tcPr>
            <w:tcW w:w="513" w:type="pct"/>
            <w:tcBorders>
              <w:top w:val="single" w:color="auto" w:sz="4" w:space="0"/>
              <w:left w:val="single" w:color="000000" w:sz="4" w:space="0"/>
              <w:bottom w:val="single" w:color="000000" w:sz="4" w:space="0"/>
              <w:right w:val="single" w:color="000000" w:sz="4" w:space="0"/>
            </w:tcBorders>
            <w:vAlign w:val="center"/>
          </w:tcPr>
          <w:p w14:paraId="43E8548C">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对应页码</w:t>
            </w:r>
          </w:p>
        </w:tc>
      </w:tr>
      <w:tr w14:paraId="118B07B7">
        <w:tblPrEx>
          <w:tblCellMar>
            <w:top w:w="15" w:type="dxa"/>
            <w:left w:w="15" w:type="dxa"/>
            <w:bottom w:w="15" w:type="dxa"/>
            <w:right w:w="15" w:type="dxa"/>
          </w:tblCellMar>
        </w:tblPrEx>
        <w:trPr>
          <w:trHeight w:val="375" w:hRule="atLeast"/>
        </w:trPr>
        <w:tc>
          <w:tcPr>
            <w:tcW w:w="235" w:type="pct"/>
            <w:tcBorders>
              <w:top w:val="single" w:color="000000" w:sz="4" w:space="0"/>
              <w:left w:val="single" w:color="000000" w:sz="4" w:space="0"/>
              <w:bottom w:val="single" w:color="000000" w:sz="4" w:space="0"/>
              <w:right w:val="single" w:color="000000" w:sz="4" w:space="0"/>
            </w:tcBorders>
            <w:vAlign w:val="center"/>
          </w:tcPr>
          <w:p w14:paraId="008B2EDE">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1</w:t>
            </w:r>
          </w:p>
        </w:tc>
        <w:tc>
          <w:tcPr>
            <w:tcW w:w="255" w:type="pct"/>
            <w:vMerge w:val="restart"/>
            <w:tcBorders>
              <w:top w:val="single" w:color="000000" w:sz="4" w:space="0"/>
              <w:left w:val="single" w:color="000000" w:sz="4" w:space="0"/>
              <w:bottom w:val="single" w:color="000000" w:sz="4" w:space="0"/>
              <w:right w:val="single" w:color="000000" w:sz="4" w:space="0"/>
            </w:tcBorders>
            <w:vAlign w:val="center"/>
          </w:tcPr>
          <w:p w14:paraId="76919AB7">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参选资质</w:t>
            </w:r>
          </w:p>
        </w:tc>
        <w:tc>
          <w:tcPr>
            <w:tcW w:w="532" w:type="pct"/>
            <w:tcBorders>
              <w:top w:val="single" w:color="000000" w:sz="4" w:space="0"/>
              <w:left w:val="single" w:color="000000" w:sz="4" w:space="0"/>
              <w:bottom w:val="single" w:color="000000" w:sz="4" w:space="0"/>
              <w:right w:val="single" w:color="000000" w:sz="4" w:space="0"/>
            </w:tcBorders>
            <w:vAlign w:val="center"/>
          </w:tcPr>
          <w:p w14:paraId="4AE954CB">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w:t>
            </w:r>
          </w:p>
        </w:tc>
        <w:tc>
          <w:tcPr>
            <w:tcW w:w="2032" w:type="pct"/>
            <w:tcBorders>
              <w:top w:val="single" w:color="000000" w:sz="4" w:space="0"/>
              <w:left w:val="single" w:color="000000" w:sz="4" w:space="0"/>
              <w:bottom w:val="single" w:color="000000" w:sz="4" w:space="0"/>
              <w:right w:val="single" w:color="000000" w:sz="4" w:space="0"/>
            </w:tcBorders>
            <w:vAlign w:val="center"/>
          </w:tcPr>
          <w:p w14:paraId="7466CDEE">
            <w:pPr>
              <w:widowControl/>
              <w:spacing w:line="240" w:lineRule="atLeast"/>
              <w:ind w:firstLine="0" w:firstLineChars="0"/>
              <w:jc w:val="left"/>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依法设立，具有相应执业资质，近三年连续正常执业，通过上一年度年检</w:t>
            </w:r>
          </w:p>
        </w:tc>
        <w:tc>
          <w:tcPr>
            <w:tcW w:w="300" w:type="pct"/>
            <w:tcBorders>
              <w:top w:val="single" w:color="000000" w:sz="4" w:space="0"/>
              <w:left w:val="single" w:color="000000" w:sz="4" w:space="0"/>
              <w:bottom w:val="single" w:color="000000" w:sz="4" w:space="0"/>
              <w:right w:val="single" w:color="000000" w:sz="4" w:space="0"/>
            </w:tcBorders>
            <w:vAlign w:val="center"/>
          </w:tcPr>
          <w:p w14:paraId="26F709AA">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w:t>
            </w:r>
          </w:p>
        </w:tc>
        <w:tc>
          <w:tcPr>
            <w:tcW w:w="1130" w:type="pct"/>
            <w:tcBorders>
              <w:top w:val="single" w:color="000000" w:sz="4" w:space="0"/>
              <w:left w:val="single" w:color="000000" w:sz="4" w:space="0"/>
              <w:bottom w:val="single" w:color="000000" w:sz="4" w:space="0"/>
              <w:right w:val="single" w:color="000000" w:sz="4" w:space="0"/>
            </w:tcBorders>
            <w:vAlign w:val="center"/>
          </w:tcPr>
          <w:p w14:paraId="6E3A8F4E">
            <w:pPr>
              <w:widowControl/>
              <w:spacing w:line="240" w:lineRule="atLeast"/>
              <w:ind w:firstLine="0" w:firstLineChars="0"/>
              <w:jc w:val="center"/>
              <w:textAlignment w:val="center"/>
              <w:rPr>
                <w:rFonts w:hint="eastAsia" w:hAnsi="仿宋" w:cs="仿宋"/>
                <w:color w:val="000000"/>
                <w:kern w:val="0"/>
                <w:sz w:val="24"/>
                <w:szCs w:val="24"/>
                <w:lang w:bidi="ar"/>
              </w:rPr>
            </w:pPr>
          </w:p>
        </w:tc>
        <w:tc>
          <w:tcPr>
            <w:tcW w:w="513" w:type="pct"/>
            <w:tcBorders>
              <w:top w:val="single" w:color="000000" w:sz="4" w:space="0"/>
              <w:left w:val="single" w:color="000000" w:sz="4" w:space="0"/>
              <w:bottom w:val="single" w:color="000000" w:sz="4" w:space="0"/>
              <w:right w:val="single" w:color="000000" w:sz="4" w:space="0"/>
            </w:tcBorders>
            <w:vAlign w:val="center"/>
          </w:tcPr>
          <w:p w14:paraId="5798874A">
            <w:pPr>
              <w:widowControl/>
              <w:spacing w:line="240" w:lineRule="atLeast"/>
              <w:ind w:firstLine="0" w:firstLineChars="0"/>
              <w:jc w:val="center"/>
              <w:textAlignment w:val="center"/>
              <w:rPr>
                <w:rFonts w:hint="eastAsia" w:hAnsi="仿宋" w:cs="仿宋"/>
                <w:color w:val="000000"/>
                <w:kern w:val="0"/>
                <w:sz w:val="24"/>
                <w:szCs w:val="24"/>
                <w:lang w:bidi="ar"/>
              </w:rPr>
            </w:pPr>
          </w:p>
        </w:tc>
      </w:tr>
      <w:tr w14:paraId="6289DB71">
        <w:tblPrEx>
          <w:tblCellMar>
            <w:top w:w="15" w:type="dxa"/>
            <w:left w:w="15" w:type="dxa"/>
            <w:bottom w:w="15" w:type="dxa"/>
            <w:right w:w="15" w:type="dxa"/>
          </w:tblCellMar>
        </w:tblPrEx>
        <w:trPr>
          <w:trHeight w:val="195" w:hRule="atLeast"/>
        </w:trPr>
        <w:tc>
          <w:tcPr>
            <w:tcW w:w="235" w:type="pct"/>
            <w:tcBorders>
              <w:top w:val="single" w:color="000000" w:sz="4" w:space="0"/>
              <w:left w:val="single" w:color="000000" w:sz="4" w:space="0"/>
              <w:bottom w:val="single" w:color="000000" w:sz="4" w:space="0"/>
              <w:right w:val="single" w:color="000000" w:sz="4" w:space="0"/>
            </w:tcBorders>
            <w:vAlign w:val="center"/>
          </w:tcPr>
          <w:p w14:paraId="1DB3A530">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2</w:t>
            </w:r>
          </w:p>
        </w:tc>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0FD4F4A3">
            <w:pPr>
              <w:widowControl/>
              <w:spacing w:line="240" w:lineRule="atLeast"/>
              <w:ind w:firstLine="0" w:firstLineChars="0"/>
              <w:jc w:val="center"/>
              <w:textAlignment w:val="center"/>
              <w:rPr>
                <w:rFonts w:hint="eastAsia" w:hAnsi="仿宋" w:cs="仿宋"/>
                <w:color w:val="000000"/>
                <w:kern w:val="0"/>
                <w:sz w:val="24"/>
                <w:szCs w:val="24"/>
                <w:lang w:bidi="ar"/>
              </w:rPr>
            </w:pPr>
          </w:p>
        </w:tc>
        <w:tc>
          <w:tcPr>
            <w:tcW w:w="532" w:type="pct"/>
            <w:tcBorders>
              <w:top w:val="single" w:color="000000" w:sz="4" w:space="0"/>
              <w:left w:val="single" w:color="000000" w:sz="4" w:space="0"/>
              <w:bottom w:val="single" w:color="000000" w:sz="4" w:space="0"/>
              <w:right w:val="single" w:color="000000" w:sz="4" w:space="0"/>
            </w:tcBorders>
            <w:vAlign w:val="center"/>
          </w:tcPr>
          <w:p w14:paraId="77B9CEA7">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w:t>
            </w:r>
          </w:p>
        </w:tc>
        <w:tc>
          <w:tcPr>
            <w:tcW w:w="2032" w:type="pct"/>
            <w:tcBorders>
              <w:top w:val="single" w:color="000000" w:sz="4" w:space="0"/>
              <w:left w:val="single" w:color="000000" w:sz="4" w:space="0"/>
              <w:bottom w:val="single" w:color="000000" w:sz="4" w:space="0"/>
              <w:right w:val="single" w:color="000000" w:sz="4" w:space="0"/>
            </w:tcBorders>
            <w:vAlign w:val="center"/>
          </w:tcPr>
          <w:p w14:paraId="2E39DAC6">
            <w:pPr>
              <w:widowControl/>
              <w:spacing w:line="240" w:lineRule="atLeast"/>
              <w:ind w:firstLine="0" w:firstLineChars="0"/>
              <w:jc w:val="left"/>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三年内没有受到行政处罚或刑事处罚</w:t>
            </w:r>
          </w:p>
        </w:tc>
        <w:tc>
          <w:tcPr>
            <w:tcW w:w="300" w:type="pct"/>
            <w:tcBorders>
              <w:top w:val="single" w:color="000000" w:sz="4" w:space="0"/>
              <w:left w:val="single" w:color="000000" w:sz="4" w:space="0"/>
              <w:bottom w:val="single" w:color="000000" w:sz="4" w:space="0"/>
              <w:right w:val="single" w:color="000000" w:sz="4" w:space="0"/>
            </w:tcBorders>
            <w:vAlign w:val="center"/>
          </w:tcPr>
          <w:p w14:paraId="7C8AAC60">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w:t>
            </w:r>
          </w:p>
        </w:tc>
        <w:tc>
          <w:tcPr>
            <w:tcW w:w="1130" w:type="pct"/>
            <w:tcBorders>
              <w:top w:val="single" w:color="000000" w:sz="4" w:space="0"/>
              <w:left w:val="single" w:color="000000" w:sz="4" w:space="0"/>
              <w:bottom w:val="single" w:color="000000" w:sz="4" w:space="0"/>
              <w:right w:val="single" w:color="000000" w:sz="4" w:space="0"/>
            </w:tcBorders>
            <w:vAlign w:val="center"/>
          </w:tcPr>
          <w:p w14:paraId="6F03E5E5">
            <w:pPr>
              <w:widowControl/>
              <w:spacing w:line="240" w:lineRule="atLeast"/>
              <w:ind w:firstLine="0" w:firstLineChars="0"/>
              <w:jc w:val="center"/>
              <w:textAlignment w:val="center"/>
              <w:rPr>
                <w:rFonts w:hint="eastAsia" w:hAnsi="仿宋" w:cs="仿宋"/>
                <w:color w:val="000000"/>
                <w:kern w:val="0"/>
                <w:sz w:val="24"/>
                <w:szCs w:val="24"/>
                <w:lang w:bidi="ar"/>
              </w:rPr>
            </w:pPr>
          </w:p>
        </w:tc>
        <w:tc>
          <w:tcPr>
            <w:tcW w:w="513" w:type="pct"/>
            <w:tcBorders>
              <w:top w:val="single" w:color="000000" w:sz="4" w:space="0"/>
              <w:left w:val="single" w:color="000000" w:sz="4" w:space="0"/>
              <w:bottom w:val="single" w:color="000000" w:sz="4" w:space="0"/>
              <w:right w:val="single" w:color="000000" w:sz="4" w:space="0"/>
            </w:tcBorders>
            <w:vAlign w:val="center"/>
          </w:tcPr>
          <w:p w14:paraId="03976853">
            <w:pPr>
              <w:widowControl/>
              <w:spacing w:line="240" w:lineRule="atLeast"/>
              <w:ind w:firstLine="0" w:firstLineChars="0"/>
              <w:jc w:val="center"/>
              <w:textAlignment w:val="center"/>
              <w:rPr>
                <w:rFonts w:hint="eastAsia" w:hAnsi="仿宋" w:cs="仿宋"/>
                <w:color w:val="000000"/>
                <w:kern w:val="0"/>
                <w:sz w:val="24"/>
                <w:szCs w:val="24"/>
                <w:lang w:bidi="ar"/>
              </w:rPr>
            </w:pPr>
          </w:p>
        </w:tc>
      </w:tr>
      <w:tr w14:paraId="247B388D">
        <w:tblPrEx>
          <w:tblCellMar>
            <w:top w:w="15" w:type="dxa"/>
            <w:left w:w="15" w:type="dxa"/>
            <w:bottom w:w="15" w:type="dxa"/>
            <w:right w:w="15" w:type="dxa"/>
          </w:tblCellMar>
        </w:tblPrEx>
        <w:trPr>
          <w:trHeight w:val="375" w:hRule="atLeast"/>
        </w:trPr>
        <w:tc>
          <w:tcPr>
            <w:tcW w:w="235" w:type="pct"/>
            <w:tcBorders>
              <w:top w:val="single" w:color="000000" w:sz="4" w:space="0"/>
              <w:left w:val="single" w:color="000000" w:sz="4" w:space="0"/>
              <w:bottom w:val="single" w:color="000000" w:sz="4" w:space="0"/>
              <w:right w:val="single" w:color="000000" w:sz="4" w:space="0"/>
            </w:tcBorders>
            <w:vAlign w:val="center"/>
          </w:tcPr>
          <w:p w14:paraId="5DB46D18">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3</w:t>
            </w:r>
          </w:p>
        </w:tc>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6DCA12E6">
            <w:pPr>
              <w:widowControl/>
              <w:spacing w:line="240" w:lineRule="atLeast"/>
              <w:ind w:firstLine="0" w:firstLineChars="0"/>
              <w:jc w:val="center"/>
              <w:textAlignment w:val="center"/>
              <w:rPr>
                <w:rFonts w:hint="eastAsia" w:hAnsi="仿宋" w:cs="仿宋"/>
                <w:color w:val="000000"/>
                <w:kern w:val="0"/>
                <w:sz w:val="24"/>
                <w:szCs w:val="24"/>
                <w:lang w:bidi="ar"/>
              </w:rPr>
            </w:pPr>
          </w:p>
        </w:tc>
        <w:tc>
          <w:tcPr>
            <w:tcW w:w="532" w:type="pct"/>
            <w:tcBorders>
              <w:top w:val="single" w:color="000000" w:sz="4" w:space="0"/>
              <w:left w:val="single" w:color="000000" w:sz="4" w:space="0"/>
              <w:bottom w:val="single" w:color="000000" w:sz="4" w:space="0"/>
              <w:right w:val="single" w:color="000000" w:sz="4" w:space="0"/>
            </w:tcBorders>
            <w:vAlign w:val="center"/>
          </w:tcPr>
          <w:p w14:paraId="7C43F1F2">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w:t>
            </w:r>
          </w:p>
        </w:tc>
        <w:tc>
          <w:tcPr>
            <w:tcW w:w="2032" w:type="pct"/>
            <w:tcBorders>
              <w:top w:val="single" w:color="000000" w:sz="4" w:space="0"/>
              <w:left w:val="single" w:color="000000" w:sz="4" w:space="0"/>
              <w:bottom w:val="single" w:color="000000" w:sz="4" w:space="0"/>
              <w:right w:val="single" w:color="000000" w:sz="4" w:space="0"/>
            </w:tcBorders>
            <w:vAlign w:val="center"/>
          </w:tcPr>
          <w:p w14:paraId="55A5BC6F">
            <w:pPr>
              <w:widowControl/>
              <w:spacing w:line="240" w:lineRule="atLeast"/>
              <w:ind w:firstLine="0" w:firstLineChars="0"/>
              <w:jc w:val="left"/>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现场工作负责人需有三年以上执业经历，近三年曾主导过企业的评估事务</w:t>
            </w:r>
          </w:p>
        </w:tc>
        <w:tc>
          <w:tcPr>
            <w:tcW w:w="300" w:type="pct"/>
            <w:tcBorders>
              <w:top w:val="single" w:color="000000" w:sz="4" w:space="0"/>
              <w:left w:val="single" w:color="000000" w:sz="4" w:space="0"/>
              <w:bottom w:val="single" w:color="000000" w:sz="4" w:space="0"/>
              <w:right w:val="single" w:color="000000" w:sz="4" w:space="0"/>
            </w:tcBorders>
            <w:vAlign w:val="center"/>
          </w:tcPr>
          <w:p w14:paraId="523AE157">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w:t>
            </w:r>
          </w:p>
        </w:tc>
        <w:tc>
          <w:tcPr>
            <w:tcW w:w="1130" w:type="pct"/>
            <w:tcBorders>
              <w:top w:val="single" w:color="000000" w:sz="4" w:space="0"/>
              <w:left w:val="single" w:color="000000" w:sz="4" w:space="0"/>
              <w:bottom w:val="single" w:color="000000" w:sz="4" w:space="0"/>
              <w:right w:val="single" w:color="000000" w:sz="4" w:space="0"/>
            </w:tcBorders>
            <w:vAlign w:val="center"/>
          </w:tcPr>
          <w:p w14:paraId="37E3997A">
            <w:pPr>
              <w:widowControl/>
              <w:spacing w:line="240" w:lineRule="atLeast"/>
              <w:ind w:firstLine="0" w:firstLineChars="0"/>
              <w:jc w:val="center"/>
              <w:textAlignment w:val="center"/>
              <w:rPr>
                <w:rFonts w:hint="eastAsia" w:hAnsi="仿宋" w:cs="仿宋"/>
                <w:color w:val="000000"/>
                <w:kern w:val="0"/>
                <w:sz w:val="24"/>
                <w:szCs w:val="24"/>
                <w:lang w:bidi="ar"/>
              </w:rPr>
            </w:pPr>
          </w:p>
        </w:tc>
        <w:tc>
          <w:tcPr>
            <w:tcW w:w="513" w:type="pct"/>
            <w:tcBorders>
              <w:top w:val="single" w:color="000000" w:sz="4" w:space="0"/>
              <w:left w:val="single" w:color="000000" w:sz="4" w:space="0"/>
              <w:bottom w:val="single" w:color="000000" w:sz="4" w:space="0"/>
              <w:right w:val="single" w:color="000000" w:sz="4" w:space="0"/>
            </w:tcBorders>
            <w:vAlign w:val="center"/>
          </w:tcPr>
          <w:p w14:paraId="3183B31D">
            <w:pPr>
              <w:widowControl/>
              <w:spacing w:line="240" w:lineRule="atLeast"/>
              <w:ind w:firstLine="0" w:firstLineChars="0"/>
              <w:jc w:val="center"/>
              <w:textAlignment w:val="center"/>
              <w:rPr>
                <w:rFonts w:hint="eastAsia" w:hAnsi="仿宋" w:cs="仿宋"/>
                <w:color w:val="000000"/>
                <w:kern w:val="0"/>
                <w:sz w:val="24"/>
                <w:szCs w:val="24"/>
                <w:lang w:bidi="ar"/>
              </w:rPr>
            </w:pPr>
          </w:p>
        </w:tc>
      </w:tr>
      <w:tr w14:paraId="5E54FA06">
        <w:tblPrEx>
          <w:tblCellMar>
            <w:top w:w="15" w:type="dxa"/>
            <w:left w:w="15" w:type="dxa"/>
            <w:bottom w:w="15" w:type="dxa"/>
            <w:right w:w="15" w:type="dxa"/>
          </w:tblCellMar>
        </w:tblPrEx>
        <w:trPr>
          <w:trHeight w:val="195" w:hRule="atLeast"/>
        </w:trPr>
        <w:tc>
          <w:tcPr>
            <w:tcW w:w="235" w:type="pct"/>
            <w:tcBorders>
              <w:top w:val="single" w:color="000000" w:sz="4" w:space="0"/>
              <w:left w:val="single" w:color="000000" w:sz="4" w:space="0"/>
              <w:bottom w:val="single" w:color="000000" w:sz="4" w:space="0"/>
              <w:right w:val="single" w:color="000000" w:sz="4" w:space="0"/>
            </w:tcBorders>
            <w:vAlign w:val="center"/>
          </w:tcPr>
          <w:p w14:paraId="26354AF9">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4</w:t>
            </w:r>
          </w:p>
        </w:tc>
        <w:tc>
          <w:tcPr>
            <w:tcW w:w="255" w:type="pct"/>
            <w:vMerge w:val="restart"/>
            <w:tcBorders>
              <w:top w:val="single" w:color="000000" w:sz="4" w:space="0"/>
              <w:left w:val="single" w:color="000000" w:sz="4" w:space="0"/>
              <w:bottom w:val="single" w:color="000000" w:sz="4" w:space="0"/>
              <w:right w:val="single" w:color="000000" w:sz="4" w:space="0"/>
            </w:tcBorders>
            <w:vAlign w:val="center"/>
          </w:tcPr>
          <w:p w14:paraId="6589EC73">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机构规模</w:t>
            </w:r>
          </w:p>
        </w:tc>
        <w:tc>
          <w:tcPr>
            <w:tcW w:w="532" w:type="pct"/>
            <w:tcBorders>
              <w:top w:val="single" w:color="000000" w:sz="4" w:space="0"/>
              <w:left w:val="single" w:color="000000" w:sz="4" w:space="0"/>
              <w:bottom w:val="single" w:color="000000" w:sz="4" w:space="0"/>
              <w:right w:val="single" w:color="000000" w:sz="4" w:space="0"/>
            </w:tcBorders>
            <w:vAlign w:val="center"/>
          </w:tcPr>
          <w:p w14:paraId="7740E83E">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成立年限</w:t>
            </w:r>
          </w:p>
        </w:tc>
        <w:tc>
          <w:tcPr>
            <w:tcW w:w="2032" w:type="pct"/>
            <w:tcBorders>
              <w:top w:val="single" w:color="000000" w:sz="4" w:space="0"/>
              <w:left w:val="single" w:color="000000" w:sz="4" w:space="0"/>
              <w:bottom w:val="single" w:color="000000" w:sz="4" w:space="0"/>
              <w:right w:val="single" w:color="000000" w:sz="4" w:space="0"/>
            </w:tcBorders>
            <w:vAlign w:val="center"/>
          </w:tcPr>
          <w:p w14:paraId="101A8504">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批准执业年限</w:t>
            </w:r>
          </w:p>
        </w:tc>
        <w:tc>
          <w:tcPr>
            <w:tcW w:w="300" w:type="pct"/>
            <w:tcBorders>
              <w:top w:val="single" w:color="000000" w:sz="4" w:space="0"/>
              <w:left w:val="single" w:color="000000" w:sz="4" w:space="0"/>
              <w:bottom w:val="single" w:color="000000" w:sz="4" w:space="0"/>
              <w:right w:val="single" w:color="000000" w:sz="4" w:space="0"/>
            </w:tcBorders>
            <w:vAlign w:val="center"/>
          </w:tcPr>
          <w:p w14:paraId="646DB2E8">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2</w:t>
            </w:r>
          </w:p>
        </w:tc>
        <w:tc>
          <w:tcPr>
            <w:tcW w:w="1130" w:type="pct"/>
            <w:tcBorders>
              <w:top w:val="single" w:color="000000" w:sz="4" w:space="0"/>
              <w:left w:val="single" w:color="000000" w:sz="4" w:space="0"/>
              <w:bottom w:val="single" w:color="000000" w:sz="4" w:space="0"/>
              <w:right w:val="single" w:color="000000" w:sz="4" w:space="0"/>
            </w:tcBorders>
            <w:vAlign w:val="center"/>
          </w:tcPr>
          <w:p w14:paraId="5F7560EC">
            <w:pPr>
              <w:widowControl/>
              <w:spacing w:line="240" w:lineRule="atLeast"/>
              <w:ind w:firstLine="0" w:firstLineChars="0"/>
              <w:jc w:val="center"/>
              <w:textAlignment w:val="center"/>
              <w:rPr>
                <w:rFonts w:hint="eastAsia" w:hAnsi="仿宋" w:cs="仿宋"/>
                <w:color w:val="000000"/>
                <w:kern w:val="0"/>
                <w:sz w:val="24"/>
                <w:szCs w:val="24"/>
                <w:lang w:bidi="ar"/>
              </w:rPr>
            </w:pPr>
          </w:p>
        </w:tc>
        <w:tc>
          <w:tcPr>
            <w:tcW w:w="513" w:type="pct"/>
            <w:tcBorders>
              <w:top w:val="single" w:color="000000" w:sz="4" w:space="0"/>
              <w:left w:val="single" w:color="000000" w:sz="4" w:space="0"/>
              <w:bottom w:val="single" w:color="000000" w:sz="4" w:space="0"/>
              <w:right w:val="single" w:color="000000" w:sz="4" w:space="0"/>
            </w:tcBorders>
            <w:vAlign w:val="center"/>
          </w:tcPr>
          <w:p w14:paraId="35141421">
            <w:pPr>
              <w:widowControl/>
              <w:spacing w:line="240" w:lineRule="atLeast"/>
              <w:ind w:firstLine="0" w:firstLineChars="0"/>
              <w:jc w:val="center"/>
              <w:textAlignment w:val="center"/>
              <w:rPr>
                <w:rFonts w:hint="eastAsia" w:hAnsi="仿宋" w:cs="仿宋"/>
                <w:color w:val="000000"/>
                <w:kern w:val="0"/>
                <w:sz w:val="24"/>
                <w:szCs w:val="24"/>
                <w:lang w:bidi="ar"/>
              </w:rPr>
            </w:pPr>
          </w:p>
        </w:tc>
      </w:tr>
      <w:tr w14:paraId="12CBE766">
        <w:tblPrEx>
          <w:tblCellMar>
            <w:top w:w="15" w:type="dxa"/>
            <w:left w:w="15" w:type="dxa"/>
            <w:bottom w:w="15" w:type="dxa"/>
            <w:right w:w="15" w:type="dxa"/>
          </w:tblCellMar>
        </w:tblPrEx>
        <w:trPr>
          <w:trHeight w:val="195" w:hRule="atLeast"/>
        </w:trPr>
        <w:tc>
          <w:tcPr>
            <w:tcW w:w="235" w:type="pct"/>
            <w:tcBorders>
              <w:top w:val="single" w:color="000000" w:sz="4" w:space="0"/>
              <w:left w:val="single" w:color="000000" w:sz="4" w:space="0"/>
              <w:bottom w:val="single" w:color="000000" w:sz="4" w:space="0"/>
              <w:right w:val="single" w:color="000000" w:sz="4" w:space="0"/>
            </w:tcBorders>
            <w:vAlign w:val="center"/>
          </w:tcPr>
          <w:p w14:paraId="7D088F51">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5</w:t>
            </w:r>
          </w:p>
        </w:tc>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4C6F2025">
            <w:pPr>
              <w:widowControl/>
              <w:spacing w:line="240" w:lineRule="atLeast"/>
              <w:ind w:firstLine="0" w:firstLineChars="0"/>
              <w:jc w:val="center"/>
              <w:textAlignment w:val="center"/>
              <w:rPr>
                <w:rFonts w:hint="eastAsia" w:hAnsi="仿宋" w:cs="仿宋"/>
                <w:color w:val="000000"/>
                <w:kern w:val="0"/>
                <w:sz w:val="24"/>
                <w:szCs w:val="24"/>
                <w:lang w:bidi="ar"/>
              </w:rPr>
            </w:pPr>
          </w:p>
        </w:tc>
        <w:tc>
          <w:tcPr>
            <w:tcW w:w="532" w:type="pct"/>
            <w:tcBorders>
              <w:top w:val="single" w:color="000000" w:sz="4" w:space="0"/>
              <w:left w:val="single" w:color="000000" w:sz="4" w:space="0"/>
              <w:bottom w:val="single" w:color="000000" w:sz="4" w:space="0"/>
              <w:right w:val="single" w:color="000000" w:sz="4" w:space="0"/>
            </w:tcBorders>
            <w:vAlign w:val="center"/>
          </w:tcPr>
          <w:p w14:paraId="5E30FFE2">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专业人员</w:t>
            </w:r>
          </w:p>
        </w:tc>
        <w:tc>
          <w:tcPr>
            <w:tcW w:w="2032" w:type="pct"/>
            <w:tcBorders>
              <w:top w:val="single" w:color="000000" w:sz="4" w:space="0"/>
              <w:left w:val="single" w:color="000000" w:sz="4" w:space="0"/>
              <w:bottom w:val="single" w:color="000000" w:sz="4" w:space="0"/>
              <w:right w:val="single" w:color="000000" w:sz="4" w:space="0"/>
            </w:tcBorders>
            <w:vAlign w:val="center"/>
          </w:tcPr>
          <w:p w14:paraId="18D57624">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评估师数量</w:t>
            </w:r>
          </w:p>
        </w:tc>
        <w:tc>
          <w:tcPr>
            <w:tcW w:w="300" w:type="pct"/>
            <w:tcBorders>
              <w:top w:val="single" w:color="000000" w:sz="4" w:space="0"/>
              <w:left w:val="single" w:color="000000" w:sz="4" w:space="0"/>
              <w:bottom w:val="single" w:color="000000" w:sz="4" w:space="0"/>
              <w:right w:val="single" w:color="000000" w:sz="4" w:space="0"/>
            </w:tcBorders>
            <w:vAlign w:val="center"/>
          </w:tcPr>
          <w:p w14:paraId="50221247">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6</w:t>
            </w:r>
          </w:p>
        </w:tc>
        <w:tc>
          <w:tcPr>
            <w:tcW w:w="1130" w:type="pct"/>
            <w:tcBorders>
              <w:top w:val="single" w:color="000000" w:sz="4" w:space="0"/>
              <w:left w:val="single" w:color="000000" w:sz="4" w:space="0"/>
              <w:bottom w:val="single" w:color="000000" w:sz="4" w:space="0"/>
              <w:right w:val="single" w:color="000000" w:sz="4" w:space="0"/>
            </w:tcBorders>
            <w:vAlign w:val="center"/>
          </w:tcPr>
          <w:p w14:paraId="46240768">
            <w:pPr>
              <w:widowControl/>
              <w:spacing w:line="240" w:lineRule="atLeast"/>
              <w:ind w:firstLine="0" w:firstLineChars="0"/>
              <w:jc w:val="center"/>
              <w:textAlignment w:val="center"/>
              <w:rPr>
                <w:rFonts w:hint="eastAsia" w:hAnsi="仿宋" w:cs="仿宋"/>
                <w:color w:val="000000"/>
                <w:kern w:val="0"/>
                <w:sz w:val="24"/>
                <w:szCs w:val="24"/>
                <w:lang w:bidi="ar"/>
              </w:rPr>
            </w:pPr>
          </w:p>
        </w:tc>
        <w:tc>
          <w:tcPr>
            <w:tcW w:w="513" w:type="pct"/>
            <w:tcBorders>
              <w:top w:val="single" w:color="000000" w:sz="4" w:space="0"/>
              <w:left w:val="single" w:color="000000" w:sz="4" w:space="0"/>
              <w:bottom w:val="single" w:color="000000" w:sz="4" w:space="0"/>
              <w:right w:val="single" w:color="000000" w:sz="4" w:space="0"/>
            </w:tcBorders>
            <w:vAlign w:val="center"/>
          </w:tcPr>
          <w:p w14:paraId="6F3D03E9">
            <w:pPr>
              <w:widowControl/>
              <w:spacing w:line="240" w:lineRule="atLeast"/>
              <w:ind w:firstLine="0" w:firstLineChars="0"/>
              <w:jc w:val="center"/>
              <w:textAlignment w:val="center"/>
              <w:rPr>
                <w:rFonts w:hint="eastAsia" w:hAnsi="仿宋" w:cs="仿宋"/>
                <w:color w:val="000000"/>
                <w:kern w:val="0"/>
                <w:sz w:val="24"/>
                <w:szCs w:val="24"/>
                <w:lang w:bidi="ar"/>
              </w:rPr>
            </w:pPr>
          </w:p>
        </w:tc>
      </w:tr>
      <w:tr w14:paraId="39A4EB27">
        <w:tblPrEx>
          <w:tblCellMar>
            <w:top w:w="15" w:type="dxa"/>
            <w:left w:w="15" w:type="dxa"/>
            <w:bottom w:w="15" w:type="dxa"/>
            <w:right w:w="15" w:type="dxa"/>
          </w:tblCellMar>
        </w:tblPrEx>
        <w:trPr>
          <w:trHeight w:val="195" w:hRule="atLeast"/>
        </w:trPr>
        <w:tc>
          <w:tcPr>
            <w:tcW w:w="235" w:type="pct"/>
            <w:tcBorders>
              <w:top w:val="single" w:color="000000" w:sz="4" w:space="0"/>
              <w:left w:val="single" w:color="000000" w:sz="4" w:space="0"/>
              <w:bottom w:val="single" w:color="000000" w:sz="4" w:space="0"/>
              <w:right w:val="single" w:color="000000" w:sz="4" w:space="0"/>
            </w:tcBorders>
            <w:vAlign w:val="center"/>
          </w:tcPr>
          <w:p w14:paraId="3379014F">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6</w:t>
            </w:r>
          </w:p>
        </w:tc>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4433F197">
            <w:pPr>
              <w:widowControl/>
              <w:spacing w:line="240" w:lineRule="atLeast"/>
              <w:ind w:firstLine="0" w:firstLineChars="0"/>
              <w:jc w:val="center"/>
              <w:textAlignment w:val="center"/>
              <w:rPr>
                <w:rFonts w:hint="eastAsia" w:hAnsi="仿宋" w:cs="仿宋"/>
                <w:color w:val="000000"/>
                <w:kern w:val="0"/>
                <w:sz w:val="24"/>
                <w:szCs w:val="24"/>
                <w:lang w:bidi="ar"/>
              </w:rPr>
            </w:pPr>
          </w:p>
        </w:tc>
        <w:tc>
          <w:tcPr>
            <w:tcW w:w="532" w:type="pct"/>
            <w:tcBorders>
              <w:top w:val="single" w:color="000000" w:sz="4" w:space="0"/>
              <w:left w:val="single" w:color="000000" w:sz="4" w:space="0"/>
              <w:bottom w:val="single" w:color="000000" w:sz="4" w:space="0"/>
              <w:right w:val="single" w:color="000000" w:sz="4" w:space="0"/>
            </w:tcBorders>
            <w:vAlign w:val="center"/>
          </w:tcPr>
          <w:p w14:paraId="17C8090C">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注册资本</w:t>
            </w:r>
          </w:p>
        </w:tc>
        <w:tc>
          <w:tcPr>
            <w:tcW w:w="2032" w:type="pct"/>
            <w:tcBorders>
              <w:top w:val="single" w:color="000000" w:sz="4" w:space="0"/>
              <w:left w:val="single" w:color="000000" w:sz="4" w:space="0"/>
              <w:bottom w:val="single" w:color="000000" w:sz="4" w:space="0"/>
              <w:right w:val="single" w:color="000000" w:sz="4" w:space="0"/>
            </w:tcBorders>
            <w:vAlign w:val="center"/>
          </w:tcPr>
          <w:p w14:paraId="700FC701">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注册资本</w:t>
            </w:r>
          </w:p>
        </w:tc>
        <w:tc>
          <w:tcPr>
            <w:tcW w:w="300" w:type="pct"/>
            <w:tcBorders>
              <w:top w:val="single" w:color="000000" w:sz="4" w:space="0"/>
              <w:left w:val="single" w:color="000000" w:sz="4" w:space="0"/>
              <w:bottom w:val="single" w:color="000000" w:sz="4" w:space="0"/>
              <w:right w:val="single" w:color="000000" w:sz="4" w:space="0"/>
            </w:tcBorders>
            <w:vAlign w:val="center"/>
          </w:tcPr>
          <w:p w14:paraId="285273AA">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2</w:t>
            </w:r>
          </w:p>
        </w:tc>
        <w:tc>
          <w:tcPr>
            <w:tcW w:w="1130" w:type="pct"/>
            <w:tcBorders>
              <w:top w:val="single" w:color="000000" w:sz="4" w:space="0"/>
              <w:left w:val="single" w:color="000000" w:sz="4" w:space="0"/>
              <w:bottom w:val="single" w:color="000000" w:sz="4" w:space="0"/>
              <w:right w:val="single" w:color="000000" w:sz="4" w:space="0"/>
            </w:tcBorders>
            <w:vAlign w:val="center"/>
          </w:tcPr>
          <w:p w14:paraId="7E2C15CC">
            <w:pPr>
              <w:widowControl/>
              <w:spacing w:line="240" w:lineRule="atLeast"/>
              <w:ind w:firstLine="0" w:firstLineChars="0"/>
              <w:jc w:val="center"/>
              <w:textAlignment w:val="center"/>
              <w:rPr>
                <w:rFonts w:hint="eastAsia" w:hAnsi="仿宋" w:cs="仿宋"/>
                <w:color w:val="000000"/>
                <w:kern w:val="0"/>
                <w:sz w:val="24"/>
                <w:szCs w:val="24"/>
                <w:lang w:bidi="ar"/>
              </w:rPr>
            </w:pPr>
          </w:p>
        </w:tc>
        <w:tc>
          <w:tcPr>
            <w:tcW w:w="513" w:type="pct"/>
            <w:tcBorders>
              <w:top w:val="single" w:color="000000" w:sz="4" w:space="0"/>
              <w:left w:val="single" w:color="000000" w:sz="4" w:space="0"/>
              <w:bottom w:val="single" w:color="000000" w:sz="4" w:space="0"/>
              <w:right w:val="single" w:color="000000" w:sz="4" w:space="0"/>
            </w:tcBorders>
            <w:vAlign w:val="center"/>
          </w:tcPr>
          <w:p w14:paraId="7C4D3987">
            <w:pPr>
              <w:widowControl/>
              <w:spacing w:line="240" w:lineRule="atLeast"/>
              <w:ind w:firstLine="0" w:firstLineChars="0"/>
              <w:jc w:val="center"/>
              <w:textAlignment w:val="center"/>
              <w:rPr>
                <w:rFonts w:hint="eastAsia" w:hAnsi="仿宋" w:cs="仿宋"/>
                <w:color w:val="000000"/>
                <w:kern w:val="0"/>
                <w:sz w:val="24"/>
                <w:szCs w:val="24"/>
                <w:lang w:bidi="ar"/>
              </w:rPr>
            </w:pPr>
          </w:p>
        </w:tc>
      </w:tr>
      <w:tr w14:paraId="52CA6688">
        <w:tblPrEx>
          <w:tblCellMar>
            <w:top w:w="15" w:type="dxa"/>
            <w:left w:w="15" w:type="dxa"/>
            <w:bottom w:w="15" w:type="dxa"/>
            <w:right w:w="15" w:type="dxa"/>
          </w:tblCellMar>
        </w:tblPrEx>
        <w:trPr>
          <w:trHeight w:val="375" w:hRule="atLeast"/>
        </w:trPr>
        <w:tc>
          <w:tcPr>
            <w:tcW w:w="235" w:type="pct"/>
            <w:tcBorders>
              <w:top w:val="single" w:color="000000" w:sz="4" w:space="0"/>
              <w:left w:val="single" w:color="000000" w:sz="4" w:space="0"/>
              <w:bottom w:val="single" w:color="000000" w:sz="4" w:space="0"/>
              <w:right w:val="single" w:color="000000" w:sz="4" w:space="0"/>
            </w:tcBorders>
            <w:vAlign w:val="center"/>
          </w:tcPr>
          <w:p w14:paraId="06DDFB6E">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7</w:t>
            </w:r>
          </w:p>
        </w:tc>
        <w:tc>
          <w:tcPr>
            <w:tcW w:w="255" w:type="pct"/>
            <w:vMerge w:val="restart"/>
            <w:tcBorders>
              <w:top w:val="single" w:color="000000" w:sz="4" w:space="0"/>
              <w:left w:val="single" w:color="000000" w:sz="4" w:space="0"/>
              <w:bottom w:val="single" w:color="000000" w:sz="4" w:space="0"/>
              <w:right w:val="single" w:color="000000" w:sz="4" w:space="0"/>
            </w:tcBorders>
            <w:vAlign w:val="center"/>
          </w:tcPr>
          <w:p w14:paraId="0D0370A6">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专业经验</w:t>
            </w:r>
          </w:p>
        </w:tc>
        <w:tc>
          <w:tcPr>
            <w:tcW w:w="532" w:type="pct"/>
            <w:tcBorders>
              <w:top w:val="single" w:color="000000" w:sz="4" w:space="0"/>
              <w:left w:val="single" w:color="000000" w:sz="4" w:space="0"/>
              <w:bottom w:val="single" w:color="000000" w:sz="4" w:space="0"/>
              <w:right w:val="single" w:color="000000" w:sz="4" w:space="0"/>
            </w:tcBorders>
            <w:vAlign w:val="center"/>
          </w:tcPr>
          <w:p w14:paraId="580540EF">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从业经验</w:t>
            </w:r>
          </w:p>
        </w:tc>
        <w:tc>
          <w:tcPr>
            <w:tcW w:w="2032" w:type="pct"/>
            <w:tcBorders>
              <w:top w:val="single" w:color="000000" w:sz="4" w:space="0"/>
              <w:left w:val="single" w:color="000000" w:sz="4" w:space="0"/>
              <w:bottom w:val="single" w:color="000000" w:sz="4" w:space="0"/>
              <w:right w:val="single" w:color="000000" w:sz="4" w:space="0"/>
            </w:tcBorders>
            <w:vAlign w:val="center"/>
          </w:tcPr>
          <w:p w14:paraId="5C98E63E">
            <w:pPr>
              <w:widowControl/>
              <w:spacing w:line="240" w:lineRule="atLeast"/>
              <w:ind w:firstLine="0" w:firstLineChars="0"/>
              <w:jc w:val="left"/>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有破产相关从业经验，至少办理过一件企业破产的评估</w:t>
            </w:r>
          </w:p>
        </w:tc>
        <w:tc>
          <w:tcPr>
            <w:tcW w:w="300" w:type="pct"/>
            <w:tcBorders>
              <w:top w:val="single" w:color="000000" w:sz="4" w:space="0"/>
              <w:left w:val="single" w:color="000000" w:sz="4" w:space="0"/>
              <w:bottom w:val="single" w:color="000000" w:sz="4" w:space="0"/>
              <w:right w:val="single" w:color="000000" w:sz="4" w:space="0"/>
            </w:tcBorders>
            <w:vAlign w:val="center"/>
          </w:tcPr>
          <w:p w14:paraId="70C5B50F">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3</w:t>
            </w:r>
          </w:p>
        </w:tc>
        <w:tc>
          <w:tcPr>
            <w:tcW w:w="1130" w:type="pct"/>
            <w:tcBorders>
              <w:top w:val="single" w:color="000000" w:sz="4" w:space="0"/>
              <w:left w:val="single" w:color="000000" w:sz="4" w:space="0"/>
              <w:bottom w:val="single" w:color="000000" w:sz="4" w:space="0"/>
              <w:right w:val="single" w:color="000000" w:sz="4" w:space="0"/>
            </w:tcBorders>
            <w:vAlign w:val="center"/>
          </w:tcPr>
          <w:p w14:paraId="6BBFE6CD">
            <w:pPr>
              <w:widowControl/>
              <w:spacing w:line="240" w:lineRule="atLeast"/>
              <w:ind w:firstLine="0" w:firstLineChars="0"/>
              <w:jc w:val="center"/>
              <w:textAlignment w:val="center"/>
              <w:rPr>
                <w:rFonts w:hint="eastAsia" w:hAnsi="仿宋" w:cs="仿宋"/>
                <w:color w:val="000000"/>
                <w:kern w:val="0"/>
                <w:sz w:val="24"/>
                <w:szCs w:val="24"/>
                <w:lang w:bidi="ar"/>
              </w:rPr>
            </w:pPr>
          </w:p>
        </w:tc>
        <w:tc>
          <w:tcPr>
            <w:tcW w:w="513" w:type="pct"/>
            <w:tcBorders>
              <w:top w:val="single" w:color="000000" w:sz="4" w:space="0"/>
              <w:left w:val="single" w:color="000000" w:sz="4" w:space="0"/>
              <w:bottom w:val="single" w:color="000000" w:sz="4" w:space="0"/>
              <w:right w:val="single" w:color="000000" w:sz="4" w:space="0"/>
            </w:tcBorders>
            <w:vAlign w:val="center"/>
          </w:tcPr>
          <w:p w14:paraId="3C06251C">
            <w:pPr>
              <w:widowControl/>
              <w:spacing w:line="240" w:lineRule="atLeast"/>
              <w:ind w:firstLine="0" w:firstLineChars="0"/>
              <w:jc w:val="center"/>
              <w:textAlignment w:val="center"/>
              <w:rPr>
                <w:rFonts w:hint="eastAsia" w:hAnsi="仿宋" w:cs="仿宋"/>
                <w:color w:val="000000"/>
                <w:kern w:val="0"/>
                <w:sz w:val="24"/>
                <w:szCs w:val="24"/>
                <w:lang w:bidi="ar"/>
              </w:rPr>
            </w:pPr>
          </w:p>
        </w:tc>
      </w:tr>
      <w:tr w14:paraId="2257F02B">
        <w:tblPrEx>
          <w:tblCellMar>
            <w:top w:w="15" w:type="dxa"/>
            <w:left w:w="15" w:type="dxa"/>
            <w:bottom w:w="15" w:type="dxa"/>
            <w:right w:w="15" w:type="dxa"/>
          </w:tblCellMar>
        </w:tblPrEx>
        <w:trPr>
          <w:trHeight w:val="375" w:hRule="atLeast"/>
        </w:trPr>
        <w:tc>
          <w:tcPr>
            <w:tcW w:w="235" w:type="pct"/>
            <w:tcBorders>
              <w:top w:val="single" w:color="000000" w:sz="4" w:space="0"/>
              <w:left w:val="single" w:color="000000" w:sz="4" w:space="0"/>
              <w:bottom w:val="single" w:color="000000" w:sz="4" w:space="0"/>
              <w:right w:val="single" w:color="000000" w:sz="4" w:space="0"/>
            </w:tcBorders>
            <w:vAlign w:val="center"/>
          </w:tcPr>
          <w:p w14:paraId="39CC548F">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8</w:t>
            </w:r>
          </w:p>
        </w:tc>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6ED4D407">
            <w:pPr>
              <w:widowControl/>
              <w:spacing w:line="240" w:lineRule="atLeast"/>
              <w:ind w:firstLine="0" w:firstLineChars="0"/>
              <w:jc w:val="center"/>
              <w:textAlignment w:val="center"/>
              <w:rPr>
                <w:rFonts w:hint="eastAsia" w:hAnsi="仿宋" w:cs="仿宋"/>
                <w:color w:val="000000"/>
                <w:kern w:val="0"/>
                <w:sz w:val="24"/>
                <w:szCs w:val="24"/>
                <w:lang w:bidi="ar"/>
              </w:rPr>
            </w:pPr>
          </w:p>
        </w:tc>
        <w:tc>
          <w:tcPr>
            <w:tcW w:w="532" w:type="pct"/>
            <w:tcBorders>
              <w:top w:val="single" w:color="000000" w:sz="4" w:space="0"/>
              <w:left w:val="single" w:color="000000" w:sz="4" w:space="0"/>
              <w:bottom w:val="single" w:color="000000" w:sz="4" w:space="0"/>
              <w:right w:val="single" w:color="000000" w:sz="4" w:space="0"/>
            </w:tcBorders>
            <w:vAlign w:val="center"/>
          </w:tcPr>
          <w:p w14:paraId="75D707D3">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破产评估</w:t>
            </w:r>
          </w:p>
        </w:tc>
        <w:tc>
          <w:tcPr>
            <w:tcW w:w="2032" w:type="pct"/>
            <w:tcBorders>
              <w:top w:val="single" w:color="000000" w:sz="4" w:space="0"/>
              <w:left w:val="single" w:color="000000" w:sz="4" w:space="0"/>
              <w:bottom w:val="single" w:color="000000" w:sz="4" w:space="0"/>
              <w:right w:val="single" w:color="000000" w:sz="4" w:space="0"/>
            </w:tcBorders>
            <w:vAlign w:val="center"/>
          </w:tcPr>
          <w:p w14:paraId="55543073">
            <w:pPr>
              <w:widowControl/>
              <w:spacing w:line="240" w:lineRule="atLeast"/>
              <w:ind w:firstLine="0" w:firstLineChars="0"/>
              <w:jc w:val="left"/>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除7外，每增加一个破产评估经验加1分</w:t>
            </w:r>
          </w:p>
        </w:tc>
        <w:tc>
          <w:tcPr>
            <w:tcW w:w="300" w:type="pct"/>
            <w:tcBorders>
              <w:top w:val="single" w:color="000000" w:sz="4" w:space="0"/>
              <w:left w:val="single" w:color="000000" w:sz="4" w:space="0"/>
              <w:bottom w:val="single" w:color="000000" w:sz="4" w:space="0"/>
              <w:right w:val="single" w:color="000000" w:sz="4" w:space="0"/>
            </w:tcBorders>
            <w:vAlign w:val="center"/>
          </w:tcPr>
          <w:p w14:paraId="19D37CED">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16</w:t>
            </w:r>
          </w:p>
        </w:tc>
        <w:tc>
          <w:tcPr>
            <w:tcW w:w="1130" w:type="pct"/>
            <w:tcBorders>
              <w:top w:val="single" w:color="000000" w:sz="4" w:space="0"/>
              <w:left w:val="single" w:color="000000" w:sz="4" w:space="0"/>
              <w:bottom w:val="single" w:color="000000" w:sz="4" w:space="0"/>
              <w:right w:val="single" w:color="000000" w:sz="4" w:space="0"/>
            </w:tcBorders>
            <w:vAlign w:val="center"/>
          </w:tcPr>
          <w:p w14:paraId="616C5F12">
            <w:pPr>
              <w:widowControl/>
              <w:spacing w:line="240" w:lineRule="atLeast"/>
              <w:ind w:firstLine="0" w:firstLineChars="0"/>
              <w:jc w:val="center"/>
              <w:textAlignment w:val="center"/>
              <w:rPr>
                <w:rFonts w:hint="eastAsia" w:hAnsi="仿宋" w:cs="仿宋"/>
                <w:color w:val="000000"/>
                <w:kern w:val="0"/>
                <w:sz w:val="24"/>
                <w:szCs w:val="24"/>
                <w:lang w:bidi="ar"/>
              </w:rPr>
            </w:pPr>
          </w:p>
        </w:tc>
        <w:tc>
          <w:tcPr>
            <w:tcW w:w="513" w:type="pct"/>
            <w:tcBorders>
              <w:top w:val="single" w:color="000000" w:sz="4" w:space="0"/>
              <w:left w:val="single" w:color="000000" w:sz="4" w:space="0"/>
              <w:bottom w:val="single" w:color="000000" w:sz="4" w:space="0"/>
              <w:right w:val="single" w:color="000000" w:sz="4" w:space="0"/>
            </w:tcBorders>
            <w:vAlign w:val="center"/>
          </w:tcPr>
          <w:p w14:paraId="1588209D">
            <w:pPr>
              <w:widowControl/>
              <w:spacing w:line="240" w:lineRule="atLeast"/>
              <w:ind w:firstLine="0" w:firstLineChars="0"/>
              <w:jc w:val="center"/>
              <w:textAlignment w:val="center"/>
              <w:rPr>
                <w:rFonts w:hint="eastAsia" w:hAnsi="仿宋" w:cs="仿宋"/>
                <w:color w:val="000000"/>
                <w:kern w:val="0"/>
                <w:sz w:val="24"/>
                <w:szCs w:val="24"/>
                <w:lang w:bidi="ar"/>
              </w:rPr>
            </w:pPr>
          </w:p>
        </w:tc>
      </w:tr>
      <w:tr w14:paraId="7D142461">
        <w:tblPrEx>
          <w:tblCellMar>
            <w:top w:w="15" w:type="dxa"/>
            <w:left w:w="15" w:type="dxa"/>
            <w:bottom w:w="15" w:type="dxa"/>
            <w:right w:w="15" w:type="dxa"/>
          </w:tblCellMar>
        </w:tblPrEx>
        <w:trPr>
          <w:trHeight w:val="195" w:hRule="atLeast"/>
        </w:trPr>
        <w:tc>
          <w:tcPr>
            <w:tcW w:w="235" w:type="pct"/>
            <w:tcBorders>
              <w:top w:val="single" w:color="000000" w:sz="4" w:space="0"/>
              <w:left w:val="single" w:color="000000" w:sz="4" w:space="0"/>
              <w:bottom w:val="single" w:color="000000" w:sz="4" w:space="0"/>
              <w:right w:val="single" w:color="000000" w:sz="4" w:space="0"/>
            </w:tcBorders>
            <w:vAlign w:val="center"/>
          </w:tcPr>
          <w:p w14:paraId="22A55FE3">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9</w:t>
            </w:r>
          </w:p>
        </w:tc>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3D5C5F22">
            <w:pPr>
              <w:widowControl/>
              <w:spacing w:line="240" w:lineRule="atLeast"/>
              <w:ind w:firstLine="0" w:firstLineChars="0"/>
              <w:jc w:val="center"/>
              <w:textAlignment w:val="center"/>
              <w:rPr>
                <w:rFonts w:hint="eastAsia" w:hAnsi="仿宋" w:cs="仿宋"/>
                <w:color w:val="000000"/>
                <w:kern w:val="0"/>
                <w:sz w:val="24"/>
                <w:szCs w:val="24"/>
                <w:lang w:bidi="ar"/>
              </w:rPr>
            </w:pPr>
          </w:p>
        </w:tc>
        <w:tc>
          <w:tcPr>
            <w:tcW w:w="532" w:type="pct"/>
            <w:tcBorders>
              <w:top w:val="single" w:color="000000" w:sz="4" w:space="0"/>
              <w:left w:val="single" w:color="000000" w:sz="4" w:space="0"/>
              <w:bottom w:val="single" w:color="000000" w:sz="4" w:space="0"/>
              <w:right w:val="single" w:color="000000" w:sz="4" w:space="0"/>
            </w:tcBorders>
            <w:vAlign w:val="center"/>
          </w:tcPr>
          <w:p w14:paraId="1BBA62C3">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负责人</w:t>
            </w:r>
          </w:p>
        </w:tc>
        <w:tc>
          <w:tcPr>
            <w:tcW w:w="2032" w:type="pct"/>
            <w:tcBorders>
              <w:top w:val="single" w:color="000000" w:sz="4" w:space="0"/>
              <w:left w:val="single" w:color="000000" w:sz="4" w:space="0"/>
              <w:bottom w:val="single" w:color="000000" w:sz="4" w:space="0"/>
              <w:right w:val="single" w:color="000000" w:sz="4" w:space="0"/>
            </w:tcBorders>
            <w:vAlign w:val="center"/>
          </w:tcPr>
          <w:p w14:paraId="586B8A49">
            <w:pPr>
              <w:widowControl/>
              <w:spacing w:line="240" w:lineRule="atLeast"/>
              <w:ind w:firstLine="0" w:firstLineChars="0"/>
              <w:jc w:val="left"/>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拟指派负责人办理的破产案件的数量，每增加1件计1分，最高不超过8分</w:t>
            </w:r>
          </w:p>
        </w:tc>
        <w:tc>
          <w:tcPr>
            <w:tcW w:w="300" w:type="pct"/>
            <w:tcBorders>
              <w:top w:val="single" w:color="000000" w:sz="4" w:space="0"/>
              <w:left w:val="single" w:color="000000" w:sz="4" w:space="0"/>
              <w:bottom w:val="single" w:color="000000" w:sz="4" w:space="0"/>
              <w:right w:val="single" w:color="000000" w:sz="4" w:space="0"/>
            </w:tcBorders>
            <w:vAlign w:val="center"/>
          </w:tcPr>
          <w:p w14:paraId="30A4FC3F">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8</w:t>
            </w:r>
          </w:p>
        </w:tc>
        <w:tc>
          <w:tcPr>
            <w:tcW w:w="1130" w:type="pct"/>
            <w:tcBorders>
              <w:top w:val="single" w:color="000000" w:sz="4" w:space="0"/>
              <w:left w:val="single" w:color="000000" w:sz="4" w:space="0"/>
              <w:bottom w:val="single" w:color="000000" w:sz="4" w:space="0"/>
              <w:right w:val="single" w:color="000000" w:sz="4" w:space="0"/>
            </w:tcBorders>
            <w:vAlign w:val="center"/>
          </w:tcPr>
          <w:p w14:paraId="446DBBAD">
            <w:pPr>
              <w:widowControl/>
              <w:spacing w:line="240" w:lineRule="atLeast"/>
              <w:ind w:firstLine="0" w:firstLineChars="0"/>
              <w:jc w:val="center"/>
              <w:textAlignment w:val="center"/>
              <w:rPr>
                <w:rFonts w:hint="eastAsia" w:hAnsi="仿宋" w:cs="仿宋"/>
                <w:color w:val="000000"/>
                <w:kern w:val="0"/>
                <w:sz w:val="24"/>
                <w:szCs w:val="24"/>
                <w:lang w:bidi="ar"/>
              </w:rPr>
            </w:pPr>
          </w:p>
        </w:tc>
        <w:tc>
          <w:tcPr>
            <w:tcW w:w="513" w:type="pct"/>
            <w:tcBorders>
              <w:top w:val="single" w:color="000000" w:sz="4" w:space="0"/>
              <w:left w:val="single" w:color="000000" w:sz="4" w:space="0"/>
              <w:bottom w:val="single" w:color="000000" w:sz="4" w:space="0"/>
              <w:right w:val="single" w:color="000000" w:sz="4" w:space="0"/>
            </w:tcBorders>
            <w:vAlign w:val="center"/>
          </w:tcPr>
          <w:p w14:paraId="40C5BDEE">
            <w:pPr>
              <w:widowControl/>
              <w:spacing w:line="240" w:lineRule="atLeast"/>
              <w:ind w:firstLine="0" w:firstLineChars="0"/>
              <w:jc w:val="center"/>
              <w:textAlignment w:val="center"/>
              <w:rPr>
                <w:rFonts w:hint="eastAsia" w:hAnsi="仿宋" w:cs="仿宋"/>
                <w:color w:val="000000"/>
                <w:kern w:val="0"/>
                <w:sz w:val="24"/>
                <w:szCs w:val="24"/>
                <w:lang w:bidi="ar"/>
              </w:rPr>
            </w:pPr>
          </w:p>
        </w:tc>
      </w:tr>
      <w:tr w14:paraId="692D2700">
        <w:tblPrEx>
          <w:tblCellMar>
            <w:top w:w="15" w:type="dxa"/>
            <w:left w:w="15" w:type="dxa"/>
            <w:bottom w:w="15" w:type="dxa"/>
            <w:right w:w="15" w:type="dxa"/>
          </w:tblCellMar>
        </w:tblPrEx>
        <w:trPr>
          <w:trHeight w:val="375" w:hRule="atLeast"/>
        </w:trPr>
        <w:tc>
          <w:tcPr>
            <w:tcW w:w="235" w:type="pct"/>
            <w:tcBorders>
              <w:top w:val="single" w:color="000000" w:sz="4" w:space="0"/>
              <w:left w:val="single" w:color="000000" w:sz="4" w:space="0"/>
              <w:bottom w:val="single" w:color="000000" w:sz="4" w:space="0"/>
              <w:right w:val="single" w:color="000000" w:sz="4" w:space="0"/>
            </w:tcBorders>
            <w:vAlign w:val="center"/>
          </w:tcPr>
          <w:p w14:paraId="08C4A40A">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10</w:t>
            </w:r>
          </w:p>
        </w:tc>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7AD5BE6A">
            <w:pPr>
              <w:widowControl/>
              <w:spacing w:line="240" w:lineRule="atLeast"/>
              <w:ind w:firstLine="0" w:firstLineChars="0"/>
              <w:jc w:val="center"/>
              <w:textAlignment w:val="center"/>
              <w:rPr>
                <w:rFonts w:hint="eastAsia" w:hAnsi="仿宋" w:cs="仿宋"/>
                <w:color w:val="000000"/>
                <w:kern w:val="0"/>
                <w:sz w:val="24"/>
                <w:szCs w:val="24"/>
                <w:lang w:bidi="ar"/>
              </w:rPr>
            </w:pPr>
          </w:p>
        </w:tc>
        <w:tc>
          <w:tcPr>
            <w:tcW w:w="532" w:type="pct"/>
            <w:tcBorders>
              <w:top w:val="single" w:color="000000" w:sz="4" w:space="0"/>
              <w:left w:val="single" w:color="000000" w:sz="4" w:space="0"/>
              <w:bottom w:val="single" w:color="000000" w:sz="4" w:space="0"/>
              <w:right w:val="single" w:color="000000" w:sz="4" w:space="0"/>
            </w:tcBorders>
            <w:vAlign w:val="center"/>
          </w:tcPr>
          <w:p w14:paraId="74F6DDD8">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工作成员</w:t>
            </w:r>
          </w:p>
        </w:tc>
        <w:tc>
          <w:tcPr>
            <w:tcW w:w="2032" w:type="pct"/>
            <w:tcBorders>
              <w:top w:val="single" w:color="000000" w:sz="4" w:space="0"/>
              <w:left w:val="single" w:color="000000" w:sz="4" w:space="0"/>
              <w:bottom w:val="single" w:color="000000" w:sz="4" w:space="0"/>
              <w:right w:val="single" w:color="000000" w:sz="4" w:space="0"/>
            </w:tcBorders>
            <w:vAlign w:val="center"/>
          </w:tcPr>
          <w:p w14:paraId="3DA992B1">
            <w:pPr>
              <w:widowControl/>
              <w:spacing w:line="240" w:lineRule="atLeast"/>
              <w:ind w:firstLine="0" w:firstLineChars="0"/>
              <w:jc w:val="left"/>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拟指派工作人员中，有破产评估经验的人员数量，每增加1名计1分，最高不超过8分</w:t>
            </w:r>
          </w:p>
        </w:tc>
        <w:tc>
          <w:tcPr>
            <w:tcW w:w="300" w:type="pct"/>
            <w:tcBorders>
              <w:top w:val="single" w:color="000000" w:sz="4" w:space="0"/>
              <w:left w:val="single" w:color="000000" w:sz="4" w:space="0"/>
              <w:bottom w:val="single" w:color="000000" w:sz="4" w:space="0"/>
              <w:right w:val="single" w:color="000000" w:sz="4" w:space="0"/>
            </w:tcBorders>
            <w:vAlign w:val="center"/>
          </w:tcPr>
          <w:p w14:paraId="2D6D6772">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8</w:t>
            </w:r>
          </w:p>
        </w:tc>
        <w:tc>
          <w:tcPr>
            <w:tcW w:w="1130" w:type="pct"/>
            <w:tcBorders>
              <w:top w:val="single" w:color="000000" w:sz="4" w:space="0"/>
              <w:left w:val="single" w:color="000000" w:sz="4" w:space="0"/>
              <w:bottom w:val="single" w:color="000000" w:sz="4" w:space="0"/>
              <w:right w:val="single" w:color="000000" w:sz="4" w:space="0"/>
            </w:tcBorders>
            <w:vAlign w:val="center"/>
          </w:tcPr>
          <w:p w14:paraId="59263D68">
            <w:pPr>
              <w:widowControl/>
              <w:spacing w:line="240" w:lineRule="atLeast"/>
              <w:ind w:firstLine="0" w:firstLineChars="0"/>
              <w:jc w:val="center"/>
              <w:textAlignment w:val="center"/>
              <w:rPr>
                <w:rFonts w:hint="eastAsia" w:hAnsi="仿宋" w:cs="仿宋"/>
                <w:color w:val="000000"/>
                <w:kern w:val="0"/>
                <w:sz w:val="24"/>
                <w:szCs w:val="24"/>
                <w:lang w:bidi="ar"/>
              </w:rPr>
            </w:pPr>
          </w:p>
        </w:tc>
        <w:tc>
          <w:tcPr>
            <w:tcW w:w="513" w:type="pct"/>
            <w:tcBorders>
              <w:top w:val="single" w:color="000000" w:sz="4" w:space="0"/>
              <w:left w:val="single" w:color="000000" w:sz="4" w:space="0"/>
              <w:bottom w:val="single" w:color="000000" w:sz="4" w:space="0"/>
              <w:right w:val="single" w:color="000000" w:sz="4" w:space="0"/>
            </w:tcBorders>
            <w:vAlign w:val="center"/>
          </w:tcPr>
          <w:p w14:paraId="2B0E9314">
            <w:pPr>
              <w:widowControl/>
              <w:spacing w:line="240" w:lineRule="atLeast"/>
              <w:ind w:firstLine="0" w:firstLineChars="0"/>
              <w:jc w:val="center"/>
              <w:textAlignment w:val="center"/>
              <w:rPr>
                <w:rFonts w:hint="eastAsia" w:hAnsi="仿宋" w:cs="仿宋"/>
                <w:color w:val="000000"/>
                <w:kern w:val="0"/>
                <w:sz w:val="24"/>
                <w:szCs w:val="24"/>
                <w:lang w:bidi="ar"/>
              </w:rPr>
            </w:pPr>
          </w:p>
        </w:tc>
      </w:tr>
      <w:tr w14:paraId="6E692734">
        <w:tblPrEx>
          <w:tblCellMar>
            <w:top w:w="15" w:type="dxa"/>
            <w:left w:w="15" w:type="dxa"/>
            <w:bottom w:w="15" w:type="dxa"/>
            <w:right w:w="15" w:type="dxa"/>
          </w:tblCellMar>
        </w:tblPrEx>
        <w:trPr>
          <w:trHeight w:val="375" w:hRule="atLeast"/>
        </w:trPr>
        <w:tc>
          <w:tcPr>
            <w:tcW w:w="235" w:type="pct"/>
            <w:tcBorders>
              <w:top w:val="single" w:color="000000" w:sz="4" w:space="0"/>
              <w:left w:val="single" w:color="000000" w:sz="4" w:space="0"/>
              <w:bottom w:val="single" w:color="000000" w:sz="4" w:space="0"/>
              <w:right w:val="single" w:color="000000" w:sz="4" w:space="0"/>
            </w:tcBorders>
            <w:vAlign w:val="center"/>
          </w:tcPr>
          <w:p w14:paraId="043E28CF">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11</w:t>
            </w:r>
          </w:p>
        </w:tc>
        <w:tc>
          <w:tcPr>
            <w:tcW w:w="255" w:type="pct"/>
            <w:vMerge w:val="restart"/>
            <w:tcBorders>
              <w:top w:val="single" w:color="000000" w:sz="4" w:space="0"/>
              <w:left w:val="single" w:color="000000" w:sz="4" w:space="0"/>
              <w:bottom w:val="single" w:color="000000" w:sz="4" w:space="0"/>
              <w:right w:val="single" w:color="000000" w:sz="4" w:space="0"/>
            </w:tcBorders>
            <w:vAlign w:val="center"/>
          </w:tcPr>
          <w:p w14:paraId="5FB03FB3">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工作计划</w:t>
            </w:r>
          </w:p>
        </w:tc>
        <w:tc>
          <w:tcPr>
            <w:tcW w:w="532" w:type="pct"/>
            <w:tcBorders>
              <w:top w:val="single" w:color="000000" w:sz="4" w:space="0"/>
              <w:left w:val="single" w:color="000000" w:sz="4" w:space="0"/>
              <w:bottom w:val="single" w:color="000000" w:sz="4" w:space="0"/>
              <w:right w:val="single" w:color="000000" w:sz="4" w:space="0"/>
            </w:tcBorders>
            <w:vAlign w:val="center"/>
          </w:tcPr>
          <w:p w14:paraId="0788A034">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合理可行</w:t>
            </w:r>
          </w:p>
        </w:tc>
        <w:tc>
          <w:tcPr>
            <w:tcW w:w="2032" w:type="pct"/>
            <w:tcBorders>
              <w:top w:val="single" w:color="000000" w:sz="4" w:space="0"/>
              <w:left w:val="single" w:color="000000" w:sz="4" w:space="0"/>
              <w:bottom w:val="single" w:color="000000" w:sz="4" w:space="0"/>
              <w:right w:val="single" w:color="000000" w:sz="4" w:space="0"/>
            </w:tcBorders>
            <w:vAlign w:val="center"/>
          </w:tcPr>
          <w:p w14:paraId="1F76AD21">
            <w:pPr>
              <w:widowControl/>
              <w:spacing w:line="240" w:lineRule="atLeast"/>
              <w:ind w:firstLine="0" w:firstLineChars="0"/>
              <w:jc w:val="left"/>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工作计划的合理性、可行性，含总体工作安排和项目针对性分析</w:t>
            </w:r>
          </w:p>
        </w:tc>
        <w:tc>
          <w:tcPr>
            <w:tcW w:w="300" w:type="pct"/>
            <w:tcBorders>
              <w:top w:val="single" w:color="000000" w:sz="4" w:space="0"/>
              <w:left w:val="single" w:color="000000" w:sz="4" w:space="0"/>
              <w:bottom w:val="single" w:color="000000" w:sz="4" w:space="0"/>
              <w:right w:val="single" w:color="000000" w:sz="4" w:space="0"/>
            </w:tcBorders>
            <w:vAlign w:val="center"/>
          </w:tcPr>
          <w:p w14:paraId="26DC9458">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15</w:t>
            </w:r>
          </w:p>
        </w:tc>
        <w:tc>
          <w:tcPr>
            <w:tcW w:w="1130" w:type="pct"/>
            <w:tcBorders>
              <w:top w:val="single" w:color="000000" w:sz="4" w:space="0"/>
              <w:left w:val="single" w:color="000000" w:sz="4" w:space="0"/>
              <w:bottom w:val="single" w:color="000000" w:sz="4" w:space="0"/>
              <w:right w:val="single" w:color="000000" w:sz="4" w:space="0"/>
            </w:tcBorders>
            <w:vAlign w:val="center"/>
          </w:tcPr>
          <w:p w14:paraId="7733C723">
            <w:pPr>
              <w:widowControl/>
              <w:spacing w:line="240" w:lineRule="atLeast"/>
              <w:ind w:firstLine="0" w:firstLineChars="0"/>
              <w:jc w:val="center"/>
              <w:textAlignment w:val="center"/>
              <w:rPr>
                <w:rFonts w:hint="eastAsia" w:hAnsi="仿宋" w:cs="仿宋"/>
                <w:color w:val="000000"/>
                <w:kern w:val="0"/>
                <w:sz w:val="24"/>
                <w:szCs w:val="24"/>
                <w:lang w:bidi="ar"/>
              </w:rPr>
            </w:pPr>
          </w:p>
        </w:tc>
        <w:tc>
          <w:tcPr>
            <w:tcW w:w="513" w:type="pct"/>
            <w:tcBorders>
              <w:top w:val="single" w:color="000000" w:sz="4" w:space="0"/>
              <w:left w:val="single" w:color="000000" w:sz="4" w:space="0"/>
              <w:bottom w:val="single" w:color="000000" w:sz="4" w:space="0"/>
              <w:right w:val="single" w:color="000000" w:sz="4" w:space="0"/>
            </w:tcBorders>
            <w:vAlign w:val="center"/>
          </w:tcPr>
          <w:p w14:paraId="186B7B62">
            <w:pPr>
              <w:widowControl/>
              <w:spacing w:line="240" w:lineRule="atLeast"/>
              <w:ind w:firstLine="0" w:firstLineChars="0"/>
              <w:jc w:val="center"/>
              <w:textAlignment w:val="center"/>
              <w:rPr>
                <w:rFonts w:hint="eastAsia" w:hAnsi="仿宋" w:cs="仿宋"/>
                <w:color w:val="000000"/>
                <w:kern w:val="0"/>
                <w:sz w:val="24"/>
                <w:szCs w:val="24"/>
                <w:lang w:bidi="ar"/>
              </w:rPr>
            </w:pPr>
          </w:p>
        </w:tc>
      </w:tr>
      <w:tr w14:paraId="1DEAD4BB">
        <w:tblPrEx>
          <w:tblCellMar>
            <w:top w:w="15" w:type="dxa"/>
            <w:left w:w="15" w:type="dxa"/>
            <w:bottom w:w="15" w:type="dxa"/>
            <w:right w:w="15" w:type="dxa"/>
          </w:tblCellMar>
        </w:tblPrEx>
        <w:trPr>
          <w:trHeight w:val="375" w:hRule="atLeast"/>
        </w:trPr>
        <w:tc>
          <w:tcPr>
            <w:tcW w:w="235" w:type="pct"/>
            <w:tcBorders>
              <w:top w:val="single" w:color="000000" w:sz="4" w:space="0"/>
              <w:left w:val="single" w:color="000000" w:sz="4" w:space="0"/>
              <w:bottom w:val="single" w:color="000000" w:sz="4" w:space="0"/>
              <w:right w:val="single" w:color="000000" w:sz="4" w:space="0"/>
            </w:tcBorders>
            <w:vAlign w:val="center"/>
          </w:tcPr>
          <w:p w14:paraId="5311F677">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12</w:t>
            </w:r>
          </w:p>
        </w:tc>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732927BE">
            <w:pPr>
              <w:widowControl/>
              <w:spacing w:line="240" w:lineRule="atLeast"/>
              <w:ind w:firstLine="0" w:firstLineChars="0"/>
              <w:jc w:val="center"/>
              <w:textAlignment w:val="center"/>
              <w:rPr>
                <w:rFonts w:hint="eastAsia" w:hAnsi="仿宋" w:cs="仿宋"/>
                <w:color w:val="000000"/>
                <w:kern w:val="0"/>
                <w:sz w:val="24"/>
                <w:szCs w:val="24"/>
                <w:lang w:bidi="ar"/>
              </w:rPr>
            </w:pPr>
          </w:p>
        </w:tc>
        <w:tc>
          <w:tcPr>
            <w:tcW w:w="532" w:type="pct"/>
            <w:tcBorders>
              <w:top w:val="single" w:color="000000" w:sz="4" w:space="0"/>
              <w:left w:val="single" w:color="000000" w:sz="4" w:space="0"/>
              <w:bottom w:val="single" w:color="000000" w:sz="4" w:space="0"/>
              <w:right w:val="single" w:color="000000" w:sz="4" w:space="0"/>
            </w:tcBorders>
            <w:vAlign w:val="center"/>
          </w:tcPr>
          <w:p w14:paraId="0CE68F2D">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完成时限</w:t>
            </w:r>
          </w:p>
        </w:tc>
        <w:tc>
          <w:tcPr>
            <w:tcW w:w="2032" w:type="pct"/>
            <w:tcBorders>
              <w:top w:val="single" w:color="000000" w:sz="4" w:space="0"/>
              <w:left w:val="single" w:color="000000" w:sz="4" w:space="0"/>
              <w:bottom w:val="single" w:color="000000" w:sz="4" w:space="0"/>
              <w:right w:val="single" w:color="000000" w:sz="4" w:space="0"/>
            </w:tcBorders>
            <w:vAlign w:val="center"/>
          </w:tcPr>
          <w:p w14:paraId="040F5B3D">
            <w:pPr>
              <w:widowControl/>
              <w:spacing w:line="240" w:lineRule="atLeast"/>
              <w:ind w:firstLine="0" w:firstLineChars="0"/>
              <w:jc w:val="left"/>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承诺在管理人规定的1个月内提交工作成果</w:t>
            </w:r>
          </w:p>
        </w:tc>
        <w:tc>
          <w:tcPr>
            <w:tcW w:w="300" w:type="pct"/>
            <w:tcBorders>
              <w:top w:val="single" w:color="000000" w:sz="4" w:space="0"/>
              <w:left w:val="single" w:color="000000" w:sz="4" w:space="0"/>
              <w:bottom w:val="single" w:color="000000" w:sz="4" w:space="0"/>
              <w:right w:val="single" w:color="000000" w:sz="4" w:space="0"/>
            </w:tcBorders>
            <w:vAlign w:val="center"/>
          </w:tcPr>
          <w:p w14:paraId="5C2BD4E0">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10</w:t>
            </w:r>
          </w:p>
        </w:tc>
        <w:tc>
          <w:tcPr>
            <w:tcW w:w="1130" w:type="pct"/>
            <w:tcBorders>
              <w:top w:val="single" w:color="000000" w:sz="4" w:space="0"/>
              <w:left w:val="single" w:color="000000" w:sz="4" w:space="0"/>
              <w:bottom w:val="single" w:color="000000" w:sz="4" w:space="0"/>
              <w:right w:val="single" w:color="000000" w:sz="4" w:space="0"/>
            </w:tcBorders>
            <w:vAlign w:val="center"/>
          </w:tcPr>
          <w:p w14:paraId="18928B8A">
            <w:pPr>
              <w:widowControl/>
              <w:spacing w:line="240" w:lineRule="atLeast"/>
              <w:ind w:firstLine="0" w:firstLineChars="0"/>
              <w:jc w:val="center"/>
              <w:textAlignment w:val="center"/>
              <w:rPr>
                <w:rFonts w:hint="eastAsia" w:hAnsi="仿宋" w:cs="仿宋"/>
                <w:color w:val="000000"/>
                <w:kern w:val="0"/>
                <w:sz w:val="24"/>
                <w:szCs w:val="24"/>
                <w:lang w:bidi="ar"/>
              </w:rPr>
            </w:pPr>
          </w:p>
        </w:tc>
        <w:tc>
          <w:tcPr>
            <w:tcW w:w="513" w:type="pct"/>
            <w:tcBorders>
              <w:top w:val="single" w:color="000000" w:sz="4" w:space="0"/>
              <w:left w:val="single" w:color="000000" w:sz="4" w:space="0"/>
              <w:bottom w:val="single" w:color="000000" w:sz="4" w:space="0"/>
              <w:right w:val="single" w:color="000000" w:sz="4" w:space="0"/>
            </w:tcBorders>
            <w:vAlign w:val="center"/>
          </w:tcPr>
          <w:p w14:paraId="48FFF1C4">
            <w:pPr>
              <w:widowControl/>
              <w:spacing w:line="240" w:lineRule="atLeast"/>
              <w:ind w:firstLine="0" w:firstLineChars="0"/>
              <w:jc w:val="center"/>
              <w:textAlignment w:val="center"/>
              <w:rPr>
                <w:rFonts w:hint="eastAsia" w:hAnsi="仿宋" w:cs="仿宋"/>
                <w:color w:val="000000"/>
                <w:kern w:val="0"/>
                <w:sz w:val="24"/>
                <w:szCs w:val="24"/>
                <w:lang w:bidi="ar"/>
              </w:rPr>
            </w:pPr>
          </w:p>
        </w:tc>
      </w:tr>
      <w:tr w14:paraId="2BBD89B8">
        <w:tblPrEx>
          <w:tblCellMar>
            <w:top w:w="15" w:type="dxa"/>
            <w:left w:w="15" w:type="dxa"/>
            <w:bottom w:w="15" w:type="dxa"/>
            <w:right w:w="15" w:type="dxa"/>
          </w:tblCellMar>
        </w:tblPrEx>
        <w:trPr>
          <w:trHeight w:val="375" w:hRule="atLeast"/>
        </w:trPr>
        <w:tc>
          <w:tcPr>
            <w:tcW w:w="235" w:type="pct"/>
            <w:tcBorders>
              <w:top w:val="single" w:color="000000" w:sz="4" w:space="0"/>
              <w:left w:val="single" w:color="000000" w:sz="4" w:space="0"/>
              <w:bottom w:val="single" w:color="000000" w:sz="4" w:space="0"/>
              <w:right w:val="single" w:color="000000" w:sz="4" w:space="0"/>
            </w:tcBorders>
            <w:vAlign w:val="center"/>
          </w:tcPr>
          <w:p w14:paraId="54EFCC52">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13</w:t>
            </w:r>
          </w:p>
        </w:tc>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0E7E3D15">
            <w:pPr>
              <w:widowControl/>
              <w:spacing w:line="240" w:lineRule="atLeast"/>
              <w:ind w:firstLine="0" w:firstLineChars="0"/>
              <w:jc w:val="center"/>
              <w:textAlignment w:val="center"/>
              <w:rPr>
                <w:rFonts w:hint="eastAsia" w:hAnsi="仿宋" w:cs="仿宋"/>
                <w:color w:val="000000"/>
                <w:kern w:val="0"/>
                <w:sz w:val="24"/>
                <w:szCs w:val="24"/>
                <w:lang w:bidi="ar"/>
              </w:rPr>
            </w:pPr>
          </w:p>
        </w:tc>
        <w:tc>
          <w:tcPr>
            <w:tcW w:w="532" w:type="pct"/>
            <w:tcBorders>
              <w:top w:val="single" w:color="000000" w:sz="4" w:space="0"/>
              <w:left w:val="single" w:color="000000" w:sz="4" w:space="0"/>
              <w:bottom w:val="single" w:color="000000" w:sz="4" w:space="0"/>
              <w:right w:val="single" w:color="000000" w:sz="4" w:space="0"/>
            </w:tcBorders>
            <w:vAlign w:val="center"/>
          </w:tcPr>
          <w:p w14:paraId="1BFA198F">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有关工作</w:t>
            </w:r>
          </w:p>
        </w:tc>
        <w:tc>
          <w:tcPr>
            <w:tcW w:w="2032" w:type="pct"/>
            <w:tcBorders>
              <w:top w:val="single" w:color="000000" w:sz="4" w:space="0"/>
              <w:left w:val="single" w:color="000000" w:sz="4" w:space="0"/>
              <w:bottom w:val="single" w:color="000000" w:sz="4" w:space="0"/>
              <w:right w:val="single" w:color="000000" w:sz="4" w:space="0"/>
            </w:tcBorders>
            <w:vAlign w:val="center"/>
          </w:tcPr>
          <w:p w14:paraId="64B34F00">
            <w:pPr>
              <w:widowControl/>
              <w:spacing w:line="240" w:lineRule="atLeast"/>
              <w:ind w:firstLine="0" w:firstLineChars="0"/>
              <w:jc w:val="left"/>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承诺愿意接受管理人安排的与本案委托内容有关工作，不要求增加费用</w:t>
            </w:r>
          </w:p>
        </w:tc>
        <w:tc>
          <w:tcPr>
            <w:tcW w:w="300" w:type="pct"/>
            <w:tcBorders>
              <w:top w:val="single" w:color="000000" w:sz="4" w:space="0"/>
              <w:left w:val="single" w:color="000000" w:sz="4" w:space="0"/>
              <w:bottom w:val="single" w:color="000000" w:sz="4" w:space="0"/>
              <w:right w:val="single" w:color="000000" w:sz="4" w:space="0"/>
            </w:tcBorders>
            <w:vAlign w:val="center"/>
          </w:tcPr>
          <w:p w14:paraId="4DEA9ADA">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5</w:t>
            </w:r>
          </w:p>
        </w:tc>
        <w:tc>
          <w:tcPr>
            <w:tcW w:w="1130" w:type="pct"/>
            <w:tcBorders>
              <w:top w:val="single" w:color="000000" w:sz="4" w:space="0"/>
              <w:left w:val="single" w:color="000000" w:sz="4" w:space="0"/>
              <w:bottom w:val="single" w:color="000000" w:sz="4" w:space="0"/>
              <w:right w:val="single" w:color="000000" w:sz="4" w:space="0"/>
            </w:tcBorders>
            <w:vAlign w:val="center"/>
          </w:tcPr>
          <w:p w14:paraId="3C436D98">
            <w:pPr>
              <w:widowControl/>
              <w:spacing w:line="240" w:lineRule="atLeast"/>
              <w:ind w:firstLine="0" w:firstLineChars="0"/>
              <w:jc w:val="center"/>
              <w:textAlignment w:val="center"/>
              <w:rPr>
                <w:rFonts w:hint="eastAsia" w:hAnsi="仿宋" w:cs="仿宋"/>
                <w:color w:val="000000"/>
                <w:kern w:val="0"/>
                <w:sz w:val="24"/>
                <w:szCs w:val="24"/>
                <w:lang w:bidi="ar"/>
              </w:rPr>
            </w:pPr>
          </w:p>
        </w:tc>
        <w:tc>
          <w:tcPr>
            <w:tcW w:w="513" w:type="pct"/>
            <w:tcBorders>
              <w:top w:val="single" w:color="000000" w:sz="4" w:space="0"/>
              <w:left w:val="single" w:color="000000" w:sz="4" w:space="0"/>
              <w:bottom w:val="single" w:color="000000" w:sz="4" w:space="0"/>
              <w:right w:val="single" w:color="000000" w:sz="4" w:space="0"/>
            </w:tcBorders>
            <w:vAlign w:val="center"/>
          </w:tcPr>
          <w:p w14:paraId="01D0363E">
            <w:pPr>
              <w:widowControl/>
              <w:spacing w:line="240" w:lineRule="atLeast"/>
              <w:ind w:firstLine="0" w:firstLineChars="0"/>
              <w:jc w:val="center"/>
              <w:textAlignment w:val="center"/>
              <w:rPr>
                <w:rFonts w:hint="eastAsia" w:hAnsi="仿宋" w:cs="仿宋"/>
                <w:color w:val="000000"/>
                <w:kern w:val="0"/>
                <w:sz w:val="24"/>
                <w:szCs w:val="24"/>
                <w:lang w:bidi="ar"/>
              </w:rPr>
            </w:pPr>
          </w:p>
        </w:tc>
      </w:tr>
      <w:tr w14:paraId="0FE2208B">
        <w:tblPrEx>
          <w:tblCellMar>
            <w:top w:w="15" w:type="dxa"/>
            <w:left w:w="15" w:type="dxa"/>
            <w:bottom w:w="15" w:type="dxa"/>
            <w:right w:w="15" w:type="dxa"/>
          </w:tblCellMar>
        </w:tblPrEx>
        <w:trPr>
          <w:trHeight w:val="195" w:hRule="atLeast"/>
        </w:trPr>
        <w:tc>
          <w:tcPr>
            <w:tcW w:w="235" w:type="pct"/>
            <w:tcBorders>
              <w:top w:val="single" w:color="000000" w:sz="4" w:space="0"/>
              <w:left w:val="single" w:color="000000" w:sz="4" w:space="0"/>
              <w:bottom w:val="single" w:color="000000" w:sz="4" w:space="0"/>
              <w:right w:val="single" w:color="000000" w:sz="4" w:space="0"/>
            </w:tcBorders>
            <w:vAlign w:val="center"/>
          </w:tcPr>
          <w:p w14:paraId="21591D3B">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14</w:t>
            </w:r>
          </w:p>
        </w:tc>
        <w:tc>
          <w:tcPr>
            <w:tcW w:w="255" w:type="pct"/>
            <w:vMerge w:val="restart"/>
            <w:tcBorders>
              <w:top w:val="single" w:color="000000" w:sz="4" w:space="0"/>
              <w:left w:val="single" w:color="000000" w:sz="4" w:space="0"/>
              <w:bottom w:val="single" w:color="000000" w:sz="4" w:space="0"/>
              <w:right w:val="single" w:color="000000" w:sz="4" w:space="0"/>
            </w:tcBorders>
            <w:vAlign w:val="center"/>
          </w:tcPr>
          <w:p w14:paraId="72C3328D">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委托费用</w:t>
            </w:r>
          </w:p>
        </w:tc>
        <w:tc>
          <w:tcPr>
            <w:tcW w:w="532" w:type="pct"/>
            <w:tcBorders>
              <w:top w:val="single" w:color="000000" w:sz="4" w:space="0"/>
              <w:left w:val="single" w:color="000000" w:sz="4" w:space="0"/>
              <w:bottom w:val="single" w:color="000000" w:sz="4" w:space="0"/>
              <w:right w:val="single" w:color="000000" w:sz="4" w:space="0"/>
            </w:tcBorders>
            <w:vAlign w:val="center"/>
          </w:tcPr>
          <w:p w14:paraId="45774E6C">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委托费用</w:t>
            </w:r>
          </w:p>
        </w:tc>
        <w:tc>
          <w:tcPr>
            <w:tcW w:w="2032" w:type="pct"/>
            <w:tcBorders>
              <w:top w:val="single" w:color="000000" w:sz="4" w:space="0"/>
              <w:left w:val="single" w:color="000000" w:sz="4" w:space="0"/>
              <w:bottom w:val="single" w:color="000000" w:sz="4" w:space="0"/>
              <w:right w:val="single" w:color="000000" w:sz="4" w:space="0"/>
            </w:tcBorders>
            <w:vAlign w:val="center"/>
          </w:tcPr>
          <w:p w14:paraId="0D08612D">
            <w:pPr>
              <w:widowControl/>
              <w:spacing w:line="240" w:lineRule="atLeast"/>
              <w:ind w:firstLine="0" w:firstLineChars="0"/>
              <w:jc w:val="left"/>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收费是否合理，是否接受调整</w:t>
            </w:r>
          </w:p>
        </w:tc>
        <w:tc>
          <w:tcPr>
            <w:tcW w:w="300" w:type="pct"/>
            <w:tcBorders>
              <w:top w:val="single" w:color="000000" w:sz="4" w:space="0"/>
              <w:left w:val="single" w:color="000000" w:sz="4" w:space="0"/>
              <w:bottom w:val="single" w:color="000000" w:sz="4" w:space="0"/>
              <w:right w:val="single" w:color="000000" w:sz="4" w:space="0"/>
            </w:tcBorders>
            <w:vAlign w:val="center"/>
          </w:tcPr>
          <w:p w14:paraId="1584A9F5">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15</w:t>
            </w:r>
          </w:p>
        </w:tc>
        <w:tc>
          <w:tcPr>
            <w:tcW w:w="1130" w:type="pct"/>
            <w:tcBorders>
              <w:top w:val="single" w:color="000000" w:sz="4" w:space="0"/>
              <w:left w:val="single" w:color="000000" w:sz="4" w:space="0"/>
              <w:bottom w:val="single" w:color="000000" w:sz="4" w:space="0"/>
              <w:right w:val="single" w:color="000000" w:sz="4" w:space="0"/>
            </w:tcBorders>
            <w:vAlign w:val="center"/>
          </w:tcPr>
          <w:p w14:paraId="1D78CEBC">
            <w:pPr>
              <w:widowControl/>
              <w:spacing w:line="240" w:lineRule="atLeast"/>
              <w:ind w:firstLine="0" w:firstLineChars="0"/>
              <w:jc w:val="center"/>
              <w:textAlignment w:val="center"/>
              <w:rPr>
                <w:rFonts w:hint="eastAsia" w:hAnsi="仿宋" w:cs="仿宋"/>
                <w:color w:val="000000"/>
                <w:kern w:val="0"/>
                <w:sz w:val="24"/>
                <w:szCs w:val="24"/>
                <w:lang w:bidi="ar"/>
              </w:rPr>
            </w:pPr>
          </w:p>
        </w:tc>
        <w:tc>
          <w:tcPr>
            <w:tcW w:w="513" w:type="pct"/>
            <w:tcBorders>
              <w:top w:val="single" w:color="000000" w:sz="4" w:space="0"/>
              <w:left w:val="single" w:color="000000" w:sz="4" w:space="0"/>
              <w:bottom w:val="single" w:color="000000" w:sz="4" w:space="0"/>
              <w:right w:val="single" w:color="000000" w:sz="4" w:space="0"/>
            </w:tcBorders>
            <w:vAlign w:val="center"/>
          </w:tcPr>
          <w:p w14:paraId="3E9FB4A6">
            <w:pPr>
              <w:widowControl/>
              <w:spacing w:line="240" w:lineRule="atLeast"/>
              <w:ind w:firstLine="0" w:firstLineChars="0"/>
              <w:jc w:val="center"/>
              <w:textAlignment w:val="center"/>
              <w:rPr>
                <w:rFonts w:hint="eastAsia" w:hAnsi="仿宋" w:cs="仿宋"/>
                <w:color w:val="000000"/>
                <w:kern w:val="0"/>
                <w:sz w:val="24"/>
                <w:szCs w:val="24"/>
                <w:lang w:bidi="ar"/>
              </w:rPr>
            </w:pPr>
          </w:p>
        </w:tc>
      </w:tr>
      <w:tr w14:paraId="7E94ADF2">
        <w:tblPrEx>
          <w:tblCellMar>
            <w:top w:w="15" w:type="dxa"/>
            <w:left w:w="15" w:type="dxa"/>
            <w:bottom w:w="15" w:type="dxa"/>
            <w:right w:w="15" w:type="dxa"/>
          </w:tblCellMar>
        </w:tblPrEx>
        <w:trPr>
          <w:trHeight w:val="375" w:hRule="atLeast"/>
        </w:trPr>
        <w:tc>
          <w:tcPr>
            <w:tcW w:w="235" w:type="pct"/>
            <w:tcBorders>
              <w:top w:val="single" w:color="000000" w:sz="4" w:space="0"/>
              <w:left w:val="single" w:color="000000" w:sz="4" w:space="0"/>
              <w:bottom w:val="single" w:color="000000" w:sz="4" w:space="0"/>
              <w:right w:val="single" w:color="000000" w:sz="4" w:space="0"/>
            </w:tcBorders>
            <w:vAlign w:val="center"/>
          </w:tcPr>
          <w:p w14:paraId="71073EF9">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15</w:t>
            </w:r>
          </w:p>
        </w:tc>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3E07C56D">
            <w:pPr>
              <w:widowControl/>
              <w:spacing w:line="240" w:lineRule="atLeast"/>
              <w:ind w:firstLine="0" w:firstLineChars="0"/>
              <w:jc w:val="center"/>
              <w:textAlignment w:val="center"/>
              <w:rPr>
                <w:rFonts w:hint="eastAsia" w:hAnsi="仿宋" w:cs="仿宋"/>
                <w:color w:val="000000"/>
                <w:kern w:val="0"/>
                <w:sz w:val="24"/>
                <w:szCs w:val="24"/>
                <w:lang w:bidi="ar"/>
              </w:rPr>
            </w:pPr>
          </w:p>
        </w:tc>
        <w:tc>
          <w:tcPr>
            <w:tcW w:w="532" w:type="pct"/>
            <w:tcBorders>
              <w:top w:val="single" w:color="000000" w:sz="4" w:space="0"/>
              <w:left w:val="single" w:color="000000" w:sz="4" w:space="0"/>
              <w:bottom w:val="single" w:color="000000" w:sz="4" w:space="0"/>
              <w:right w:val="single" w:color="000000" w:sz="4" w:space="0"/>
            </w:tcBorders>
            <w:vAlign w:val="center"/>
          </w:tcPr>
          <w:p w14:paraId="4B2DC0E3">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收费节点</w:t>
            </w:r>
          </w:p>
        </w:tc>
        <w:tc>
          <w:tcPr>
            <w:tcW w:w="2032" w:type="pct"/>
            <w:tcBorders>
              <w:top w:val="single" w:color="000000" w:sz="4" w:space="0"/>
              <w:left w:val="single" w:color="000000" w:sz="4" w:space="0"/>
              <w:bottom w:val="single" w:color="000000" w:sz="4" w:space="0"/>
              <w:right w:val="single" w:color="000000" w:sz="4" w:space="0"/>
            </w:tcBorders>
            <w:vAlign w:val="center"/>
          </w:tcPr>
          <w:p w14:paraId="354D9996">
            <w:pPr>
              <w:widowControl/>
              <w:spacing w:line="240" w:lineRule="atLeast"/>
              <w:ind w:firstLine="0" w:firstLineChars="0"/>
              <w:jc w:val="left"/>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承诺前期不收费，待资产变现后支付的</w:t>
            </w:r>
          </w:p>
        </w:tc>
        <w:tc>
          <w:tcPr>
            <w:tcW w:w="300" w:type="pct"/>
            <w:tcBorders>
              <w:top w:val="single" w:color="000000" w:sz="4" w:space="0"/>
              <w:left w:val="single" w:color="000000" w:sz="4" w:space="0"/>
              <w:bottom w:val="single" w:color="000000" w:sz="4" w:space="0"/>
              <w:right w:val="single" w:color="000000" w:sz="4" w:space="0"/>
            </w:tcBorders>
            <w:vAlign w:val="center"/>
          </w:tcPr>
          <w:p w14:paraId="7D09D027">
            <w:pPr>
              <w:widowControl/>
              <w:spacing w:line="240" w:lineRule="atLeast"/>
              <w:ind w:firstLine="0" w:firstLineChars="0"/>
              <w:jc w:val="center"/>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10</w:t>
            </w:r>
          </w:p>
        </w:tc>
        <w:tc>
          <w:tcPr>
            <w:tcW w:w="1130" w:type="pct"/>
            <w:tcBorders>
              <w:top w:val="single" w:color="000000" w:sz="4" w:space="0"/>
              <w:left w:val="single" w:color="000000" w:sz="4" w:space="0"/>
              <w:bottom w:val="single" w:color="000000" w:sz="4" w:space="0"/>
              <w:right w:val="single" w:color="000000" w:sz="4" w:space="0"/>
            </w:tcBorders>
            <w:vAlign w:val="center"/>
          </w:tcPr>
          <w:p w14:paraId="7C835F00">
            <w:pPr>
              <w:widowControl/>
              <w:spacing w:line="240" w:lineRule="atLeast"/>
              <w:ind w:firstLine="0" w:firstLineChars="0"/>
              <w:jc w:val="center"/>
              <w:textAlignment w:val="center"/>
              <w:rPr>
                <w:rFonts w:hint="eastAsia" w:hAnsi="仿宋" w:cs="仿宋"/>
                <w:color w:val="000000"/>
                <w:kern w:val="0"/>
                <w:sz w:val="24"/>
                <w:szCs w:val="24"/>
                <w:lang w:bidi="ar"/>
              </w:rPr>
            </w:pPr>
          </w:p>
        </w:tc>
        <w:tc>
          <w:tcPr>
            <w:tcW w:w="513" w:type="pct"/>
            <w:tcBorders>
              <w:top w:val="single" w:color="000000" w:sz="4" w:space="0"/>
              <w:left w:val="single" w:color="000000" w:sz="4" w:space="0"/>
              <w:bottom w:val="single" w:color="000000" w:sz="4" w:space="0"/>
              <w:right w:val="single" w:color="000000" w:sz="4" w:space="0"/>
            </w:tcBorders>
            <w:vAlign w:val="center"/>
          </w:tcPr>
          <w:p w14:paraId="56E08680">
            <w:pPr>
              <w:widowControl/>
              <w:spacing w:line="240" w:lineRule="atLeast"/>
              <w:ind w:firstLine="0" w:firstLineChars="0"/>
              <w:jc w:val="center"/>
              <w:textAlignment w:val="center"/>
              <w:rPr>
                <w:rFonts w:hint="eastAsia" w:hAnsi="仿宋" w:cs="仿宋"/>
                <w:color w:val="000000"/>
                <w:kern w:val="0"/>
                <w:sz w:val="24"/>
                <w:szCs w:val="24"/>
                <w:lang w:bidi="ar"/>
              </w:rPr>
            </w:pPr>
          </w:p>
        </w:tc>
      </w:tr>
      <w:tr w14:paraId="02509E95">
        <w:tblPrEx>
          <w:tblCellMar>
            <w:top w:w="15" w:type="dxa"/>
            <w:left w:w="15" w:type="dxa"/>
            <w:bottom w:w="15" w:type="dxa"/>
            <w:right w:w="15" w:type="dxa"/>
          </w:tblCellMar>
        </w:tblPrEx>
        <w:trPr>
          <w:trHeight w:val="900" w:hRule="atLeast"/>
        </w:trPr>
        <w:tc>
          <w:tcPr>
            <w:tcW w:w="5000" w:type="pct"/>
            <w:gridSpan w:val="7"/>
            <w:tcBorders>
              <w:left w:val="single" w:color="000000" w:sz="4" w:space="0"/>
              <w:bottom w:val="single" w:color="000000" w:sz="4" w:space="0"/>
              <w:right w:val="single" w:color="000000" w:sz="4" w:space="0"/>
            </w:tcBorders>
            <w:vAlign w:val="center"/>
          </w:tcPr>
          <w:p w14:paraId="28E207C3">
            <w:pPr>
              <w:widowControl/>
              <w:spacing w:line="240" w:lineRule="atLeast"/>
              <w:ind w:firstLine="0" w:firstLineChars="0"/>
              <w:jc w:val="left"/>
              <w:textAlignment w:val="center"/>
              <w:rPr>
                <w:rFonts w:hint="eastAsia" w:hAnsi="仿宋" w:cs="仿宋"/>
                <w:color w:val="000000"/>
                <w:kern w:val="0"/>
                <w:sz w:val="24"/>
                <w:szCs w:val="24"/>
                <w:lang w:bidi="ar"/>
              </w:rPr>
            </w:pPr>
            <w:r>
              <w:rPr>
                <w:rFonts w:hint="eastAsia" w:hAnsi="仿宋" w:cs="仿宋"/>
                <w:color w:val="000000"/>
                <w:kern w:val="0"/>
                <w:sz w:val="24"/>
                <w:szCs w:val="24"/>
                <w:lang w:bidi="ar"/>
              </w:rPr>
              <w:t>说明：</w:t>
            </w:r>
            <w:r>
              <w:rPr>
                <w:rFonts w:hint="eastAsia" w:hAnsi="仿宋" w:cs="仿宋"/>
                <w:color w:val="000000"/>
                <w:kern w:val="0"/>
                <w:sz w:val="24"/>
                <w:szCs w:val="24"/>
                <w:lang w:bidi="ar"/>
              </w:rPr>
              <w:br w:type="textWrapping"/>
            </w:r>
            <w:r>
              <w:rPr>
                <w:rFonts w:hint="eastAsia" w:hAnsi="仿宋" w:cs="仿宋"/>
                <w:color w:val="000000"/>
                <w:kern w:val="0"/>
                <w:sz w:val="24"/>
                <w:szCs w:val="24"/>
                <w:lang w:bidi="ar"/>
              </w:rPr>
              <w:t>1.各报名机构应根据评分标准在自评内容一栏自行填报相关内容并注明佐证材料对应页码，管理人将在各方监督下进行评审；</w:t>
            </w:r>
            <w:r>
              <w:rPr>
                <w:rFonts w:hint="eastAsia" w:hAnsi="仿宋" w:cs="仿宋"/>
                <w:color w:val="000000"/>
                <w:kern w:val="0"/>
                <w:sz w:val="24"/>
                <w:szCs w:val="24"/>
                <w:lang w:bidi="ar"/>
              </w:rPr>
              <w:br w:type="textWrapping"/>
            </w:r>
            <w:r>
              <w:rPr>
                <w:rFonts w:hint="eastAsia" w:hAnsi="仿宋" w:cs="仿宋"/>
                <w:color w:val="000000"/>
                <w:kern w:val="0"/>
                <w:sz w:val="24"/>
                <w:szCs w:val="24"/>
                <w:lang w:bidi="ar"/>
              </w:rPr>
              <w:t>2.报名机构应对自身填报的内容负责。</w:t>
            </w:r>
          </w:p>
        </w:tc>
      </w:tr>
    </w:tbl>
    <w:p w14:paraId="12D0D512">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000000"/>
          <w:sz w:val="32"/>
          <w:szCs w:val="32"/>
          <w:lang w:val="en-US" w:eastAsia="zh-CN"/>
        </w:rPr>
      </w:pPr>
    </w:p>
    <w:p w14:paraId="34DDC3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i w:val="0"/>
          <w:iCs w:val="0"/>
          <w:caps w:val="0"/>
          <w:spacing w:val="7"/>
          <w:sz w:val="28"/>
          <w:szCs w:val="28"/>
          <w:shd w:val="clear" w:fill="FFFFFF"/>
          <w:lang w:val="en-US" w:eastAsia="zh-CN"/>
        </w:rPr>
      </w:pPr>
    </w:p>
    <w:p w14:paraId="11FABC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i w:val="0"/>
          <w:iCs w:val="0"/>
          <w:caps w:val="0"/>
          <w:spacing w:val="7"/>
          <w:sz w:val="28"/>
          <w:szCs w:val="28"/>
          <w:shd w:val="clear" w:fill="FFFFFF"/>
          <w:lang w:val="en-US" w:eastAsia="zh-CN"/>
        </w:rPr>
      </w:pPr>
    </w:p>
    <w:p w14:paraId="602674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i w:val="0"/>
          <w:iCs w:val="0"/>
          <w:caps w:val="0"/>
          <w:spacing w:val="7"/>
          <w:sz w:val="28"/>
          <w:szCs w:val="28"/>
          <w:shd w:val="clear" w:fill="FFFFFF"/>
          <w:lang w:val="en-US" w:eastAsia="zh-CN"/>
        </w:rPr>
      </w:pPr>
    </w:p>
    <w:p w14:paraId="076A4F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i w:val="0"/>
          <w:iCs w:val="0"/>
          <w:caps w:val="0"/>
          <w:spacing w:val="7"/>
          <w:sz w:val="28"/>
          <w:szCs w:val="28"/>
          <w:shd w:val="clear" w:fill="FFFFFF"/>
          <w:lang w:val="en-US" w:eastAsia="zh-CN"/>
        </w:rPr>
      </w:pPr>
    </w:p>
    <w:p w14:paraId="465115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i w:val="0"/>
          <w:iCs w:val="0"/>
          <w:caps w:val="0"/>
          <w:spacing w:val="7"/>
          <w:sz w:val="28"/>
          <w:szCs w:val="28"/>
          <w:shd w:val="clear" w:fill="FFFFFF"/>
          <w:lang w:val="en-US" w:eastAsia="zh-CN"/>
        </w:rPr>
      </w:pPr>
    </w:p>
    <w:p w14:paraId="3FCC67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i w:val="0"/>
          <w:iCs w:val="0"/>
          <w:caps w:val="0"/>
          <w:spacing w:val="7"/>
          <w:sz w:val="28"/>
          <w:szCs w:val="28"/>
          <w:shd w:val="clear" w:fill="FFFFFF"/>
          <w:lang w:val="en-US" w:eastAsia="zh-CN"/>
        </w:rPr>
      </w:pPr>
    </w:p>
    <w:p w14:paraId="4AC981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i w:val="0"/>
          <w:iCs w:val="0"/>
          <w:caps w:val="0"/>
          <w:spacing w:val="7"/>
          <w:sz w:val="28"/>
          <w:szCs w:val="28"/>
          <w:shd w:val="clear" w:fill="FFFFFF"/>
          <w:lang w:val="en-US" w:eastAsia="zh-CN"/>
        </w:rPr>
      </w:pPr>
    </w:p>
    <w:p w14:paraId="2478E4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i w:val="0"/>
          <w:iCs w:val="0"/>
          <w:caps w:val="0"/>
          <w:spacing w:val="7"/>
          <w:sz w:val="28"/>
          <w:szCs w:val="28"/>
          <w:shd w:val="clear" w:fill="FFFFFF"/>
          <w:lang w:val="en-US" w:eastAsia="zh-CN"/>
        </w:rPr>
      </w:pPr>
    </w:p>
    <w:p w14:paraId="11F99F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i w:val="0"/>
          <w:iCs w:val="0"/>
          <w:caps w:val="0"/>
          <w:spacing w:val="7"/>
          <w:sz w:val="28"/>
          <w:szCs w:val="28"/>
          <w:shd w:val="clear" w:fill="FFFFFF"/>
          <w:lang w:val="en-US" w:eastAsia="zh-CN"/>
        </w:rPr>
      </w:pPr>
    </w:p>
    <w:p w14:paraId="68F908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i w:val="0"/>
          <w:iCs w:val="0"/>
          <w:caps w:val="0"/>
          <w:spacing w:val="7"/>
          <w:sz w:val="28"/>
          <w:szCs w:val="28"/>
          <w:shd w:val="clear" w:fill="FFFFFF"/>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EDBF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D126F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3D126F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D54AF"/>
    <w:rsid w:val="207D54AF"/>
    <w:rsid w:val="28E05EE9"/>
    <w:rsid w:val="3CE2269D"/>
    <w:rsid w:val="404C2E33"/>
    <w:rsid w:val="79446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3180</Words>
  <Characters>3301</Characters>
  <Lines>0</Lines>
  <Paragraphs>0</Paragraphs>
  <TotalTime>7</TotalTime>
  <ScaleCrop>false</ScaleCrop>
  <LinksUpToDate>false</LinksUpToDate>
  <CharactersWithSpaces>3301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2025-11-04T11:11:00Z</dcterms:created>
  <dc:creator>姬泓宇 律师</dc:creator>
  <cp:lastModifiedBy>姬泓宇 律师</cp:lastModifiedBy>
  <dcterms:modified xsi:type="dcterms:W3CDTF">2025-11-05T01:24:42Z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B768B2C7320D4BDAA6D6A5EEE0B5C475_11</vt:lpwstr>
  </property>
  <property fmtid="{D5CDD505-2E9C-101B-9397-08002B2CF9AE}" pid="4" name="KSOTemplateDocerSaveRecord">
    <vt:lpwstr>eyJoZGlkIjoiZjQwOGRjNjU4NmUyMWEzYTYxMGZiZTM5MjIxNTlkNTIiLCJ1c2VySWQiOiI0MzcwMjU2OTEifQ==</vt:lpwstr>
  </property>
</Properties>
</file>