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27E3C">
      <w:pPr>
        <w:ind w:firstLine="208" w:firstLineChars="58"/>
        <w:jc w:val="center"/>
        <w:rPr>
          <w:rFonts w:ascii="黑体" w:hAnsi="黑体" w:eastAsia="黑体" w:cs="宋体"/>
          <w:bCs/>
          <w:sz w:val="36"/>
          <w:szCs w:val="36"/>
        </w:rPr>
      </w:pPr>
      <w:bookmarkStart w:id="0" w:name="_GoBack"/>
      <w:bookmarkEnd w:id="0"/>
      <w:r>
        <w:rPr>
          <w:rFonts w:hint="eastAsia" w:ascii="黑体" w:hAnsi="黑体" w:eastAsia="黑体" w:cs="黑体"/>
          <w:bCs/>
          <w:color w:val="auto"/>
          <w:sz w:val="36"/>
          <w:szCs w:val="36"/>
          <w:lang w:val="en-US" w:eastAsia="zh-CN"/>
        </w:rPr>
        <w:t>广东聚利新材料有限公司</w:t>
      </w:r>
      <w:r>
        <w:rPr>
          <w:rFonts w:hint="eastAsia" w:ascii="黑体" w:hAnsi="黑体" w:eastAsia="黑体" w:cs="黑体"/>
          <w:bCs/>
          <w:color w:val="auto"/>
          <w:sz w:val="36"/>
          <w:szCs w:val="36"/>
        </w:rPr>
        <w:t>破产清算案</w:t>
      </w:r>
    </w:p>
    <w:p w14:paraId="32765239">
      <w:pPr>
        <w:jc w:val="center"/>
        <w:rPr>
          <w:rFonts w:ascii="黑体" w:hAnsi="黑体" w:eastAsia="黑体" w:cs="宋体"/>
          <w:b/>
          <w:bCs/>
          <w:sz w:val="36"/>
          <w:szCs w:val="36"/>
        </w:rPr>
      </w:pPr>
      <w:r>
        <w:rPr>
          <w:rFonts w:hint="eastAsia" w:ascii="黑体" w:hAnsi="黑体" w:eastAsia="黑体" w:cs="宋体"/>
          <w:bCs/>
          <w:sz w:val="36"/>
          <w:szCs w:val="36"/>
        </w:rPr>
        <w:t xml:space="preserve"> 债权人送达方式及银行账户信息确认书  </w:t>
      </w:r>
      <w:r>
        <w:rPr>
          <w:rFonts w:hint="eastAsia" w:ascii="黑体" w:hAnsi="黑体" w:eastAsia="黑体" w:cs="宋体"/>
          <w:b/>
          <w:bCs/>
          <w:sz w:val="36"/>
          <w:szCs w:val="36"/>
        </w:rPr>
        <w:t xml:space="preserve">  </w:t>
      </w:r>
    </w:p>
    <w:p w14:paraId="6A440D8D">
      <w:pPr>
        <w:spacing w:line="300" w:lineRule="auto"/>
        <w:ind w:left="1" w:leftChars="-95" w:hanging="200" w:hangingChars="95"/>
        <w:rPr>
          <w:rFonts w:ascii="仿宋" w:hAnsi="仿宋" w:eastAsia="仿宋" w:cs="宋体"/>
          <w:b/>
          <w:bCs/>
          <w:szCs w:val="21"/>
        </w:rPr>
      </w:pPr>
    </w:p>
    <w:p w14:paraId="3E01DA3F">
      <w:pPr>
        <w:spacing w:line="300" w:lineRule="auto"/>
        <w:ind w:left="30" w:leftChars="-95" w:hanging="229" w:hangingChars="95"/>
        <w:rPr>
          <w:rFonts w:ascii="仿宋" w:hAnsi="仿宋" w:eastAsia="仿宋" w:cs="宋体"/>
          <w:bCs/>
          <w:sz w:val="30"/>
          <w:szCs w:val="30"/>
        </w:rPr>
      </w:pPr>
      <w:r>
        <w:rPr>
          <w:rFonts w:hint="eastAsia" w:ascii="仿宋" w:hAnsi="仿宋" w:eastAsia="仿宋" w:cs="宋体"/>
          <w:b/>
          <w:bCs/>
          <w:sz w:val="24"/>
          <w:szCs w:val="24"/>
        </w:rPr>
        <w:t xml:space="preserve">债权编号：    </w:t>
      </w:r>
      <w:r>
        <w:rPr>
          <w:rFonts w:hint="eastAsia" w:ascii="仿宋" w:hAnsi="仿宋" w:eastAsia="仿宋" w:cs="宋体"/>
          <w:b/>
          <w:bCs/>
          <w:szCs w:val="21"/>
        </w:rPr>
        <w:t xml:space="preserve">                                            </w:t>
      </w:r>
    </w:p>
    <w:tbl>
      <w:tblPr>
        <w:tblStyle w:val="4"/>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956"/>
        <w:gridCol w:w="1809"/>
        <w:gridCol w:w="210"/>
        <w:gridCol w:w="4006"/>
      </w:tblGrid>
      <w:tr w14:paraId="145A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6" w:hRule="atLeast"/>
          <w:jc w:val="center"/>
        </w:trPr>
        <w:tc>
          <w:tcPr>
            <w:tcW w:w="9666" w:type="dxa"/>
            <w:gridSpan w:val="5"/>
          </w:tcPr>
          <w:p w14:paraId="1D59AB6B">
            <w:pPr>
              <w:jc w:val="center"/>
              <w:rPr>
                <w:rFonts w:ascii="仿宋" w:hAnsi="仿宋" w:eastAsia="仿宋" w:cs="宋体"/>
                <w:b/>
                <w:color w:val="auto"/>
                <w:sz w:val="28"/>
                <w:szCs w:val="28"/>
                <w:shd w:val="clear" w:color="auto" w:fill="auto"/>
              </w:rPr>
            </w:pPr>
            <w:r>
              <w:rPr>
                <w:rFonts w:hint="eastAsia" w:ascii="仿宋" w:hAnsi="仿宋" w:eastAsia="仿宋" w:cs="宋体"/>
                <w:b/>
                <w:color w:val="auto"/>
                <w:sz w:val="28"/>
                <w:szCs w:val="28"/>
                <w:shd w:val="clear" w:color="auto" w:fill="auto"/>
              </w:rPr>
              <w:t>告知事项</w:t>
            </w:r>
          </w:p>
          <w:p w14:paraId="57EB9C3D">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ascii="仿宋" w:hAnsi="仿宋" w:eastAsia="仿宋" w:cs="宋体"/>
                <w:b/>
                <w:bCs/>
                <w:color w:val="auto"/>
                <w:sz w:val="24"/>
                <w:shd w:val="clear" w:color="auto" w:fill="auto"/>
              </w:rPr>
            </w:pPr>
            <w:r>
              <w:rPr>
                <w:rFonts w:hint="eastAsia" w:ascii="仿宋" w:hAnsi="仿宋" w:eastAsia="仿宋" w:cs="宋体"/>
                <w:color w:val="auto"/>
                <w:shd w:val="clear" w:color="auto" w:fill="auto"/>
              </w:rPr>
              <w:t xml:space="preserve">  </w:t>
            </w:r>
            <w:r>
              <w:rPr>
                <w:rFonts w:hint="eastAsia" w:ascii="仿宋" w:hAnsi="仿宋" w:eastAsia="仿宋" w:cs="宋体"/>
                <w:b/>
                <w:bCs/>
                <w:color w:val="auto"/>
                <w:shd w:val="clear" w:color="auto" w:fill="auto"/>
              </w:rPr>
              <w:t xml:space="preserve"> </w:t>
            </w:r>
            <w:r>
              <w:rPr>
                <w:rFonts w:hint="eastAsia" w:ascii="仿宋" w:hAnsi="仿宋" w:eastAsia="仿宋" w:cs="宋体"/>
                <w:color w:val="auto"/>
                <w:sz w:val="24"/>
                <w:shd w:val="clear" w:color="auto" w:fill="auto"/>
              </w:rPr>
              <w:t xml:space="preserve"> </w:t>
            </w:r>
            <w:r>
              <w:rPr>
                <w:rFonts w:hint="eastAsia" w:ascii="仿宋" w:hAnsi="仿宋" w:eastAsia="仿宋" w:cs="宋体"/>
                <w:b/>
                <w:bCs/>
                <w:color w:val="auto"/>
                <w:sz w:val="24"/>
                <w:shd w:val="clear" w:color="auto" w:fill="auto"/>
              </w:rPr>
              <w:t>1.为便于债权人接收</w:t>
            </w:r>
            <w:r>
              <w:rPr>
                <w:rFonts w:hint="eastAsia" w:ascii="仿宋" w:hAnsi="仿宋" w:eastAsia="仿宋" w:cs="宋体"/>
                <w:b/>
                <w:bCs/>
                <w:color w:val="auto"/>
                <w:sz w:val="24"/>
                <w:shd w:val="clear" w:color="auto" w:fill="auto"/>
                <w:lang w:val="en-US" w:eastAsia="zh-CN"/>
              </w:rPr>
              <w:t>广东聚利新材料有限公司</w:t>
            </w:r>
            <w:r>
              <w:rPr>
                <w:rFonts w:hint="eastAsia" w:ascii="仿宋" w:hAnsi="仿宋" w:eastAsia="仿宋" w:cs="宋体"/>
                <w:b/>
                <w:bCs/>
                <w:color w:val="auto"/>
                <w:sz w:val="24"/>
                <w:shd w:val="clear" w:color="auto" w:fill="auto"/>
              </w:rPr>
              <w:t>破产清算案件(下称“本案”)相关材料，保证破产案件顺利进行，债权人应当如实提供准确有效的送达方式及银行账户信息。</w:t>
            </w:r>
          </w:p>
          <w:p w14:paraId="7D00C33F">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 xml:space="preserve">    2.债权人提供的送达方式及银行账户信息适用于本案整个过程，自</w:t>
            </w:r>
            <w:r>
              <w:rPr>
                <w:rFonts w:hint="eastAsia" w:ascii="仿宋" w:hAnsi="仿宋" w:eastAsia="仿宋" w:cs="宋体"/>
                <w:b/>
                <w:bCs/>
                <w:color w:val="auto"/>
                <w:sz w:val="24"/>
                <w:shd w:val="clear" w:color="auto" w:fill="auto"/>
                <w:lang w:val="en-US" w:eastAsia="zh-CN"/>
              </w:rPr>
              <w:t>广东聚利新材料有限公司</w:t>
            </w:r>
            <w:r>
              <w:rPr>
                <w:rFonts w:hint="eastAsia" w:ascii="仿宋" w:hAnsi="仿宋" w:eastAsia="仿宋" w:cs="宋体"/>
                <w:b/>
                <w:bCs/>
                <w:color w:val="auto"/>
                <w:sz w:val="24"/>
                <w:shd w:val="clear" w:color="auto" w:fill="auto"/>
              </w:rPr>
              <w:t>被</w:t>
            </w:r>
            <w:r>
              <w:rPr>
                <w:rFonts w:hint="eastAsia" w:ascii="仿宋" w:hAnsi="仿宋" w:eastAsia="仿宋" w:cs="宋体"/>
                <w:b/>
                <w:bCs/>
                <w:color w:val="auto"/>
                <w:sz w:val="24"/>
                <w:shd w:val="clear" w:color="auto" w:fill="auto"/>
                <w:lang w:eastAsia="zh-CN"/>
              </w:rPr>
              <w:t>人民法院</w:t>
            </w:r>
            <w:r>
              <w:rPr>
                <w:rFonts w:hint="eastAsia" w:ascii="仿宋" w:hAnsi="仿宋" w:eastAsia="仿宋" w:cs="宋体"/>
                <w:b/>
                <w:bCs/>
                <w:color w:val="auto"/>
                <w:sz w:val="24"/>
                <w:shd w:val="clear" w:color="auto" w:fill="auto"/>
              </w:rPr>
              <w:t>裁定受理破产申请之日起至</w:t>
            </w:r>
            <w:r>
              <w:rPr>
                <w:rFonts w:hint="eastAsia" w:ascii="仿宋" w:hAnsi="仿宋" w:eastAsia="仿宋" w:cs="宋体"/>
                <w:b/>
                <w:bCs/>
                <w:color w:val="auto"/>
                <w:sz w:val="24"/>
                <w:shd w:val="clear" w:color="auto" w:fill="auto"/>
                <w:lang w:val="en-US" w:eastAsia="zh-CN"/>
              </w:rPr>
              <w:t>破产企业注销登记办理完毕之日止</w:t>
            </w:r>
            <w:r>
              <w:rPr>
                <w:rFonts w:hint="eastAsia" w:ascii="仿宋" w:hAnsi="仿宋" w:eastAsia="仿宋" w:cs="宋体"/>
                <w:b/>
                <w:bCs/>
                <w:color w:val="auto"/>
                <w:sz w:val="24"/>
                <w:shd w:val="clear" w:color="auto" w:fill="auto"/>
              </w:rPr>
              <w:t>。</w:t>
            </w:r>
          </w:p>
          <w:p w14:paraId="445887B1">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 xml:space="preserve">    3.如果债权人提供的送达方式或银行账户信息，在本案破产程序终结前有变更的，应当及时通过书面方式告知管理人，并提供变更后的送达方式或银行账户。</w:t>
            </w:r>
          </w:p>
          <w:p w14:paraId="5F570C0D">
            <w:pPr>
              <w:keepNext w:val="0"/>
              <w:keepLines w:val="0"/>
              <w:pageBreakBefore w:val="0"/>
              <w:widowControl w:val="0"/>
              <w:kinsoku/>
              <w:wordWrap/>
              <w:overflowPunct/>
              <w:topLinePunct w:val="0"/>
              <w:autoSpaceDE/>
              <w:autoSpaceDN/>
              <w:bidi w:val="0"/>
              <w:adjustRightInd/>
              <w:snapToGrid w:val="0"/>
              <w:spacing w:line="400" w:lineRule="atLeast"/>
              <w:ind w:firstLine="481"/>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4.管理人将通过债权人提供的送达方式向债权人送达本案各类法律文书或工作文书，如果债权人提供的送达方式不准确或不及时告知管理人变更后的送达方式，导致本案相关材料无法送达的，债权人应自行承担由此产生的不利后果。</w:t>
            </w:r>
          </w:p>
          <w:p w14:paraId="4BDCB3CF">
            <w:pPr>
              <w:keepNext w:val="0"/>
              <w:keepLines w:val="0"/>
              <w:pageBreakBefore w:val="0"/>
              <w:widowControl w:val="0"/>
              <w:kinsoku/>
              <w:wordWrap/>
              <w:overflowPunct/>
              <w:topLinePunct w:val="0"/>
              <w:autoSpaceDE/>
              <w:autoSpaceDN/>
              <w:bidi w:val="0"/>
              <w:adjustRightInd/>
              <w:snapToGrid w:val="0"/>
              <w:spacing w:line="400" w:lineRule="atLeast"/>
              <w:ind w:firstLine="481"/>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5.债权人应用电脑填写或用正楷字填写以下内容，涂改无效。</w:t>
            </w:r>
          </w:p>
          <w:p w14:paraId="0B966DFC">
            <w:pPr>
              <w:keepNext w:val="0"/>
              <w:keepLines w:val="0"/>
              <w:pageBreakBefore w:val="0"/>
              <w:widowControl w:val="0"/>
              <w:kinsoku/>
              <w:wordWrap/>
              <w:overflowPunct/>
              <w:topLinePunct w:val="0"/>
              <w:autoSpaceDE/>
              <w:autoSpaceDN/>
              <w:bidi w:val="0"/>
              <w:adjustRightInd/>
              <w:snapToGrid w:val="0"/>
              <w:spacing w:line="400" w:lineRule="atLeast"/>
              <w:ind w:firstLine="481"/>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6.若债权人作为债权人委员会成员，其提供的送达地址同时作为接收债权人委员会各类文书、材料的地址。</w:t>
            </w:r>
          </w:p>
          <w:p w14:paraId="40D18876">
            <w:pPr>
              <w:keepNext w:val="0"/>
              <w:keepLines w:val="0"/>
              <w:pageBreakBefore w:val="0"/>
              <w:widowControl w:val="0"/>
              <w:kinsoku/>
              <w:wordWrap/>
              <w:overflowPunct/>
              <w:topLinePunct w:val="0"/>
              <w:autoSpaceDE/>
              <w:autoSpaceDN/>
              <w:bidi w:val="0"/>
              <w:adjustRightInd/>
              <w:snapToGrid w:val="0"/>
              <w:spacing w:line="400" w:lineRule="atLeast"/>
              <w:ind w:firstLine="481"/>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7.本确认书中的债权编号由管理人填写。</w:t>
            </w:r>
          </w:p>
        </w:tc>
      </w:tr>
      <w:tr w14:paraId="06D0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5" w:type="dxa"/>
          </w:tcPr>
          <w:p w14:paraId="0FE8A538">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债权人名称</w:t>
            </w:r>
          </w:p>
        </w:tc>
        <w:tc>
          <w:tcPr>
            <w:tcW w:w="7981" w:type="dxa"/>
            <w:gridSpan w:val="4"/>
          </w:tcPr>
          <w:p w14:paraId="5C8FEDA5">
            <w:pPr>
              <w:spacing w:line="300" w:lineRule="auto"/>
              <w:rPr>
                <w:rFonts w:ascii="仿宋" w:hAnsi="仿宋" w:eastAsia="仿宋" w:cs="宋体"/>
                <w:b/>
                <w:color w:val="auto"/>
                <w:sz w:val="24"/>
                <w:shd w:val="clear" w:color="auto" w:fill="auto"/>
              </w:rPr>
            </w:pPr>
          </w:p>
        </w:tc>
      </w:tr>
      <w:tr w14:paraId="151F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5" w:type="dxa"/>
            <w:vMerge w:val="restart"/>
            <w:vAlign w:val="center"/>
          </w:tcPr>
          <w:p w14:paraId="1E0813ED">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债权人提供的</w:t>
            </w:r>
          </w:p>
          <w:p w14:paraId="5B8E08C8">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送达方式</w:t>
            </w:r>
          </w:p>
        </w:tc>
        <w:tc>
          <w:tcPr>
            <w:tcW w:w="7981" w:type="dxa"/>
            <w:gridSpan w:val="4"/>
          </w:tcPr>
          <w:p w14:paraId="1AE60979">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联系人/收件人：</w:t>
            </w:r>
          </w:p>
        </w:tc>
      </w:tr>
      <w:tr w14:paraId="1904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5" w:type="dxa"/>
            <w:vMerge w:val="continue"/>
            <w:vAlign w:val="center"/>
          </w:tcPr>
          <w:p w14:paraId="39594865">
            <w:pPr>
              <w:spacing w:line="300" w:lineRule="auto"/>
              <w:jc w:val="center"/>
              <w:rPr>
                <w:rFonts w:ascii="仿宋" w:hAnsi="仿宋" w:eastAsia="仿宋" w:cs="宋体"/>
                <w:bCs/>
                <w:color w:val="auto"/>
                <w:sz w:val="24"/>
                <w:shd w:val="clear" w:color="auto" w:fill="auto"/>
              </w:rPr>
            </w:pPr>
          </w:p>
        </w:tc>
        <w:tc>
          <w:tcPr>
            <w:tcW w:w="7981" w:type="dxa"/>
            <w:gridSpan w:val="4"/>
          </w:tcPr>
          <w:p w14:paraId="4024DAF9">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送达地址：</w:t>
            </w:r>
          </w:p>
        </w:tc>
      </w:tr>
      <w:tr w14:paraId="258E2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5" w:type="dxa"/>
            <w:vMerge w:val="continue"/>
            <w:vAlign w:val="center"/>
          </w:tcPr>
          <w:p w14:paraId="5E8639A5">
            <w:pPr>
              <w:spacing w:line="300" w:lineRule="auto"/>
              <w:jc w:val="center"/>
              <w:rPr>
                <w:rFonts w:ascii="仿宋" w:hAnsi="仿宋" w:eastAsia="仿宋" w:cs="宋体"/>
                <w:bCs/>
                <w:color w:val="auto"/>
                <w:sz w:val="24"/>
                <w:shd w:val="clear" w:color="auto" w:fill="auto"/>
              </w:rPr>
            </w:pPr>
          </w:p>
        </w:tc>
        <w:tc>
          <w:tcPr>
            <w:tcW w:w="7981" w:type="dxa"/>
            <w:gridSpan w:val="4"/>
          </w:tcPr>
          <w:p w14:paraId="3958EF3A">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邮编:</w:t>
            </w:r>
          </w:p>
        </w:tc>
      </w:tr>
      <w:tr w14:paraId="177D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5" w:type="dxa"/>
            <w:vMerge w:val="continue"/>
            <w:vAlign w:val="center"/>
          </w:tcPr>
          <w:p w14:paraId="78236AB7">
            <w:pPr>
              <w:spacing w:line="300" w:lineRule="auto"/>
              <w:jc w:val="center"/>
              <w:rPr>
                <w:rFonts w:ascii="仿宋" w:hAnsi="仿宋" w:eastAsia="仿宋" w:cs="宋体"/>
                <w:bCs/>
                <w:color w:val="auto"/>
                <w:sz w:val="24"/>
                <w:shd w:val="clear" w:color="auto" w:fill="auto"/>
              </w:rPr>
            </w:pPr>
          </w:p>
        </w:tc>
        <w:tc>
          <w:tcPr>
            <w:tcW w:w="7981" w:type="dxa"/>
            <w:gridSpan w:val="4"/>
          </w:tcPr>
          <w:p w14:paraId="42FA9B67">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 xml:space="preserve">联系电话:                 </w:t>
            </w:r>
          </w:p>
        </w:tc>
      </w:tr>
      <w:tr w14:paraId="4C41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5" w:type="dxa"/>
            <w:vMerge w:val="continue"/>
            <w:vAlign w:val="center"/>
          </w:tcPr>
          <w:p w14:paraId="691BDA21">
            <w:pPr>
              <w:spacing w:line="300" w:lineRule="auto"/>
              <w:jc w:val="center"/>
              <w:rPr>
                <w:rFonts w:ascii="仿宋" w:hAnsi="仿宋" w:eastAsia="仿宋" w:cs="宋体"/>
                <w:bCs/>
                <w:color w:val="auto"/>
                <w:sz w:val="24"/>
                <w:shd w:val="clear" w:color="auto" w:fill="auto"/>
              </w:rPr>
            </w:pPr>
          </w:p>
        </w:tc>
        <w:tc>
          <w:tcPr>
            <w:tcW w:w="7981" w:type="dxa"/>
            <w:gridSpan w:val="4"/>
          </w:tcPr>
          <w:p w14:paraId="16A185F8">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电子邮箱:</w:t>
            </w:r>
          </w:p>
        </w:tc>
      </w:tr>
      <w:tr w14:paraId="4C97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5" w:type="dxa"/>
            <w:vMerge w:val="continue"/>
            <w:vAlign w:val="center"/>
          </w:tcPr>
          <w:p w14:paraId="4C969F12">
            <w:pPr>
              <w:spacing w:line="300" w:lineRule="auto"/>
              <w:jc w:val="center"/>
              <w:rPr>
                <w:rFonts w:ascii="仿宋" w:hAnsi="仿宋" w:eastAsia="仿宋" w:cs="宋体"/>
                <w:bCs/>
                <w:color w:val="auto"/>
                <w:sz w:val="24"/>
                <w:shd w:val="clear" w:color="auto" w:fill="auto"/>
              </w:rPr>
            </w:pPr>
          </w:p>
        </w:tc>
        <w:tc>
          <w:tcPr>
            <w:tcW w:w="3975" w:type="dxa"/>
            <w:gridSpan w:val="3"/>
          </w:tcPr>
          <w:p w14:paraId="51DEB9F4">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QQ号:</w:t>
            </w:r>
          </w:p>
        </w:tc>
        <w:tc>
          <w:tcPr>
            <w:tcW w:w="4006" w:type="dxa"/>
          </w:tcPr>
          <w:p w14:paraId="7F7B97AC">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微信号：</w:t>
            </w:r>
          </w:p>
        </w:tc>
      </w:tr>
      <w:tr w14:paraId="4A0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5" w:type="dxa"/>
            <w:vMerge w:val="restart"/>
            <w:vAlign w:val="center"/>
          </w:tcPr>
          <w:p w14:paraId="5AAB6801">
            <w:pPr>
              <w:spacing w:line="300" w:lineRule="auto"/>
              <w:jc w:val="center"/>
              <w:rPr>
                <w:rFonts w:ascii="仿宋" w:hAnsi="仿宋" w:eastAsia="仿宋" w:cs="宋体"/>
                <w:bCs/>
                <w:color w:val="auto"/>
                <w:sz w:val="24"/>
                <w:shd w:val="clear" w:color="auto" w:fill="auto"/>
              </w:rPr>
            </w:pPr>
          </w:p>
          <w:p w14:paraId="3F7A185E">
            <w:pPr>
              <w:spacing w:line="300" w:lineRule="auto"/>
              <w:jc w:val="center"/>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债权人提供的</w:t>
            </w:r>
          </w:p>
          <w:p w14:paraId="3FE4EBCA">
            <w:pPr>
              <w:spacing w:line="300" w:lineRule="auto"/>
              <w:jc w:val="center"/>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其委托代理人的送达方式</w:t>
            </w:r>
          </w:p>
          <w:p w14:paraId="7A600FD6">
            <w:pPr>
              <w:spacing w:line="300" w:lineRule="auto"/>
              <w:jc w:val="center"/>
              <w:rPr>
                <w:rFonts w:ascii="仿宋" w:hAnsi="仿宋" w:eastAsia="仿宋" w:cs="宋体"/>
                <w:bCs/>
                <w:color w:val="auto"/>
                <w:sz w:val="24"/>
                <w:shd w:val="clear" w:color="auto" w:fill="auto"/>
              </w:rPr>
            </w:pPr>
          </w:p>
        </w:tc>
        <w:tc>
          <w:tcPr>
            <w:tcW w:w="7981" w:type="dxa"/>
            <w:gridSpan w:val="4"/>
          </w:tcPr>
          <w:p w14:paraId="71AA94CD">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联系人/收件人：</w:t>
            </w:r>
          </w:p>
        </w:tc>
      </w:tr>
      <w:tr w14:paraId="485B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5" w:type="dxa"/>
            <w:vMerge w:val="continue"/>
            <w:vAlign w:val="center"/>
          </w:tcPr>
          <w:p w14:paraId="5F82017D">
            <w:pPr>
              <w:spacing w:line="300" w:lineRule="auto"/>
              <w:jc w:val="center"/>
              <w:rPr>
                <w:rFonts w:ascii="仿宋" w:hAnsi="仿宋" w:eastAsia="仿宋" w:cs="宋体"/>
                <w:bCs/>
                <w:color w:val="auto"/>
                <w:sz w:val="24"/>
                <w:shd w:val="clear" w:color="auto" w:fill="auto"/>
              </w:rPr>
            </w:pPr>
          </w:p>
        </w:tc>
        <w:tc>
          <w:tcPr>
            <w:tcW w:w="7981" w:type="dxa"/>
            <w:gridSpan w:val="4"/>
          </w:tcPr>
          <w:p w14:paraId="16B316D6">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送达地址：</w:t>
            </w:r>
          </w:p>
        </w:tc>
      </w:tr>
      <w:tr w14:paraId="28FF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5" w:type="dxa"/>
            <w:vMerge w:val="continue"/>
            <w:vAlign w:val="center"/>
          </w:tcPr>
          <w:p w14:paraId="7B1F8E29">
            <w:pPr>
              <w:spacing w:line="300" w:lineRule="auto"/>
              <w:jc w:val="center"/>
              <w:rPr>
                <w:rFonts w:ascii="仿宋" w:hAnsi="仿宋" w:eastAsia="仿宋" w:cs="宋体"/>
                <w:bCs/>
                <w:color w:val="auto"/>
                <w:sz w:val="24"/>
                <w:shd w:val="clear" w:color="auto" w:fill="auto"/>
              </w:rPr>
            </w:pPr>
          </w:p>
        </w:tc>
        <w:tc>
          <w:tcPr>
            <w:tcW w:w="7981" w:type="dxa"/>
            <w:gridSpan w:val="4"/>
          </w:tcPr>
          <w:p w14:paraId="163A6B2A">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邮编:</w:t>
            </w:r>
          </w:p>
        </w:tc>
      </w:tr>
      <w:tr w14:paraId="4350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5" w:type="dxa"/>
            <w:vMerge w:val="continue"/>
            <w:vAlign w:val="center"/>
          </w:tcPr>
          <w:p w14:paraId="27370A42">
            <w:pPr>
              <w:spacing w:line="300" w:lineRule="auto"/>
              <w:jc w:val="center"/>
              <w:rPr>
                <w:rFonts w:ascii="仿宋" w:hAnsi="仿宋" w:eastAsia="仿宋" w:cs="宋体"/>
                <w:bCs/>
                <w:color w:val="auto"/>
                <w:sz w:val="24"/>
                <w:shd w:val="clear" w:color="auto" w:fill="auto"/>
              </w:rPr>
            </w:pPr>
          </w:p>
        </w:tc>
        <w:tc>
          <w:tcPr>
            <w:tcW w:w="7981" w:type="dxa"/>
            <w:gridSpan w:val="4"/>
          </w:tcPr>
          <w:p w14:paraId="652D3E81">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联系电话:</w:t>
            </w:r>
          </w:p>
        </w:tc>
      </w:tr>
      <w:tr w14:paraId="6935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5" w:type="dxa"/>
            <w:vMerge w:val="continue"/>
            <w:vAlign w:val="center"/>
          </w:tcPr>
          <w:p w14:paraId="42AC4267">
            <w:pPr>
              <w:spacing w:line="300" w:lineRule="auto"/>
              <w:jc w:val="center"/>
              <w:rPr>
                <w:rFonts w:ascii="仿宋" w:hAnsi="仿宋" w:eastAsia="仿宋" w:cs="宋体"/>
                <w:bCs/>
                <w:color w:val="auto"/>
                <w:sz w:val="24"/>
                <w:shd w:val="clear" w:color="auto" w:fill="auto"/>
              </w:rPr>
            </w:pPr>
          </w:p>
        </w:tc>
        <w:tc>
          <w:tcPr>
            <w:tcW w:w="7981" w:type="dxa"/>
            <w:gridSpan w:val="4"/>
          </w:tcPr>
          <w:p w14:paraId="595B7ECB">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电子邮箱:</w:t>
            </w:r>
          </w:p>
        </w:tc>
      </w:tr>
      <w:tr w14:paraId="48EC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85" w:type="dxa"/>
            <w:vMerge w:val="continue"/>
            <w:vAlign w:val="center"/>
          </w:tcPr>
          <w:p w14:paraId="297CB147">
            <w:pPr>
              <w:spacing w:line="300" w:lineRule="auto"/>
              <w:jc w:val="center"/>
              <w:rPr>
                <w:rFonts w:ascii="仿宋" w:hAnsi="仿宋" w:eastAsia="仿宋" w:cs="宋体"/>
                <w:bCs/>
                <w:color w:val="auto"/>
                <w:sz w:val="24"/>
                <w:shd w:val="clear" w:color="auto" w:fill="auto"/>
              </w:rPr>
            </w:pPr>
          </w:p>
        </w:tc>
        <w:tc>
          <w:tcPr>
            <w:tcW w:w="3765" w:type="dxa"/>
            <w:gridSpan w:val="2"/>
          </w:tcPr>
          <w:p w14:paraId="73CB07F7">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QQ号:</w:t>
            </w:r>
          </w:p>
        </w:tc>
        <w:tc>
          <w:tcPr>
            <w:tcW w:w="4216" w:type="dxa"/>
            <w:gridSpan w:val="2"/>
          </w:tcPr>
          <w:p w14:paraId="09D91040">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微信号：</w:t>
            </w:r>
          </w:p>
        </w:tc>
      </w:tr>
      <w:tr w14:paraId="06F6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jc w:val="center"/>
        </w:trPr>
        <w:tc>
          <w:tcPr>
            <w:tcW w:w="1685" w:type="dxa"/>
            <w:vAlign w:val="center"/>
          </w:tcPr>
          <w:p w14:paraId="0C329CD0">
            <w:pPr>
              <w:spacing w:line="300" w:lineRule="auto"/>
              <w:jc w:val="center"/>
              <w:rPr>
                <w:rFonts w:ascii="仿宋" w:hAnsi="仿宋" w:eastAsia="仿宋" w:cs="宋体"/>
                <w:b/>
                <w:color w:val="auto"/>
                <w:sz w:val="24"/>
                <w:shd w:val="clear" w:color="auto" w:fill="auto"/>
              </w:rPr>
            </w:pPr>
          </w:p>
          <w:p w14:paraId="120B9EBA">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债权人对送达方式的确认</w:t>
            </w:r>
          </w:p>
          <w:p w14:paraId="2EA83A92">
            <w:pPr>
              <w:spacing w:line="300" w:lineRule="auto"/>
              <w:jc w:val="center"/>
              <w:rPr>
                <w:rFonts w:ascii="仿宋" w:hAnsi="仿宋" w:eastAsia="仿宋" w:cs="宋体"/>
                <w:bCs/>
                <w:color w:val="auto"/>
                <w:sz w:val="24"/>
                <w:shd w:val="clear" w:color="auto" w:fill="auto"/>
              </w:rPr>
            </w:pPr>
            <w:r>
              <w:rPr>
                <w:rFonts w:hint="eastAsia" w:ascii="仿宋" w:hAnsi="仿宋" w:eastAsia="仿宋" w:cs="宋体"/>
                <w:b/>
                <w:color w:val="auto"/>
                <w:sz w:val="24"/>
                <w:shd w:val="clear" w:color="auto" w:fill="auto"/>
              </w:rPr>
              <w:t>及承诺</w:t>
            </w:r>
          </w:p>
        </w:tc>
        <w:tc>
          <w:tcPr>
            <w:tcW w:w="7981" w:type="dxa"/>
            <w:gridSpan w:val="4"/>
          </w:tcPr>
          <w:p w14:paraId="20FA167F">
            <w:pPr>
              <w:keepNext w:val="0"/>
              <w:keepLines w:val="0"/>
              <w:pageBreakBefore w:val="0"/>
              <w:widowControl w:val="0"/>
              <w:kinsoku/>
              <w:wordWrap/>
              <w:overflowPunct/>
              <w:topLinePunct w:val="0"/>
              <w:autoSpaceDE/>
              <w:autoSpaceDN/>
              <w:bidi w:val="0"/>
              <w:adjustRightInd/>
              <w:snapToGrid/>
              <w:spacing w:line="400" w:lineRule="atLeast"/>
              <w:textAlignment w:val="auto"/>
              <w:rPr>
                <w:rFonts w:ascii="仿宋" w:hAnsi="仿宋" w:eastAsia="仿宋" w:cs="宋体"/>
                <w:b/>
                <w:bCs/>
                <w:color w:val="auto"/>
                <w:sz w:val="24"/>
                <w:shd w:val="clear" w:color="auto" w:fill="auto"/>
              </w:rPr>
            </w:pPr>
            <w:r>
              <w:rPr>
                <w:rFonts w:hint="eastAsia" w:ascii="仿宋" w:hAnsi="仿宋" w:eastAsia="仿宋" w:cs="宋体"/>
                <w:color w:val="auto"/>
                <w:kern w:val="0"/>
                <w:sz w:val="24"/>
                <w:shd w:val="clear" w:color="auto" w:fill="auto"/>
              </w:rPr>
              <w:t xml:space="preserve">   </w:t>
            </w:r>
            <w:r>
              <w:rPr>
                <w:rFonts w:hint="eastAsia" w:ascii="仿宋" w:hAnsi="仿宋" w:eastAsia="仿宋" w:cs="宋体"/>
                <w:b/>
                <w:bCs/>
                <w:color w:val="auto"/>
                <w:kern w:val="0"/>
                <w:sz w:val="24"/>
                <w:shd w:val="clear" w:color="auto" w:fill="auto"/>
              </w:rPr>
              <w:t xml:space="preserve"> </w:t>
            </w:r>
            <w:r>
              <w:rPr>
                <w:rFonts w:hint="eastAsia" w:ascii="仿宋" w:hAnsi="仿宋" w:eastAsia="仿宋" w:cs="宋体"/>
                <w:b/>
                <w:bCs/>
                <w:color w:val="auto"/>
                <w:sz w:val="24"/>
                <w:shd w:val="clear" w:color="auto" w:fill="auto"/>
              </w:rPr>
              <w:t>本债权人已经认真阅读了上述告知事项，完全同意并接受，并在阅读告知事项后提供了上栏送达方式，并保证所提供的送达方式各项内容的准确性及有效性。管理人可选择上述送达方式中的任意一种向本债权人送达本案相关材料，为了节省破产费用，管理人可优先选择电子送达的形式向本债权人送达各类文件、文书、通知等。本债权人确认并承诺：</w:t>
            </w:r>
          </w:p>
          <w:p w14:paraId="78A13310">
            <w:pPr>
              <w:keepNext w:val="0"/>
              <w:keepLines w:val="0"/>
              <w:pageBreakBefore w:val="0"/>
              <w:widowControl w:val="0"/>
              <w:kinsoku/>
              <w:wordWrap/>
              <w:overflowPunct/>
              <w:topLinePunct w:val="0"/>
              <w:autoSpaceDE/>
              <w:autoSpaceDN/>
              <w:bidi w:val="0"/>
              <w:adjustRightInd/>
              <w:snapToGrid/>
              <w:spacing w:line="400" w:lineRule="atLeast"/>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 xml:space="preserve">    1.管理人通过特快专递方式送达的，以管理人寄出相关材料之日起的第二日为送达之日；</w:t>
            </w:r>
          </w:p>
          <w:p w14:paraId="65BC639C">
            <w:pPr>
              <w:keepNext w:val="0"/>
              <w:keepLines w:val="0"/>
              <w:pageBreakBefore w:val="0"/>
              <w:widowControl w:val="0"/>
              <w:kinsoku/>
              <w:wordWrap/>
              <w:overflowPunct/>
              <w:topLinePunct w:val="0"/>
              <w:autoSpaceDE/>
              <w:autoSpaceDN/>
              <w:bidi w:val="0"/>
              <w:adjustRightInd/>
              <w:snapToGrid/>
              <w:spacing w:line="400" w:lineRule="atLeast"/>
              <w:ind w:firstLine="480"/>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 xml:space="preserve">2.管理人通过发送电子邮件方式送达的，以管理人发出邮件当日为送达之日; </w:t>
            </w:r>
          </w:p>
          <w:p w14:paraId="54321DB0">
            <w:pPr>
              <w:keepNext w:val="0"/>
              <w:keepLines w:val="0"/>
              <w:pageBreakBefore w:val="0"/>
              <w:widowControl w:val="0"/>
              <w:kinsoku/>
              <w:wordWrap/>
              <w:overflowPunct/>
              <w:topLinePunct w:val="0"/>
              <w:autoSpaceDE/>
              <w:autoSpaceDN/>
              <w:bidi w:val="0"/>
              <w:adjustRightInd/>
              <w:snapToGrid/>
              <w:spacing w:line="400" w:lineRule="atLeast"/>
              <w:ind w:firstLine="480"/>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3.管理人通过QQ、微信、短信等方式送达的，以管理人发送当日为送达之日；</w:t>
            </w:r>
          </w:p>
          <w:p w14:paraId="20DC75AD">
            <w:pPr>
              <w:keepNext w:val="0"/>
              <w:keepLines w:val="0"/>
              <w:pageBreakBefore w:val="0"/>
              <w:widowControl w:val="0"/>
              <w:kinsoku/>
              <w:wordWrap/>
              <w:overflowPunct/>
              <w:topLinePunct w:val="0"/>
              <w:autoSpaceDE/>
              <w:autoSpaceDN/>
              <w:bidi w:val="0"/>
              <w:adjustRightInd/>
              <w:snapToGrid/>
              <w:spacing w:line="400" w:lineRule="atLeast"/>
              <w:ind w:firstLine="480"/>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4.本债权人选择优先向</w:t>
            </w:r>
            <w:r>
              <w:rPr>
                <w:rFonts w:hint="eastAsia" w:ascii="仿宋" w:hAnsi="仿宋" w:eastAsia="仿宋" w:cs="宋体"/>
                <w:b/>
                <w:bCs/>
                <w:color w:val="auto"/>
                <w:sz w:val="24"/>
                <w:u w:val="single"/>
                <w:shd w:val="clear" w:color="auto" w:fill="auto"/>
              </w:rPr>
              <w:t xml:space="preserve">           </w:t>
            </w:r>
            <w:r>
              <w:rPr>
                <w:rFonts w:hint="eastAsia" w:ascii="仿宋" w:hAnsi="仿宋" w:eastAsia="仿宋" w:cs="宋体"/>
                <w:b/>
                <w:bCs/>
                <w:color w:val="auto"/>
                <w:sz w:val="24"/>
                <w:shd w:val="clear" w:color="auto" w:fill="auto"/>
              </w:rPr>
              <w:t>（债权人/委托代理人）地址送达。　　</w:t>
            </w:r>
          </w:p>
        </w:tc>
      </w:tr>
      <w:tr w14:paraId="2900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5" w:type="dxa"/>
            <w:vMerge w:val="restart"/>
            <w:vAlign w:val="center"/>
          </w:tcPr>
          <w:p w14:paraId="47C1D4BB">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债权人提供的</w:t>
            </w:r>
          </w:p>
          <w:p w14:paraId="3F579E54">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银行账户</w:t>
            </w:r>
          </w:p>
          <w:p w14:paraId="1FBA98C5">
            <w:pPr>
              <w:spacing w:line="300" w:lineRule="auto"/>
              <w:jc w:val="center"/>
              <w:rPr>
                <w:rFonts w:ascii="仿宋" w:hAnsi="仿宋" w:eastAsia="仿宋" w:cs="宋体"/>
                <w:bCs/>
                <w:color w:val="auto"/>
                <w:sz w:val="24"/>
                <w:shd w:val="clear" w:color="auto" w:fill="auto"/>
              </w:rPr>
            </w:pPr>
            <w:r>
              <w:rPr>
                <w:rFonts w:hint="eastAsia" w:ascii="仿宋" w:hAnsi="仿宋" w:eastAsia="仿宋" w:cs="宋体"/>
                <w:b/>
                <w:color w:val="auto"/>
                <w:sz w:val="24"/>
                <w:shd w:val="clear" w:color="auto" w:fill="auto"/>
              </w:rPr>
              <w:t>信息</w:t>
            </w:r>
          </w:p>
        </w:tc>
        <w:tc>
          <w:tcPr>
            <w:tcW w:w="1956" w:type="dxa"/>
            <w:vAlign w:val="center"/>
          </w:tcPr>
          <w:p w14:paraId="1487AEE7">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开户行</w:t>
            </w:r>
          </w:p>
        </w:tc>
        <w:tc>
          <w:tcPr>
            <w:tcW w:w="6025" w:type="dxa"/>
            <w:gridSpan w:val="3"/>
          </w:tcPr>
          <w:p w14:paraId="6E646995">
            <w:pPr>
              <w:spacing w:line="300" w:lineRule="auto"/>
              <w:rPr>
                <w:rFonts w:hint="eastAsia" w:ascii="仿宋" w:hAnsi="仿宋" w:eastAsia="仿宋" w:cs="宋体"/>
                <w:b/>
                <w:color w:val="auto"/>
                <w:sz w:val="24"/>
                <w:shd w:val="clear" w:color="auto" w:fill="auto"/>
              </w:rPr>
            </w:pPr>
          </w:p>
        </w:tc>
      </w:tr>
      <w:tr w14:paraId="509D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tcPr>
          <w:p w14:paraId="671DAA9E">
            <w:pPr>
              <w:spacing w:line="300" w:lineRule="auto"/>
              <w:jc w:val="center"/>
              <w:rPr>
                <w:rFonts w:ascii="仿宋" w:hAnsi="仿宋" w:eastAsia="仿宋" w:cs="宋体"/>
                <w:b/>
                <w:color w:val="auto"/>
                <w:sz w:val="24"/>
                <w:shd w:val="clear" w:color="auto" w:fill="auto"/>
              </w:rPr>
            </w:pPr>
          </w:p>
        </w:tc>
        <w:tc>
          <w:tcPr>
            <w:tcW w:w="1956" w:type="dxa"/>
            <w:vAlign w:val="center"/>
          </w:tcPr>
          <w:p w14:paraId="6C3E400C">
            <w:pPr>
              <w:spacing w:line="300" w:lineRule="auto"/>
              <w:jc w:val="center"/>
              <w:rPr>
                <w:rFonts w:hint="eastAsia" w:ascii="仿宋" w:hAnsi="仿宋" w:eastAsia="仿宋" w:cs="宋体"/>
                <w:b/>
                <w:color w:val="auto"/>
                <w:sz w:val="24"/>
                <w:shd w:val="clear" w:color="auto" w:fill="auto"/>
                <w:lang w:eastAsia="zh-CN"/>
              </w:rPr>
            </w:pPr>
            <w:r>
              <w:rPr>
                <w:rFonts w:hint="eastAsia" w:ascii="仿宋" w:hAnsi="仿宋" w:eastAsia="仿宋" w:cs="宋体"/>
                <w:b/>
                <w:color w:val="auto"/>
                <w:sz w:val="24"/>
                <w:shd w:val="clear" w:color="auto" w:fill="auto"/>
              </w:rPr>
              <w:t>户名</w:t>
            </w:r>
            <w:r>
              <w:rPr>
                <w:rFonts w:hint="eastAsia" w:ascii="仿宋" w:hAnsi="仿宋" w:eastAsia="仿宋" w:cs="宋体"/>
                <w:b/>
                <w:color w:val="auto"/>
                <w:sz w:val="24"/>
                <w:shd w:val="clear" w:color="auto" w:fill="auto"/>
                <w:lang w:eastAsia="zh-CN"/>
              </w:rPr>
              <w:t>（</w:t>
            </w:r>
            <w:r>
              <w:rPr>
                <w:rFonts w:hint="eastAsia" w:ascii="仿宋" w:hAnsi="仿宋" w:eastAsia="仿宋" w:cs="宋体"/>
                <w:b/>
                <w:color w:val="auto"/>
                <w:sz w:val="24"/>
                <w:shd w:val="clear" w:color="auto" w:fill="auto"/>
                <w:lang w:val="en-US" w:eastAsia="zh-CN"/>
              </w:rPr>
              <w:t>必须与债权人名称一致</w:t>
            </w:r>
            <w:r>
              <w:rPr>
                <w:rFonts w:hint="eastAsia" w:ascii="仿宋" w:hAnsi="仿宋" w:eastAsia="仿宋" w:cs="宋体"/>
                <w:b/>
                <w:color w:val="auto"/>
                <w:sz w:val="24"/>
                <w:shd w:val="clear" w:color="auto" w:fill="auto"/>
                <w:lang w:eastAsia="zh-CN"/>
              </w:rPr>
              <w:t>）</w:t>
            </w:r>
          </w:p>
        </w:tc>
        <w:tc>
          <w:tcPr>
            <w:tcW w:w="6025" w:type="dxa"/>
            <w:gridSpan w:val="3"/>
          </w:tcPr>
          <w:p w14:paraId="7CDF66D6">
            <w:pPr>
              <w:spacing w:line="300" w:lineRule="auto"/>
              <w:rPr>
                <w:rFonts w:hint="eastAsia" w:ascii="仿宋" w:hAnsi="仿宋" w:eastAsia="仿宋" w:cs="宋体"/>
                <w:b/>
                <w:color w:val="auto"/>
                <w:sz w:val="24"/>
                <w:shd w:val="clear" w:color="auto" w:fill="auto"/>
              </w:rPr>
            </w:pPr>
          </w:p>
        </w:tc>
      </w:tr>
      <w:tr w14:paraId="1669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5" w:type="dxa"/>
            <w:vMerge w:val="continue"/>
          </w:tcPr>
          <w:p w14:paraId="428D52FA">
            <w:pPr>
              <w:spacing w:line="300" w:lineRule="auto"/>
              <w:jc w:val="center"/>
              <w:rPr>
                <w:rFonts w:ascii="仿宋" w:hAnsi="仿宋" w:eastAsia="仿宋" w:cs="宋体"/>
                <w:b/>
                <w:color w:val="auto"/>
                <w:sz w:val="24"/>
                <w:shd w:val="clear" w:color="auto" w:fill="auto"/>
              </w:rPr>
            </w:pPr>
          </w:p>
        </w:tc>
        <w:tc>
          <w:tcPr>
            <w:tcW w:w="1956" w:type="dxa"/>
            <w:vAlign w:val="center"/>
          </w:tcPr>
          <w:p w14:paraId="2987B0E3">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账号</w:t>
            </w:r>
          </w:p>
        </w:tc>
        <w:tc>
          <w:tcPr>
            <w:tcW w:w="6025" w:type="dxa"/>
            <w:gridSpan w:val="3"/>
          </w:tcPr>
          <w:p w14:paraId="123BCF7A">
            <w:pPr>
              <w:spacing w:line="300" w:lineRule="auto"/>
              <w:rPr>
                <w:rFonts w:hint="eastAsia" w:ascii="仿宋" w:hAnsi="仿宋" w:eastAsia="仿宋" w:cs="宋体"/>
                <w:b/>
                <w:color w:val="auto"/>
                <w:sz w:val="24"/>
                <w:shd w:val="clear" w:color="auto" w:fill="auto"/>
              </w:rPr>
            </w:pPr>
          </w:p>
        </w:tc>
      </w:tr>
      <w:tr w14:paraId="2627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685" w:type="dxa"/>
          </w:tcPr>
          <w:p w14:paraId="4DA9F488">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债权人对银行</w:t>
            </w:r>
          </w:p>
          <w:p w14:paraId="6BDBCA1A">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账户信息的</w:t>
            </w:r>
          </w:p>
          <w:p w14:paraId="74D06429">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确认及声明</w:t>
            </w:r>
          </w:p>
        </w:tc>
        <w:tc>
          <w:tcPr>
            <w:tcW w:w="7981" w:type="dxa"/>
            <w:gridSpan w:val="4"/>
          </w:tcPr>
          <w:p w14:paraId="306227AE">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 xml:space="preserve">    本债权人保证所提供的上述银行信息真实、准确并有效，管理人可通过上述银行账户向本债权人分配相关款项，因银行账户信息错误所产生的不利后果由本债权人承担。</w:t>
            </w:r>
          </w:p>
        </w:tc>
      </w:tr>
    </w:tbl>
    <w:p w14:paraId="73937D04">
      <w:pPr>
        <w:spacing w:line="480" w:lineRule="exact"/>
        <w:rPr>
          <w:rFonts w:ascii="仿宋" w:hAnsi="仿宋" w:eastAsia="仿宋" w:cs="宋体"/>
          <w:b/>
          <w:sz w:val="24"/>
        </w:rPr>
      </w:pPr>
      <w:r>
        <w:rPr>
          <w:rFonts w:hint="eastAsia" w:ascii="仿宋" w:hAnsi="仿宋" w:eastAsia="仿宋" w:cs="宋体"/>
          <w:b/>
          <w:sz w:val="24"/>
        </w:rPr>
        <w:t xml:space="preserve">债权人签名/盖章：                  </w:t>
      </w:r>
      <w:r>
        <w:rPr>
          <w:rFonts w:hint="eastAsia" w:ascii="仿宋" w:hAnsi="仿宋" w:eastAsia="仿宋" w:cs="宋体"/>
          <w:b/>
          <w:sz w:val="24"/>
          <w:lang w:val="en-US" w:eastAsia="zh-CN"/>
        </w:rPr>
        <w:t xml:space="preserve">      </w:t>
      </w:r>
      <w:r>
        <w:rPr>
          <w:rFonts w:hint="eastAsia" w:ascii="仿宋" w:hAnsi="仿宋" w:eastAsia="仿宋" w:cs="宋体"/>
          <w:b/>
          <w:sz w:val="24"/>
        </w:rPr>
        <w:t xml:space="preserve">  委托代理人:          </w:t>
      </w:r>
    </w:p>
    <w:p w14:paraId="3C06EB7C">
      <w:pPr>
        <w:spacing w:line="480" w:lineRule="exact"/>
        <w:rPr>
          <w:rFonts w:ascii="仿宋" w:hAnsi="仿宋" w:eastAsia="仿宋" w:cs="宋体"/>
          <w:sz w:val="24"/>
        </w:rPr>
      </w:pPr>
      <w:r>
        <w:rPr>
          <w:rFonts w:hint="eastAsia" w:ascii="仿宋" w:hAnsi="仿宋" w:eastAsia="仿宋" w:cs="宋体"/>
          <w:b/>
          <w:sz w:val="24"/>
        </w:rPr>
        <w:t xml:space="preserve">日期：   年   月   日                </w:t>
      </w:r>
      <w:r>
        <w:rPr>
          <w:rFonts w:hint="eastAsia" w:ascii="仿宋" w:hAnsi="仿宋" w:eastAsia="仿宋" w:cs="宋体"/>
          <w:b/>
          <w:sz w:val="24"/>
          <w:lang w:val="en-US" w:eastAsia="zh-CN"/>
        </w:rPr>
        <w:t xml:space="preserve">    </w:t>
      </w:r>
      <w:r>
        <w:rPr>
          <w:rFonts w:hint="eastAsia" w:ascii="仿宋" w:hAnsi="仿宋" w:eastAsia="仿宋" w:cs="宋体"/>
          <w:b/>
          <w:sz w:val="24"/>
        </w:rPr>
        <w:t xml:space="preserve">  日期：   年   月   日</w:t>
      </w:r>
    </w:p>
    <w:sectPr>
      <w:headerReference r:id="rId3" w:type="default"/>
      <w:footerReference r:id="rId4" w:type="default"/>
      <w:pgSz w:w="11906" w:h="16838"/>
      <w:pgMar w:top="1660" w:right="1800" w:bottom="1440" w:left="1800" w:header="1077"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7DB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222E6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222E6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1F06C">
    <w:pPr>
      <w:pStyle w:val="3"/>
      <w:jc w:val="left"/>
      <w:rPr>
        <w:rFonts w:hint="eastAsia" w:ascii="仿宋_GB2312" w:eastAsia="仿宋_GB2312"/>
        <w:sz w:val="21"/>
        <w:szCs w:val="21"/>
        <w:lang w:val="en-US" w:eastAsia="zh-CN"/>
      </w:rPr>
    </w:pPr>
    <w:r>
      <w:rPr>
        <w:rFonts w:hint="eastAsia" w:ascii="仿宋_GB2312" w:eastAsia="仿宋_GB2312"/>
        <w:sz w:val="21"/>
        <w:szCs w:val="21"/>
        <w:lang w:val="en-US" w:eastAsia="zh-CN"/>
      </w:rPr>
      <w:t>广东聚利新材料有限公司</w:t>
    </w:r>
    <w:r>
      <w:rPr>
        <w:rFonts w:hint="eastAsia" w:ascii="仿宋_GB2312" w:eastAsia="仿宋_GB2312"/>
        <w:sz w:val="21"/>
        <w:szCs w:val="21"/>
      </w:rPr>
      <w:t>破产清算</w:t>
    </w:r>
    <w:r>
      <w:rPr>
        <w:rFonts w:hint="eastAsia" w:ascii="仿宋_GB2312" w:eastAsia="仿宋_GB2312"/>
        <w:sz w:val="21"/>
        <w:szCs w:val="21"/>
        <w:lang w:val="en-US" w:eastAsia="zh-CN"/>
      </w:rPr>
      <w:t>案</w:t>
    </w:r>
  </w:p>
  <w:p w14:paraId="22D8439C">
    <w:pPr>
      <w:pStyle w:val="3"/>
      <w:jc w:val="distribute"/>
      <w:rPr>
        <w:rFonts w:hint="default" w:eastAsia="仿宋_GB2312"/>
        <w:lang w:val="en-US" w:eastAsia="zh-CN"/>
      </w:rPr>
    </w:pPr>
    <w:r>
      <w:rPr>
        <w:rFonts w:hint="eastAsia" w:ascii="仿宋_GB2312" w:eastAsia="仿宋_GB2312"/>
        <w:color w:val="auto"/>
        <w:sz w:val="21"/>
        <w:szCs w:val="21"/>
      </w:rPr>
      <w:t xml:space="preserve">（2025）粤19破161号  </w:t>
    </w:r>
    <w:r>
      <w:rPr>
        <w:rFonts w:hint="eastAsia" w:ascii="仿宋_GB2312" w:eastAsia="仿宋_GB2312"/>
        <w:sz w:val="21"/>
        <w:szCs w:val="21"/>
      </w:rPr>
      <w:t xml:space="preserve">             附件</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债权人送达方式及银行账户信息确认书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ZThlNmVjYjYwMzI3NTA2ZTVlNmE2YmUxMjA2OTEifQ=="/>
  </w:docVars>
  <w:rsids>
    <w:rsidRoot w:val="00E759F0"/>
    <w:rsid w:val="000226D4"/>
    <w:rsid w:val="00047D86"/>
    <w:rsid w:val="00137802"/>
    <w:rsid w:val="001A571D"/>
    <w:rsid w:val="00217C6F"/>
    <w:rsid w:val="002421BC"/>
    <w:rsid w:val="002A0139"/>
    <w:rsid w:val="002F21F8"/>
    <w:rsid w:val="003408EE"/>
    <w:rsid w:val="00372631"/>
    <w:rsid w:val="0041275C"/>
    <w:rsid w:val="00457E95"/>
    <w:rsid w:val="004A18C4"/>
    <w:rsid w:val="005F4A64"/>
    <w:rsid w:val="006C7291"/>
    <w:rsid w:val="00790900"/>
    <w:rsid w:val="007A20E0"/>
    <w:rsid w:val="00895E61"/>
    <w:rsid w:val="00933479"/>
    <w:rsid w:val="00A61A01"/>
    <w:rsid w:val="00A724A2"/>
    <w:rsid w:val="00A85443"/>
    <w:rsid w:val="00B47793"/>
    <w:rsid w:val="00B7095E"/>
    <w:rsid w:val="00B70C30"/>
    <w:rsid w:val="00B9527A"/>
    <w:rsid w:val="00BF0C8F"/>
    <w:rsid w:val="00CB6EEF"/>
    <w:rsid w:val="00CE5161"/>
    <w:rsid w:val="00D24E54"/>
    <w:rsid w:val="00DD22A0"/>
    <w:rsid w:val="00DE76E3"/>
    <w:rsid w:val="00DF685F"/>
    <w:rsid w:val="00E10481"/>
    <w:rsid w:val="00E759F0"/>
    <w:rsid w:val="00EE2047"/>
    <w:rsid w:val="00FB7408"/>
    <w:rsid w:val="04E31955"/>
    <w:rsid w:val="073D3A60"/>
    <w:rsid w:val="09CA46B3"/>
    <w:rsid w:val="0C106469"/>
    <w:rsid w:val="0E8536A2"/>
    <w:rsid w:val="0EC76517"/>
    <w:rsid w:val="0F73799F"/>
    <w:rsid w:val="0FBD6F13"/>
    <w:rsid w:val="11FA6155"/>
    <w:rsid w:val="16300397"/>
    <w:rsid w:val="17C916FD"/>
    <w:rsid w:val="18A15C77"/>
    <w:rsid w:val="20D67C11"/>
    <w:rsid w:val="21011B3A"/>
    <w:rsid w:val="278A6932"/>
    <w:rsid w:val="27CC28AB"/>
    <w:rsid w:val="2EAE03B6"/>
    <w:rsid w:val="315C020A"/>
    <w:rsid w:val="369C1EED"/>
    <w:rsid w:val="385208B8"/>
    <w:rsid w:val="398A1539"/>
    <w:rsid w:val="3E6615B9"/>
    <w:rsid w:val="4006169A"/>
    <w:rsid w:val="455D6872"/>
    <w:rsid w:val="46075E26"/>
    <w:rsid w:val="4A3B6FBF"/>
    <w:rsid w:val="4D087876"/>
    <w:rsid w:val="516457B2"/>
    <w:rsid w:val="555F7804"/>
    <w:rsid w:val="5D1C1B34"/>
    <w:rsid w:val="60AB54B1"/>
    <w:rsid w:val="66237709"/>
    <w:rsid w:val="6B6F55BE"/>
    <w:rsid w:val="6BB55E66"/>
    <w:rsid w:val="6BD2557D"/>
    <w:rsid w:val="6C171D82"/>
    <w:rsid w:val="710B00FA"/>
    <w:rsid w:val="73D879D8"/>
    <w:rsid w:val="77823E9A"/>
    <w:rsid w:val="77F6258B"/>
    <w:rsid w:val="7ABB3953"/>
    <w:rsid w:val="7AC95D4F"/>
    <w:rsid w:val="7DCB22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qFormat/>
    <w:uiPriority w:val="0"/>
    <w:rPr>
      <w:kern w:val="2"/>
      <w:sz w:val="18"/>
      <w:szCs w:val="18"/>
    </w:rPr>
  </w:style>
  <w:style w:type="character" w:customStyle="1" w:styleId="8">
    <w:name w:val="页眉 字符"/>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1010</Words>
  <Characters>1024</Characters>
  <Lines>9</Lines>
  <Paragraphs>2</Paragraphs>
  <TotalTime>3</TotalTime>
  <ScaleCrop>false</ScaleCrop>
  <LinksUpToDate>false</LinksUpToDate>
  <CharactersWithSpaces>1208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一只大白兔奶糖</cp:lastModifiedBy>
  <cp:lastPrinted>2019-05-24T01:41:00Z</cp:lastPrinted>
  <dcterms:modified xsi:type="dcterms:W3CDTF">2025-11-14T07:32:01Z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50335C540C1B44F483AD1A887F78E11D</vt:lpwstr>
  </property>
  <property fmtid="{D5CDD505-2E9C-101B-9397-08002B2CF9AE}" pid="4" name="KSOTemplateDocerSaveRecord">
    <vt:lpwstr>eyJoZGlkIjoiZjBlZjljMDc5M2EwZGI1ODk3YWU2Y2Y0OGQ5ZTMzMmIiLCJ1c2VySWQiOiIzMTI5NDk5OTYifQ==</vt:lpwstr>
  </property>
</Properties>
</file>