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48C49D">
      <w:pPr>
        <w:spacing w:line="440" w:lineRule="exact"/>
        <w:ind w:firstLine="0" w:firstLineChars="0"/>
        <w:jc w:val="center"/>
        <w:rPr>
          <w:rFonts w:hint="eastAsia" w:cs="仿宋"/>
          <w:b/>
          <w:sz w:val="44"/>
          <w:szCs w:val="44"/>
        </w:rPr>
      </w:pPr>
      <w:r>
        <w:rPr>
          <w:rFonts w:hint="eastAsia" w:cs="仿宋"/>
          <w:b/>
          <w:sz w:val="44"/>
          <w:szCs w:val="44"/>
        </w:rPr>
        <w:t>拍卖公告</w:t>
      </w:r>
    </w:p>
    <w:p w14:paraId="25ABBE03">
      <w:pPr>
        <w:spacing w:line="440" w:lineRule="exact"/>
        <w:ind w:firstLine="0" w:firstLineChars="0"/>
        <w:rPr>
          <w:rFonts w:hint="eastAsia" w:cs="仿宋"/>
          <w:b/>
          <w:sz w:val="24"/>
          <w:szCs w:val="24"/>
        </w:rPr>
      </w:pPr>
    </w:p>
    <w:p w14:paraId="48A5400C">
      <w:pPr>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根据重庆凯尔特机械制造有限公司（以下简称“凯尔特公司”）破产财产</w:t>
      </w:r>
      <w:r>
        <w:rPr>
          <w:rFonts w:hint="eastAsia" w:cs="仿宋"/>
          <w:color w:val="000000" w:themeColor="text1"/>
          <w:kern w:val="0"/>
          <w:sz w:val="24"/>
          <w:szCs w:val="24"/>
          <w:lang w:val="en-US" w:eastAsia="zh-CN"/>
          <w14:textFill>
            <w14:solidFill>
              <w14:schemeClr w14:val="tx1"/>
            </w14:solidFill>
          </w14:textFill>
        </w:rPr>
        <w:t>网络拍卖</w:t>
      </w:r>
      <w:r>
        <w:rPr>
          <w:rFonts w:hint="eastAsia" w:cs="仿宋"/>
          <w:color w:val="000000" w:themeColor="text1"/>
          <w:kern w:val="0"/>
          <w:sz w:val="24"/>
          <w:szCs w:val="24"/>
          <w14:textFill>
            <w14:solidFill>
              <w14:schemeClr w14:val="tx1"/>
            </w14:solidFill>
          </w14:textFill>
        </w:rPr>
        <w:t>变价方案，重庆凯尔特机械制造有限公司管理人（以下简称“管理人”）将于</w:t>
      </w:r>
      <w:r>
        <w:rPr>
          <w:rFonts w:hint="eastAsia" w:cs="仿宋"/>
          <w:b/>
          <w:color w:val="000000" w:themeColor="text1"/>
          <w:kern w:val="0"/>
          <w:sz w:val="24"/>
          <w:szCs w:val="24"/>
          <w14:textFill>
            <w14:solidFill>
              <w14:schemeClr w14:val="tx1"/>
            </w14:solidFill>
          </w14:textFill>
        </w:rPr>
        <w:t>2025年</w:t>
      </w:r>
      <w:r>
        <w:rPr>
          <w:rFonts w:hint="eastAsia" w:cs="仿宋"/>
          <w:b/>
          <w:color w:val="000000" w:themeColor="text1"/>
          <w:kern w:val="0"/>
          <w:sz w:val="24"/>
          <w:szCs w:val="24"/>
          <w:lang w:val="en-US" w:eastAsia="zh-CN"/>
          <w14:textFill>
            <w14:solidFill>
              <w14:schemeClr w14:val="tx1"/>
            </w14:solidFill>
          </w14:textFill>
        </w:rPr>
        <w:t>12</w:t>
      </w:r>
      <w:r>
        <w:rPr>
          <w:rFonts w:hint="eastAsia" w:cs="仿宋"/>
          <w:b/>
          <w:color w:val="000000" w:themeColor="text1"/>
          <w:kern w:val="0"/>
          <w:sz w:val="24"/>
          <w:szCs w:val="24"/>
          <w14:textFill>
            <w14:solidFill>
              <w14:schemeClr w14:val="tx1"/>
            </w14:solidFill>
          </w14:textFill>
        </w:rPr>
        <w:t>月</w:t>
      </w:r>
      <w:r>
        <w:rPr>
          <w:rFonts w:hint="eastAsia" w:cs="仿宋"/>
          <w:b/>
          <w:color w:val="000000" w:themeColor="text1"/>
          <w:kern w:val="0"/>
          <w:sz w:val="24"/>
          <w:szCs w:val="24"/>
          <w:lang w:val="en-US" w:eastAsia="zh-CN"/>
          <w14:textFill>
            <w14:solidFill>
              <w14:schemeClr w14:val="tx1"/>
            </w14:solidFill>
          </w14:textFill>
        </w:rPr>
        <w:t>8</w:t>
      </w:r>
      <w:r>
        <w:rPr>
          <w:rFonts w:hint="eastAsia" w:cs="仿宋"/>
          <w:b/>
          <w:color w:val="000000" w:themeColor="text1"/>
          <w:kern w:val="0"/>
          <w:sz w:val="24"/>
          <w:szCs w:val="24"/>
          <w14:textFill>
            <w14:solidFill>
              <w14:schemeClr w14:val="tx1"/>
            </w14:solidFill>
          </w14:textFill>
        </w:rPr>
        <w:t>日10时至2025年</w:t>
      </w:r>
      <w:r>
        <w:rPr>
          <w:rFonts w:hint="eastAsia" w:cs="仿宋"/>
          <w:b/>
          <w:color w:val="000000" w:themeColor="text1"/>
          <w:kern w:val="0"/>
          <w:sz w:val="24"/>
          <w:szCs w:val="24"/>
          <w:lang w:val="en-US" w:eastAsia="zh-CN"/>
          <w14:textFill>
            <w14:solidFill>
              <w14:schemeClr w14:val="tx1"/>
            </w14:solidFill>
          </w14:textFill>
        </w:rPr>
        <w:t>12</w:t>
      </w:r>
      <w:r>
        <w:rPr>
          <w:rFonts w:hint="eastAsia" w:cs="仿宋"/>
          <w:b/>
          <w:color w:val="000000" w:themeColor="text1"/>
          <w:kern w:val="0"/>
          <w:sz w:val="24"/>
          <w:szCs w:val="24"/>
          <w14:textFill>
            <w14:solidFill>
              <w14:schemeClr w14:val="tx1"/>
            </w14:solidFill>
          </w14:textFill>
        </w:rPr>
        <w:t>月</w:t>
      </w:r>
      <w:r>
        <w:rPr>
          <w:rFonts w:hint="eastAsia" w:cs="仿宋"/>
          <w:b/>
          <w:color w:val="000000" w:themeColor="text1"/>
          <w:kern w:val="0"/>
          <w:sz w:val="24"/>
          <w:szCs w:val="24"/>
          <w:lang w:val="en-US" w:eastAsia="zh-CN"/>
          <w14:textFill>
            <w14:solidFill>
              <w14:schemeClr w14:val="tx1"/>
            </w14:solidFill>
          </w14:textFill>
        </w:rPr>
        <w:t>9</w:t>
      </w:r>
      <w:r>
        <w:rPr>
          <w:rFonts w:hint="eastAsia" w:cs="仿宋"/>
          <w:b/>
          <w:color w:val="000000" w:themeColor="text1"/>
          <w:kern w:val="0"/>
          <w:sz w:val="24"/>
          <w:szCs w:val="24"/>
          <w14:textFill>
            <w14:solidFill>
              <w14:schemeClr w14:val="tx1"/>
            </w14:solidFill>
          </w14:textFill>
        </w:rPr>
        <w:t>日10时止</w:t>
      </w:r>
      <w:r>
        <w:rPr>
          <w:rFonts w:hint="eastAsia" w:cs="仿宋"/>
          <w:color w:val="000000" w:themeColor="text1"/>
          <w:kern w:val="0"/>
          <w:sz w:val="24"/>
          <w:szCs w:val="24"/>
          <w14:textFill>
            <w14:solidFill>
              <w14:schemeClr w14:val="tx1"/>
            </w14:solidFill>
          </w14:textFill>
        </w:rPr>
        <w:t>（延时除外）在淘宝网阿里拍卖破产强清平台（委托单位：重庆凯尔特机械制造有限公司管理人，监督单位：重庆市北碚区人民法院，网址：https://susong.taobao.com）进行公开破产财产拍卖活动，现公告如下：</w:t>
      </w:r>
    </w:p>
    <w:p w14:paraId="0696E6BA">
      <w:pPr>
        <w:spacing w:line="440" w:lineRule="exact"/>
        <w:ind w:firstLine="482"/>
        <w:rPr>
          <w:rFonts w:hint="eastAsia" w:cs="仿宋"/>
          <w:b/>
          <w:kern w:val="0"/>
          <w:sz w:val="24"/>
          <w:szCs w:val="24"/>
        </w:rPr>
      </w:pPr>
      <w:r>
        <w:rPr>
          <w:rFonts w:hint="eastAsia" w:cs="仿宋"/>
          <w:b/>
          <w:kern w:val="0"/>
          <w:sz w:val="24"/>
          <w:szCs w:val="24"/>
        </w:rPr>
        <w:t>重要提示</w:t>
      </w:r>
    </w:p>
    <w:p w14:paraId="661E234B">
      <w:pPr>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（一）郑重声明：本标的系管理人依法独立履行《中华人民共和国企业破产法》所规定的管理人职责在淘宝网阿里拍卖平台处分凯尔特公司财产，并承担相应责任。</w:t>
      </w:r>
    </w:p>
    <w:p w14:paraId="2D3CD727">
      <w:pPr>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二）竞拍前请务必遵照《竞买公告》《竞买须知》要求，进行实地看样、调查标的物信息（如土地现状、权利瑕疵、购买资格、政策条件、过户要求等）、了解竞买资质、委托代理及尾款支付方式等内容。如违反相关约定，您的保证金可能会被划扣并产生其他法律责任，请理性参拍。</w:t>
      </w:r>
    </w:p>
    <w:p w14:paraId="1216C405">
      <w:pPr>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（三）本次竞买公告所作的情况说明，仅为竞买人参与竞买提供参考，不能作为竞买人判断、权衡价值的最终依据，竞买人根据自身需求可自行调查、了解、核实。未尽事宜，管理人不承担任何责任。</w:t>
      </w:r>
    </w:p>
    <w:p w14:paraId="0E6AA6EC">
      <w:pPr>
        <w:spacing w:line="440" w:lineRule="exact"/>
        <w:ind w:firstLine="480"/>
        <w:rPr>
          <w:rFonts w:hint="eastAsia" w:cs="仿宋"/>
          <w:bCs/>
          <w:kern w:val="0"/>
          <w:sz w:val="24"/>
          <w:szCs w:val="24"/>
        </w:rPr>
      </w:pPr>
      <w:r>
        <w:rPr>
          <w:rFonts w:hint="eastAsia" w:cs="仿宋"/>
          <w:bCs/>
          <w:kern w:val="0"/>
          <w:sz w:val="24"/>
          <w:szCs w:val="24"/>
        </w:rPr>
        <w:t>（四）本次拍卖标的物情况较为复杂，标的物以其现状为准，</w:t>
      </w:r>
      <w:r>
        <w:rPr>
          <w:rFonts w:hint="eastAsia" w:cs="仿宋"/>
          <w:color w:val="000000" w:themeColor="text1"/>
          <w:kern w:val="0"/>
          <w:sz w:val="24"/>
          <w:szCs w:val="24"/>
          <w14:textFill>
            <w14:solidFill>
              <w14:schemeClr w14:val="tx1"/>
            </w14:solidFill>
          </w14:textFill>
        </w:rPr>
        <w:t>凯尔特公司</w:t>
      </w:r>
      <w:r>
        <w:rPr>
          <w:rFonts w:hint="eastAsia" w:cs="仿宋"/>
          <w:bCs/>
          <w:kern w:val="0"/>
          <w:sz w:val="24"/>
          <w:szCs w:val="24"/>
        </w:rPr>
        <w:t>管理人及人民法院不承担标的物的瑕疵保证和标的物的腾空责任。除拍卖文件披露外，竞买人应对拍卖标的物的实际状况、瑕疵（含显性、隐性瑕疵）、交付腾空风险等自行调查核实、承担投资风险。有意者请亲自实地看样，未看样的竞买人视为对标的物瑕疵及相关实物现状的确认，责任自负。</w:t>
      </w:r>
    </w:p>
    <w:p w14:paraId="2C925A91">
      <w:pPr>
        <w:spacing w:line="440" w:lineRule="exact"/>
        <w:ind w:firstLine="480"/>
        <w:rPr>
          <w:rFonts w:hint="eastAsia" w:cs="仿宋"/>
          <w:bCs/>
          <w:kern w:val="0"/>
          <w:sz w:val="24"/>
          <w:szCs w:val="24"/>
        </w:rPr>
      </w:pPr>
      <w:r>
        <w:rPr>
          <w:rFonts w:hint="eastAsia" w:cs="Helvetica"/>
          <w:color w:val="000000" w:themeColor="text1"/>
          <w:kern w:val="0"/>
          <w:sz w:val="24"/>
          <w:szCs w:val="24"/>
          <w14:textFill>
            <w14:solidFill>
              <w14:schemeClr w14:val="tx1"/>
            </w14:solidFill>
          </w14:textFill>
        </w:rPr>
        <w:t>(五)</w:t>
      </w:r>
      <w:r>
        <w:rPr>
          <w:rFonts w:cs="Helvetica"/>
          <w:color w:val="000000" w:themeColor="text1"/>
          <w:kern w:val="0"/>
          <w:sz w:val="24"/>
          <w:szCs w:val="24"/>
          <w14:textFill>
            <w14:solidFill>
              <w14:schemeClr w14:val="tx1"/>
            </w14:solidFill>
          </w14:textFill>
        </w:rPr>
        <w:t>标的情况介绍来源于《</w:t>
      </w:r>
      <w:r>
        <w:rPr>
          <w:rFonts w:hint="eastAsia" w:cs="Helvetica"/>
          <w:color w:val="000000" w:themeColor="text1"/>
          <w:kern w:val="0"/>
          <w:sz w:val="24"/>
          <w:szCs w:val="24"/>
          <w14:textFill>
            <w14:solidFill>
              <w14:schemeClr w14:val="tx1"/>
            </w14:solidFill>
          </w14:textFill>
        </w:rPr>
        <w:t>资产</w:t>
      </w:r>
      <w:r>
        <w:rPr>
          <w:rFonts w:cs="Helvetica"/>
          <w:color w:val="000000" w:themeColor="text1"/>
          <w:kern w:val="0"/>
          <w:sz w:val="24"/>
          <w:szCs w:val="24"/>
          <w14:textFill>
            <w14:solidFill>
              <w14:schemeClr w14:val="tx1"/>
            </w14:solidFill>
          </w14:textFill>
        </w:rPr>
        <w:t>评估报告》。标的所载信息仅供参考，拍卖资产以现场实物状态</w:t>
      </w:r>
      <w:r>
        <w:rPr>
          <w:rFonts w:hint="eastAsia" w:cs="Helvetica"/>
          <w:color w:val="000000" w:themeColor="text1"/>
          <w:kern w:val="0"/>
          <w:sz w:val="24"/>
          <w:szCs w:val="24"/>
          <w14:textFill>
            <w14:solidFill>
              <w14:schemeClr w14:val="tx1"/>
            </w14:solidFill>
          </w14:textFill>
        </w:rPr>
        <w:t>和产权部门确定的产权证</w:t>
      </w:r>
      <w:r>
        <w:rPr>
          <w:rFonts w:cs="Helvetica"/>
          <w:color w:val="000000" w:themeColor="text1"/>
          <w:kern w:val="0"/>
          <w:sz w:val="24"/>
          <w:szCs w:val="24"/>
          <w14:textFill>
            <w14:solidFill>
              <w14:schemeClr w14:val="tx1"/>
            </w14:solidFill>
          </w14:textFill>
        </w:rPr>
        <w:t>为准，故请有意购买者务必实地看样并咨询相关部门，拍卖标的资产以拍卖成交后现场交付为准。交付时若标的信息与描述时不符，成交价不作调整。</w:t>
      </w:r>
    </w:p>
    <w:p w14:paraId="05A93450">
      <w:pPr>
        <w:spacing w:line="440" w:lineRule="exact"/>
        <w:ind w:firstLine="480"/>
        <w:rPr>
          <w:rFonts w:hint="eastAsia" w:cs="仿宋"/>
          <w:sz w:val="24"/>
          <w:szCs w:val="24"/>
        </w:rPr>
      </w:pPr>
      <w:r>
        <w:rPr>
          <w:rFonts w:hint="eastAsia" w:cs="仿宋"/>
          <w:bCs/>
          <w:kern w:val="0"/>
          <w:sz w:val="24"/>
          <w:szCs w:val="24"/>
        </w:rPr>
        <w:t>（六）标的物转让登记手续由买受人自行办理，</w:t>
      </w:r>
      <w:r>
        <w:rPr>
          <w:rFonts w:hint="eastAsia" w:cs="仿宋"/>
          <w:b/>
          <w:color w:val="000000" w:themeColor="text1"/>
          <w:kern w:val="0"/>
          <w:sz w:val="24"/>
          <w:szCs w:val="24"/>
          <w14:textFill>
            <w14:solidFill>
              <w14:schemeClr w14:val="tx1"/>
            </w14:solidFill>
          </w14:textFill>
        </w:rPr>
        <w:t>标的办理过户所需产生的税费根据相关法律、法规各自承担</w:t>
      </w:r>
      <w:r>
        <w:rPr>
          <w:rFonts w:hint="eastAsia" w:cs="仿宋"/>
          <w:b/>
          <w:bCs/>
          <w:kern w:val="0"/>
          <w:sz w:val="24"/>
          <w:szCs w:val="24"/>
        </w:rPr>
        <w:t>。</w:t>
      </w:r>
      <w:r>
        <w:rPr>
          <w:rFonts w:hint="eastAsia" w:cs="仿宋"/>
          <w:bCs/>
          <w:kern w:val="0"/>
          <w:sz w:val="24"/>
          <w:szCs w:val="24"/>
        </w:rPr>
        <w:t>有关税、费等费用问题由竞买人在参与竞拍前自行向有关的国家知识产权局、税务、房管、国土、不动产登记中心、水务、电力等相关部门了解确认。管理人以标的物现状进行交付，不承担无法过户的法律责任。</w:t>
      </w:r>
    </w:p>
    <w:p w14:paraId="4748870D">
      <w:pPr>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一、拍卖标的物情况简介</w:t>
      </w:r>
    </w:p>
    <w:p w14:paraId="4471DB15">
      <w:pPr>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（一）拍卖标的物名称：</w:t>
      </w:r>
      <w:r>
        <w:rPr>
          <w:rFonts w:hint="eastAsia" w:cs="仿宋"/>
          <w:color w:val="000000" w:themeColor="text1"/>
          <w:kern w:val="0"/>
          <w:sz w:val="24"/>
          <w:szCs w:val="24"/>
          <w14:textFill>
            <w14:solidFill>
              <w14:schemeClr w14:val="tx1"/>
            </w14:solidFill>
          </w14:textFill>
        </w:rPr>
        <w:t>重庆凯尔特机械制造有限公司</w:t>
      </w:r>
      <w:r>
        <w:rPr>
          <w:rFonts w:hint="eastAsia" w:cs="仿宋"/>
          <w:bCs/>
          <w:color w:val="000000" w:themeColor="text1"/>
          <w:kern w:val="0"/>
          <w:sz w:val="24"/>
          <w:szCs w:val="24"/>
          <w14:textFill>
            <w14:solidFill>
              <w14:schemeClr w14:val="tx1"/>
            </w14:solidFill>
          </w14:textFill>
        </w:rPr>
        <w:t>所有的位于北碚区蔡家岗镇嘉德大道1号和同熙路85号的房屋建筑物、土地使用权、机械设备及电子设备。</w:t>
      </w:r>
    </w:p>
    <w:p w14:paraId="5EEE9AE8">
      <w:pPr>
        <w:widowControl/>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（二）标的物简介</w:t>
      </w:r>
    </w:p>
    <w:p w14:paraId="02B98DCD">
      <w:pPr>
        <w:spacing w:line="440" w:lineRule="exact"/>
        <w:ind w:firstLine="482"/>
        <w:jc w:val="both"/>
        <w:rPr>
          <w:rFonts w:hint="eastAsia" w:cs="Helvetica"/>
          <w:color w:val="000000" w:themeColor="text1"/>
          <w:kern w:val="0"/>
          <w:sz w:val="24"/>
          <w:szCs w:val="24"/>
          <w14:textFill>
            <w14:solidFill>
              <w14:schemeClr w14:val="tx1"/>
            </w14:solidFill>
          </w14:textFill>
        </w:rPr>
      </w:pPr>
      <w:r>
        <w:rPr>
          <w:rFonts w:hint="eastAsia" w:cs="Helvetica"/>
          <w:b/>
          <w:bCs/>
          <w:color w:val="000000" w:themeColor="text1"/>
          <w:kern w:val="0"/>
          <w:sz w:val="24"/>
          <w:szCs w:val="24"/>
          <w14:textFill>
            <w14:solidFill>
              <w14:schemeClr w14:val="tx1"/>
            </w14:solidFill>
          </w14:textFill>
        </w:rPr>
        <w:t>1、建筑物：</w:t>
      </w:r>
      <w:r>
        <w:rPr>
          <w:rFonts w:hint="eastAsia" w:cs="Helvetica"/>
          <w:color w:val="000000" w:themeColor="text1"/>
          <w:kern w:val="0"/>
          <w:sz w:val="24"/>
          <w:szCs w:val="24"/>
          <w14:textFill>
            <w14:solidFill>
              <w14:schemeClr w14:val="tx1"/>
            </w14:solidFill>
          </w14:textFill>
        </w:rPr>
        <w:t>标的物</w:t>
      </w:r>
      <w:r>
        <w:rPr>
          <w:rFonts w:hint="eastAsia" w:cs="Helvetica"/>
          <w:bCs/>
          <w:kern w:val="0"/>
          <w:sz w:val="24"/>
          <w:szCs w:val="24"/>
        </w:rPr>
        <w:t>位于北碚区蔡家岗镇</w:t>
      </w:r>
      <w:r>
        <w:rPr>
          <w:rFonts w:hint="eastAsia" w:cs="仿宋"/>
          <w:bCs/>
          <w:color w:val="000000" w:themeColor="text1"/>
          <w:kern w:val="0"/>
          <w:sz w:val="24"/>
          <w:szCs w:val="24"/>
          <w14:textFill>
            <w14:solidFill>
              <w14:schemeClr w14:val="tx1"/>
            </w14:solidFill>
          </w14:textFill>
        </w:rPr>
        <w:t>嘉德大道1号和同熙路85号（新厂区）</w:t>
      </w:r>
      <w:r>
        <w:rPr>
          <w:rFonts w:hint="eastAsia" w:cs="Helvetica"/>
          <w:color w:val="000000" w:themeColor="text1"/>
          <w:kern w:val="0"/>
          <w:sz w:val="24"/>
          <w:szCs w:val="24"/>
          <w14:textFill>
            <w14:solidFill>
              <w14:schemeClr w14:val="tx1"/>
            </w14:solidFill>
          </w14:textFill>
        </w:rPr>
        <w:t>，土地用途为工业用地，土地使用权类型为出让，共有宗地面积为40582.36㎡，土地使用权终止日期为2059年12月31日，</w:t>
      </w:r>
      <w:r>
        <w:rPr>
          <w:rFonts w:hint="eastAsia" w:cs="Helvetica"/>
          <w:color w:val="000000" w:themeColor="text1"/>
          <w:kern w:val="0"/>
          <w:sz w:val="24"/>
          <w:szCs w:val="24"/>
          <w:highlight w:val="none"/>
          <w14:textFill>
            <w14:solidFill>
              <w14:schemeClr w14:val="tx1"/>
            </w14:solidFill>
          </w14:textFill>
        </w:rPr>
        <w:t>房屋结构为混合结构，</w:t>
      </w:r>
      <w:r>
        <w:rPr>
          <w:rFonts w:hint="eastAsia" w:cs="Helvetica"/>
          <w:color w:val="000000" w:themeColor="text1"/>
          <w:kern w:val="0"/>
          <w:sz w:val="24"/>
          <w:szCs w:val="24"/>
          <w14:textFill>
            <w14:solidFill>
              <w14:schemeClr w14:val="tx1"/>
            </w14:solidFill>
          </w14:textFill>
        </w:rPr>
        <w:t>建成年代为2013年1月。关于房屋的权证号、坐落、房屋用途、楼层、建筑面积、评估价值见下表：</w:t>
      </w:r>
    </w:p>
    <w:tbl>
      <w:tblPr>
        <w:tblStyle w:val="9"/>
        <w:tblW w:w="10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2132"/>
        <w:gridCol w:w="1770"/>
        <w:gridCol w:w="1260"/>
        <w:gridCol w:w="2718"/>
        <w:gridCol w:w="1065"/>
        <w:gridCol w:w="1125"/>
      </w:tblGrid>
      <w:tr w14:paraId="7184D855">
        <w:trPr>
          <w:jc w:val="center"/>
        </w:trPr>
        <w:tc>
          <w:tcPr>
            <w:tcW w:w="615" w:type="dxa"/>
            <w:vAlign w:val="center"/>
          </w:tcPr>
          <w:p w14:paraId="2381AAF2">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序号</w:t>
            </w:r>
          </w:p>
        </w:tc>
        <w:tc>
          <w:tcPr>
            <w:tcW w:w="2132" w:type="dxa"/>
            <w:vAlign w:val="center"/>
          </w:tcPr>
          <w:p w14:paraId="4087C59B">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坐落</w:t>
            </w:r>
          </w:p>
        </w:tc>
        <w:tc>
          <w:tcPr>
            <w:tcW w:w="1770" w:type="dxa"/>
            <w:vAlign w:val="center"/>
          </w:tcPr>
          <w:p w14:paraId="33B4A4ED">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房地产权证号</w:t>
            </w:r>
          </w:p>
        </w:tc>
        <w:tc>
          <w:tcPr>
            <w:tcW w:w="1260" w:type="dxa"/>
            <w:vAlign w:val="center"/>
          </w:tcPr>
          <w:p w14:paraId="3427D4DE">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房屋用途</w:t>
            </w:r>
          </w:p>
        </w:tc>
        <w:tc>
          <w:tcPr>
            <w:tcW w:w="2718" w:type="dxa"/>
            <w:vAlign w:val="center"/>
          </w:tcPr>
          <w:p w14:paraId="771E0809">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楼层</w:t>
            </w:r>
          </w:p>
        </w:tc>
        <w:tc>
          <w:tcPr>
            <w:tcW w:w="1065" w:type="dxa"/>
            <w:vAlign w:val="center"/>
          </w:tcPr>
          <w:p w14:paraId="562734BC">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建筑面积（㎡）</w:t>
            </w:r>
          </w:p>
        </w:tc>
        <w:tc>
          <w:tcPr>
            <w:tcW w:w="1125" w:type="dxa"/>
            <w:vAlign w:val="center"/>
          </w:tcPr>
          <w:p w14:paraId="391EE6B1">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评估价值（元）</w:t>
            </w:r>
          </w:p>
        </w:tc>
      </w:tr>
      <w:tr w14:paraId="6C2E3AE8">
        <w:trPr>
          <w:jc w:val="center"/>
        </w:trPr>
        <w:tc>
          <w:tcPr>
            <w:tcW w:w="615" w:type="dxa"/>
            <w:vAlign w:val="center"/>
          </w:tcPr>
          <w:p w14:paraId="106C326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w:t>
            </w:r>
          </w:p>
        </w:tc>
        <w:tc>
          <w:tcPr>
            <w:tcW w:w="2132" w:type="dxa"/>
            <w:vAlign w:val="center"/>
          </w:tcPr>
          <w:p w14:paraId="21D5BD0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1号1幢</w:t>
            </w:r>
          </w:p>
        </w:tc>
        <w:tc>
          <w:tcPr>
            <w:tcW w:w="1770" w:type="dxa"/>
            <w:vAlign w:val="center"/>
          </w:tcPr>
          <w:p w14:paraId="1FC1B72C">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107房地证2013字第08366号</w:t>
            </w:r>
          </w:p>
        </w:tc>
        <w:tc>
          <w:tcPr>
            <w:tcW w:w="1260" w:type="dxa"/>
            <w:vAlign w:val="center"/>
          </w:tcPr>
          <w:p w14:paraId="659CCF9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工业用房</w:t>
            </w:r>
          </w:p>
        </w:tc>
        <w:tc>
          <w:tcPr>
            <w:tcW w:w="2718" w:type="dxa"/>
            <w:vAlign w:val="center"/>
          </w:tcPr>
          <w:p w14:paraId="4BD51EC3">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名义层1、2、3、4顶</w:t>
            </w:r>
          </w:p>
          <w:p w14:paraId="4A09F42F">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 xml:space="preserve"> 物理层1、2、3、4、5</w:t>
            </w:r>
          </w:p>
        </w:tc>
        <w:tc>
          <w:tcPr>
            <w:tcW w:w="1065" w:type="dxa"/>
            <w:vAlign w:val="center"/>
          </w:tcPr>
          <w:p w14:paraId="7AE984A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37196.2</w:t>
            </w:r>
          </w:p>
        </w:tc>
        <w:tc>
          <w:tcPr>
            <w:tcW w:w="1125" w:type="dxa"/>
            <w:vAlign w:val="center"/>
          </w:tcPr>
          <w:p w14:paraId="6B92720D">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58844390</w:t>
            </w:r>
          </w:p>
        </w:tc>
      </w:tr>
      <w:tr w14:paraId="4F1E36A7">
        <w:trPr>
          <w:jc w:val="center"/>
        </w:trPr>
        <w:tc>
          <w:tcPr>
            <w:tcW w:w="615" w:type="dxa"/>
            <w:vAlign w:val="center"/>
          </w:tcPr>
          <w:p w14:paraId="4496BC8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2</w:t>
            </w:r>
          </w:p>
        </w:tc>
        <w:tc>
          <w:tcPr>
            <w:tcW w:w="2132" w:type="dxa"/>
            <w:vAlign w:val="center"/>
          </w:tcPr>
          <w:p w14:paraId="65CC918A">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1号2幢</w:t>
            </w:r>
          </w:p>
        </w:tc>
        <w:tc>
          <w:tcPr>
            <w:tcW w:w="1770" w:type="dxa"/>
            <w:vAlign w:val="center"/>
          </w:tcPr>
          <w:p w14:paraId="73F841EE">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107房地证2013字第08376号</w:t>
            </w:r>
          </w:p>
        </w:tc>
        <w:tc>
          <w:tcPr>
            <w:tcW w:w="1260" w:type="dxa"/>
            <w:vAlign w:val="center"/>
          </w:tcPr>
          <w:p w14:paraId="16064FC2">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工业用房</w:t>
            </w:r>
          </w:p>
        </w:tc>
        <w:tc>
          <w:tcPr>
            <w:tcW w:w="2718" w:type="dxa"/>
            <w:vAlign w:val="center"/>
          </w:tcPr>
          <w:p w14:paraId="0B2E888A">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名义层1、2、3、4、6顶</w:t>
            </w:r>
          </w:p>
          <w:p w14:paraId="1338DF6A">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 xml:space="preserve"> 物理层1、2、3、4、5、6、7</w:t>
            </w:r>
          </w:p>
        </w:tc>
        <w:tc>
          <w:tcPr>
            <w:tcW w:w="1065" w:type="dxa"/>
            <w:vAlign w:val="center"/>
          </w:tcPr>
          <w:p w14:paraId="07DFB1B7">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4933.54</w:t>
            </w:r>
          </w:p>
        </w:tc>
        <w:tc>
          <w:tcPr>
            <w:tcW w:w="1125" w:type="dxa"/>
            <w:vAlign w:val="center"/>
          </w:tcPr>
          <w:p w14:paraId="2BB1628B">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7804860</w:t>
            </w:r>
          </w:p>
        </w:tc>
      </w:tr>
      <w:tr w14:paraId="3E6C368C">
        <w:trPr>
          <w:jc w:val="center"/>
        </w:trPr>
        <w:tc>
          <w:tcPr>
            <w:tcW w:w="615" w:type="dxa"/>
            <w:vAlign w:val="center"/>
          </w:tcPr>
          <w:p w14:paraId="55237B6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3</w:t>
            </w:r>
          </w:p>
        </w:tc>
        <w:tc>
          <w:tcPr>
            <w:tcW w:w="2132" w:type="dxa"/>
            <w:vAlign w:val="center"/>
          </w:tcPr>
          <w:p w14:paraId="4D43383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1号3幢</w:t>
            </w:r>
          </w:p>
        </w:tc>
        <w:tc>
          <w:tcPr>
            <w:tcW w:w="1770" w:type="dxa"/>
            <w:vAlign w:val="center"/>
          </w:tcPr>
          <w:p w14:paraId="26CFE56E">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107房地证2013字第08381号</w:t>
            </w:r>
          </w:p>
        </w:tc>
        <w:tc>
          <w:tcPr>
            <w:tcW w:w="1260" w:type="dxa"/>
            <w:vAlign w:val="center"/>
          </w:tcPr>
          <w:p w14:paraId="10A16BD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集体宿舍</w:t>
            </w:r>
          </w:p>
        </w:tc>
        <w:tc>
          <w:tcPr>
            <w:tcW w:w="2718" w:type="dxa"/>
            <w:vAlign w:val="center"/>
          </w:tcPr>
          <w:p w14:paraId="1BB266B4">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名义层1、2、3、4、5、6顶</w:t>
            </w:r>
          </w:p>
          <w:p w14:paraId="261AD432">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 xml:space="preserve"> 物理层1、2、3、4、5、6、7</w:t>
            </w:r>
          </w:p>
        </w:tc>
        <w:tc>
          <w:tcPr>
            <w:tcW w:w="1065" w:type="dxa"/>
            <w:vAlign w:val="center"/>
          </w:tcPr>
          <w:p w14:paraId="6E4B3C9B">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3411.16</w:t>
            </w:r>
          </w:p>
        </w:tc>
        <w:tc>
          <w:tcPr>
            <w:tcW w:w="1125" w:type="dxa"/>
            <w:vAlign w:val="center"/>
          </w:tcPr>
          <w:p w14:paraId="5760FA3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5396460</w:t>
            </w:r>
          </w:p>
        </w:tc>
      </w:tr>
      <w:tr w14:paraId="565C1709">
        <w:trPr>
          <w:jc w:val="center"/>
        </w:trPr>
        <w:tc>
          <w:tcPr>
            <w:tcW w:w="615" w:type="dxa"/>
            <w:vAlign w:val="center"/>
          </w:tcPr>
          <w:p w14:paraId="58756A88">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4</w:t>
            </w:r>
          </w:p>
        </w:tc>
        <w:tc>
          <w:tcPr>
            <w:tcW w:w="2132" w:type="dxa"/>
            <w:vAlign w:val="center"/>
          </w:tcPr>
          <w:p w14:paraId="2B84BCCC">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1号4幢</w:t>
            </w:r>
          </w:p>
        </w:tc>
        <w:tc>
          <w:tcPr>
            <w:tcW w:w="1770" w:type="dxa"/>
            <w:vAlign w:val="center"/>
          </w:tcPr>
          <w:p w14:paraId="1E4BAC56">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107房地证2013字第08385号</w:t>
            </w:r>
          </w:p>
        </w:tc>
        <w:tc>
          <w:tcPr>
            <w:tcW w:w="1260" w:type="dxa"/>
            <w:vAlign w:val="center"/>
          </w:tcPr>
          <w:p w14:paraId="581F2AFE">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集体宿舍</w:t>
            </w:r>
          </w:p>
        </w:tc>
        <w:tc>
          <w:tcPr>
            <w:tcW w:w="2718" w:type="dxa"/>
            <w:vAlign w:val="center"/>
          </w:tcPr>
          <w:p w14:paraId="3EC1449D">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名义层1、2、3、4、5、6顶</w:t>
            </w:r>
          </w:p>
          <w:p w14:paraId="17721BEC">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 xml:space="preserve"> 物理层1、2、3、4、5、6、7</w:t>
            </w:r>
          </w:p>
        </w:tc>
        <w:tc>
          <w:tcPr>
            <w:tcW w:w="1065" w:type="dxa"/>
            <w:vAlign w:val="center"/>
          </w:tcPr>
          <w:p w14:paraId="0FA5DAE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3701.41</w:t>
            </w:r>
          </w:p>
        </w:tc>
        <w:tc>
          <w:tcPr>
            <w:tcW w:w="1125" w:type="dxa"/>
            <w:vAlign w:val="center"/>
          </w:tcPr>
          <w:p w14:paraId="68CB3278">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5855630</w:t>
            </w:r>
          </w:p>
        </w:tc>
      </w:tr>
      <w:tr w14:paraId="1CF2AAEC">
        <w:trPr>
          <w:jc w:val="center"/>
        </w:trPr>
        <w:tc>
          <w:tcPr>
            <w:tcW w:w="615" w:type="dxa"/>
            <w:vAlign w:val="center"/>
          </w:tcPr>
          <w:p w14:paraId="25EC8E4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5</w:t>
            </w:r>
          </w:p>
        </w:tc>
        <w:tc>
          <w:tcPr>
            <w:tcW w:w="2132" w:type="dxa"/>
            <w:vAlign w:val="center"/>
          </w:tcPr>
          <w:p w14:paraId="7F1A599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1号5幢</w:t>
            </w:r>
          </w:p>
        </w:tc>
        <w:tc>
          <w:tcPr>
            <w:tcW w:w="1770" w:type="dxa"/>
            <w:vAlign w:val="center"/>
          </w:tcPr>
          <w:p w14:paraId="30EBA0A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107房地证2013字第08548号</w:t>
            </w:r>
          </w:p>
        </w:tc>
        <w:tc>
          <w:tcPr>
            <w:tcW w:w="1260" w:type="dxa"/>
            <w:vAlign w:val="center"/>
          </w:tcPr>
          <w:p w14:paraId="5A7E82A0">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4266262B">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名义层1物理层1</w:t>
            </w:r>
          </w:p>
        </w:tc>
        <w:tc>
          <w:tcPr>
            <w:tcW w:w="1065" w:type="dxa"/>
            <w:vAlign w:val="center"/>
          </w:tcPr>
          <w:p w14:paraId="63D304A1">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75.4</w:t>
            </w:r>
          </w:p>
        </w:tc>
        <w:tc>
          <w:tcPr>
            <w:tcW w:w="1125" w:type="dxa"/>
            <w:vAlign w:val="center"/>
          </w:tcPr>
          <w:p w14:paraId="3165797E">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119280</w:t>
            </w:r>
          </w:p>
        </w:tc>
      </w:tr>
      <w:tr w14:paraId="18FD66BC">
        <w:trPr>
          <w:jc w:val="center"/>
        </w:trPr>
        <w:tc>
          <w:tcPr>
            <w:tcW w:w="615" w:type="dxa"/>
            <w:vAlign w:val="center"/>
          </w:tcPr>
          <w:p w14:paraId="2493D28A">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6</w:t>
            </w:r>
          </w:p>
        </w:tc>
        <w:tc>
          <w:tcPr>
            <w:tcW w:w="2132" w:type="dxa"/>
            <w:vAlign w:val="center"/>
          </w:tcPr>
          <w:p w14:paraId="5600B17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1号6幢</w:t>
            </w:r>
          </w:p>
        </w:tc>
        <w:tc>
          <w:tcPr>
            <w:tcW w:w="1770" w:type="dxa"/>
            <w:vAlign w:val="center"/>
          </w:tcPr>
          <w:p w14:paraId="73A48741">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107房地证2013字第08544号</w:t>
            </w:r>
          </w:p>
        </w:tc>
        <w:tc>
          <w:tcPr>
            <w:tcW w:w="1260" w:type="dxa"/>
            <w:vAlign w:val="center"/>
          </w:tcPr>
          <w:p w14:paraId="09E5B9D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4D16E58A">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名义层1物理层1</w:t>
            </w:r>
          </w:p>
        </w:tc>
        <w:tc>
          <w:tcPr>
            <w:tcW w:w="1065" w:type="dxa"/>
            <w:vAlign w:val="center"/>
          </w:tcPr>
          <w:p w14:paraId="0270ABB7">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45.14</w:t>
            </w:r>
          </w:p>
        </w:tc>
        <w:tc>
          <w:tcPr>
            <w:tcW w:w="1125" w:type="dxa"/>
            <w:vAlign w:val="center"/>
          </w:tcPr>
          <w:p w14:paraId="3778310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71410</w:t>
            </w:r>
          </w:p>
        </w:tc>
      </w:tr>
      <w:tr w14:paraId="18975947">
        <w:trPr>
          <w:jc w:val="center"/>
        </w:trPr>
        <w:tc>
          <w:tcPr>
            <w:tcW w:w="615" w:type="dxa"/>
            <w:vAlign w:val="center"/>
          </w:tcPr>
          <w:p w14:paraId="4C5B039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7</w:t>
            </w:r>
          </w:p>
        </w:tc>
        <w:tc>
          <w:tcPr>
            <w:tcW w:w="2132" w:type="dxa"/>
            <w:vAlign w:val="center"/>
          </w:tcPr>
          <w:p w14:paraId="5AA510F7">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1号7幢</w:t>
            </w:r>
          </w:p>
        </w:tc>
        <w:tc>
          <w:tcPr>
            <w:tcW w:w="1770" w:type="dxa"/>
            <w:vAlign w:val="center"/>
          </w:tcPr>
          <w:p w14:paraId="0988C98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107房地证2013字第08541号</w:t>
            </w:r>
          </w:p>
        </w:tc>
        <w:tc>
          <w:tcPr>
            <w:tcW w:w="1260" w:type="dxa"/>
            <w:vAlign w:val="center"/>
          </w:tcPr>
          <w:p w14:paraId="5FA7BB7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40CFE7B9">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名义层1物理层1</w:t>
            </w:r>
          </w:p>
        </w:tc>
        <w:tc>
          <w:tcPr>
            <w:tcW w:w="1065" w:type="dxa"/>
            <w:vAlign w:val="center"/>
          </w:tcPr>
          <w:p w14:paraId="02F98B16">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6.88</w:t>
            </w:r>
          </w:p>
        </w:tc>
        <w:tc>
          <w:tcPr>
            <w:tcW w:w="1125" w:type="dxa"/>
            <w:vAlign w:val="center"/>
          </w:tcPr>
          <w:p w14:paraId="3A598D87">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10880</w:t>
            </w:r>
          </w:p>
        </w:tc>
      </w:tr>
      <w:tr w14:paraId="3001FF93">
        <w:trPr>
          <w:jc w:val="center"/>
        </w:trPr>
        <w:tc>
          <w:tcPr>
            <w:tcW w:w="615" w:type="dxa"/>
            <w:vAlign w:val="center"/>
          </w:tcPr>
          <w:p w14:paraId="0148AC1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8</w:t>
            </w:r>
          </w:p>
        </w:tc>
        <w:tc>
          <w:tcPr>
            <w:tcW w:w="2132" w:type="dxa"/>
            <w:vAlign w:val="center"/>
          </w:tcPr>
          <w:p w14:paraId="5BFFE4F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北碚区蔡家岗镇同熙路85号1幢</w:t>
            </w:r>
          </w:p>
        </w:tc>
        <w:tc>
          <w:tcPr>
            <w:tcW w:w="1770" w:type="dxa"/>
            <w:vAlign w:val="center"/>
          </w:tcPr>
          <w:p w14:paraId="0300EC46">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107房地证2013字第08458号</w:t>
            </w:r>
          </w:p>
        </w:tc>
        <w:tc>
          <w:tcPr>
            <w:tcW w:w="1260" w:type="dxa"/>
            <w:vAlign w:val="center"/>
          </w:tcPr>
          <w:p w14:paraId="5574EC01">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工业用房</w:t>
            </w:r>
          </w:p>
        </w:tc>
        <w:tc>
          <w:tcPr>
            <w:tcW w:w="2718" w:type="dxa"/>
            <w:vAlign w:val="center"/>
          </w:tcPr>
          <w:p w14:paraId="018ED383">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名义层1物理层1</w:t>
            </w:r>
          </w:p>
        </w:tc>
        <w:tc>
          <w:tcPr>
            <w:tcW w:w="1065" w:type="dxa"/>
            <w:vAlign w:val="center"/>
          </w:tcPr>
          <w:p w14:paraId="5F54F758">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6934.63</w:t>
            </w:r>
          </w:p>
        </w:tc>
        <w:tc>
          <w:tcPr>
            <w:tcW w:w="1125" w:type="dxa"/>
            <w:vAlign w:val="center"/>
          </w:tcPr>
          <w:p w14:paraId="59A1D1F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11116210</w:t>
            </w:r>
          </w:p>
        </w:tc>
      </w:tr>
      <w:tr w14:paraId="5CC0205C">
        <w:trPr>
          <w:jc w:val="center"/>
        </w:trPr>
        <w:tc>
          <w:tcPr>
            <w:tcW w:w="615" w:type="dxa"/>
            <w:vAlign w:val="center"/>
          </w:tcPr>
          <w:p w14:paraId="57B67F5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9</w:t>
            </w:r>
          </w:p>
        </w:tc>
        <w:tc>
          <w:tcPr>
            <w:tcW w:w="2132" w:type="dxa"/>
            <w:vAlign w:val="center"/>
          </w:tcPr>
          <w:p w14:paraId="0F41389B">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北碚区蔡家岗镇同熙路85号2幢</w:t>
            </w:r>
          </w:p>
        </w:tc>
        <w:tc>
          <w:tcPr>
            <w:tcW w:w="1770" w:type="dxa"/>
            <w:vAlign w:val="center"/>
          </w:tcPr>
          <w:p w14:paraId="542544A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107房地证2013字第08537号</w:t>
            </w:r>
          </w:p>
        </w:tc>
        <w:tc>
          <w:tcPr>
            <w:tcW w:w="1260" w:type="dxa"/>
            <w:vAlign w:val="center"/>
          </w:tcPr>
          <w:p w14:paraId="34C7E3A2">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7374885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名义层1物理层1</w:t>
            </w:r>
          </w:p>
        </w:tc>
        <w:tc>
          <w:tcPr>
            <w:tcW w:w="1065" w:type="dxa"/>
            <w:vAlign w:val="center"/>
          </w:tcPr>
          <w:p w14:paraId="589EED7C">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10.73</w:t>
            </w:r>
          </w:p>
        </w:tc>
        <w:tc>
          <w:tcPr>
            <w:tcW w:w="1125" w:type="dxa"/>
            <w:vAlign w:val="center"/>
          </w:tcPr>
          <w:p w14:paraId="6409885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16980</w:t>
            </w:r>
          </w:p>
        </w:tc>
      </w:tr>
      <w:tr w14:paraId="5C896903">
        <w:trPr>
          <w:jc w:val="center"/>
        </w:trPr>
        <w:tc>
          <w:tcPr>
            <w:tcW w:w="615" w:type="dxa"/>
            <w:vAlign w:val="center"/>
          </w:tcPr>
          <w:p w14:paraId="51A6507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w:t>
            </w:r>
          </w:p>
        </w:tc>
        <w:tc>
          <w:tcPr>
            <w:tcW w:w="2132" w:type="dxa"/>
            <w:vAlign w:val="center"/>
          </w:tcPr>
          <w:p w14:paraId="74691C3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北碚区蔡家岗镇同熙路85号3幢</w:t>
            </w:r>
          </w:p>
        </w:tc>
        <w:tc>
          <w:tcPr>
            <w:tcW w:w="1770" w:type="dxa"/>
            <w:vAlign w:val="center"/>
          </w:tcPr>
          <w:p w14:paraId="7F6DA03C">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107房地证2013字第08529号</w:t>
            </w:r>
          </w:p>
        </w:tc>
        <w:tc>
          <w:tcPr>
            <w:tcW w:w="1260" w:type="dxa"/>
            <w:vAlign w:val="center"/>
          </w:tcPr>
          <w:p w14:paraId="2BA907AC">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0E981E4A">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名义层1物理层1</w:t>
            </w:r>
          </w:p>
        </w:tc>
        <w:tc>
          <w:tcPr>
            <w:tcW w:w="1065" w:type="dxa"/>
            <w:vAlign w:val="center"/>
          </w:tcPr>
          <w:p w14:paraId="7CCEB75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36.96</w:t>
            </w:r>
          </w:p>
        </w:tc>
        <w:tc>
          <w:tcPr>
            <w:tcW w:w="1125" w:type="dxa"/>
            <w:vAlign w:val="center"/>
          </w:tcPr>
          <w:p w14:paraId="215BDF12">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58470</w:t>
            </w:r>
          </w:p>
        </w:tc>
      </w:tr>
      <w:tr w14:paraId="6C0203B8">
        <w:trPr>
          <w:jc w:val="center"/>
        </w:trPr>
        <w:tc>
          <w:tcPr>
            <w:tcW w:w="615" w:type="dxa"/>
            <w:vAlign w:val="center"/>
          </w:tcPr>
          <w:p w14:paraId="1E8E9021">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11</w:t>
            </w:r>
          </w:p>
        </w:tc>
        <w:tc>
          <w:tcPr>
            <w:tcW w:w="2132" w:type="dxa"/>
            <w:vAlign w:val="center"/>
          </w:tcPr>
          <w:p w14:paraId="5E3BF50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北碚区蔡家岗镇同熙路85号4幢</w:t>
            </w:r>
          </w:p>
        </w:tc>
        <w:tc>
          <w:tcPr>
            <w:tcW w:w="1770" w:type="dxa"/>
            <w:vAlign w:val="center"/>
          </w:tcPr>
          <w:p w14:paraId="3D3368AE">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107房地证2013字第08532号</w:t>
            </w:r>
          </w:p>
        </w:tc>
        <w:tc>
          <w:tcPr>
            <w:tcW w:w="1260" w:type="dxa"/>
            <w:vAlign w:val="center"/>
          </w:tcPr>
          <w:p w14:paraId="7843A6F6">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56691DB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名义层1物理层1</w:t>
            </w:r>
          </w:p>
        </w:tc>
        <w:tc>
          <w:tcPr>
            <w:tcW w:w="1065" w:type="dxa"/>
            <w:vAlign w:val="center"/>
          </w:tcPr>
          <w:p w14:paraId="19A589CA">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11.55</w:t>
            </w:r>
          </w:p>
        </w:tc>
        <w:tc>
          <w:tcPr>
            <w:tcW w:w="1125" w:type="dxa"/>
            <w:vAlign w:val="center"/>
          </w:tcPr>
          <w:p w14:paraId="7EA3C67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18270</w:t>
            </w:r>
          </w:p>
        </w:tc>
      </w:tr>
      <w:tr w14:paraId="545A0607">
        <w:trPr>
          <w:trHeight w:val="680" w:hRule="atLeast"/>
          <w:jc w:val="center"/>
        </w:trPr>
        <w:tc>
          <w:tcPr>
            <w:tcW w:w="2747" w:type="dxa"/>
            <w:gridSpan w:val="2"/>
            <w:vAlign w:val="center"/>
          </w:tcPr>
          <w:p w14:paraId="24559C1D">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合计</w:t>
            </w:r>
          </w:p>
        </w:tc>
        <w:tc>
          <w:tcPr>
            <w:tcW w:w="1770" w:type="dxa"/>
            <w:vAlign w:val="center"/>
          </w:tcPr>
          <w:p w14:paraId="0352B82A">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p>
        </w:tc>
        <w:tc>
          <w:tcPr>
            <w:tcW w:w="1260" w:type="dxa"/>
            <w:vAlign w:val="center"/>
          </w:tcPr>
          <w:p w14:paraId="176FDC81">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p>
        </w:tc>
        <w:tc>
          <w:tcPr>
            <w:tcW w:w="2718" w:type="dxa"/>
            <w:vAlign w:val="center"/>
          </w:tcPr>
          <w:p w14:paraId="396B1204">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p>
        </w:tc>
        <w:tc>
          <w:tcPr>
            <w:tcW w:w="1065" w:type="dxa"/>
            <w:vAlign w:val="center"/>
          </w:tcPr>
          <w:p w14:paraId="5B9EE311">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56363.6</w:t>
            </w:r>
          </w:p>
        </w:tc>
        <w:tc>
          <w:tcPr>
            <w:tcW w:w="1125" w:type="dxa"/>
            <w:vAlign w:val="center"/>
          </w:tcPr>
          <w:p w14:paraId="7979E52E">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89312840</w:t>
            </w:r>
          </w:p>
        </w:tc>
      </w:tr>
    </w:tbl>
    <w:p w14:paraId="1CA61F2D">
      <w:pPr>
        <w:widowControl/>
        <w:spacing w:line="440" w:lineRule="exact"/>
        <w:ind w:firstLine="522"/>
        <w:rPr>
          <w:rFonts w:hint="eastAsia" w:cs="Helvetica"/>
          <w:bCs/>
          <w:kern w:val="0"/>
          <w:sz w:val="24"/>
          <w:szCs w:val="24"/>
        </w:rPr>
      </w:pPr>
      <w:r>
        <w:rPr>
          <w:rFonts w:hint="eastAsia" w:cs="仿宋"/>
          <w:b/>
          <w:spacing w:val="10"/>
          <w:kern w:val="20"/>
          <w:sz w:val="24"/>
          <w:szCs w:val="24"/>
        </w:rPr>
        <w:t>特别提醒：</w:t>
      </w:r>
      <w:r>
        <w:rPr>
          <w:rFonts w:hint="eastAsia" w:cs="Helvetica"/>
          <w:bCs/>
          <w:kern w:val="0"/>
          <w:sz w:val="24"/>
          <w:szCs w:val="24"/>
        </w:rPr>
        <w:t>（1）上述标的物坐落、房屋用途、建筑面积、楼层信息</w:t>
      </w:r>
      <w:r>
        <w:rPr>
          <w:rFonts w:cs="Helvetica"/>
          <w:color w:val="000000" w:themeColor="text1"/>
          <w:kern w:val="0"/>
          <w:sz w:val="24"/>
          <w:szCs w:val="24"/>
          <w14:textFill>
            <w14:solidFill>
              <w14:schemeClr w14:val="tx1"/>
            </w14:solidFill>
          </w14:textFill>
        </w:rPr>
        <w:t>等相关数据均来源于产权证记载</w:t>
      </w:r>
      <w:r>
        <w:rPr>
          <w:rFonts w:hint="eastAsia" w:cs="Helvetica"/>
          <w:color w:val="000000" w:themeColor="text1"/>
          <w:kern w:val="0"/>
          <w:sz w:val="24"/>
          <w:szCs w:val="24"/>
          <w14:textFill>
            <w14:solidFill>
              <w14:schemeClr w14:val="tx1"/>
            </w14:solidFill>
          </w14:textFill>
        </w:rPr>
        <w:t>和</w:t>
      </w:r>
      <w:r>
        <w:rPr>
          <w:rFonts w:hint="eastAsia" w:cs="Helvetica"/>
          <w:bCs/>
          <w:kern w:val="0"/>
          <w:sz w:val="24"/>
          <w:szCs w:val="24"/>
        </w:rPr>
        <w:t>附件:《资产评估报告书》</w:t>
      </w:r>
      <w:r>
        <w:rPr>
          <w:rFonts w:cs="Helvetica"/>
          <w:bCs/>
          <w:kern w:val="0"/>
          <w:sz w:val="24"/>
          <w:szCs w:val="24"/>
        </w:rPr>
        <w:t>，</w:t>
      </w:r>
      <w:r>
        <w:rPr>
          <w:rFonts w:hint="eastAsia" w:cs="Helvetica"/>
          <w:bCs/>
          <w:kern w:val="0"/>
          <w:sz w:val="24"/>
          <w:szCs w:val="24"/>
        </w:rPr>
        <w:t>故以上信息仅供参考，标的物拍卖成交后以不动产登记机构登记的最终信息为准，若与本次破产处置文件中载明的信息有出入，拍卖成交价不作调整。</w:t>
      </w:r>
    </w:p>
    <w:p w14:paraId="2C06B2A7">
      <w:pPr>
        <w:widowControl/>
        <w:numPr>
          <w:ilvl w:val="0"/>
          <w:numId w:val="1"/>
        </w:numPr>
        <w:spacing w:line="440" w:lineRule="exact"/>
        <w:ind w:firstLine="480"/>
        <w:rPr>
          <w:rFonts w:hint="eastAsia" w:cs="Helvetica"/>
          <w:bCs/>
          <w:kern w:val="0"/>
          <w:sz w:val="24"/>
          <w:szCs w:val="24"/>
        </w:rPr>
      </w:pPr>
      <w:r>
        <w:rPr>
          <w:rFonts w:hint="eastAsia" w:cs="Helvetica"/>
          <w:bCs/>
          <w:kern w:val="0"/>
          <w:sz w:val="24"/>
          <w:szCs w:val="24"/>
        </w:rPr>
        <w:t>本次拍卖范围为上述标的物的建筑物所有权及相应的土地使用权，包含标的物内的固定装修，</w:t>
      </w:r>
      <w:r>
        <w:rPr>
          <w:rFonts w:hint="eastAsia" w:cs="Helvetica"/>
          <w:bCs/>
          <w:kern w:val="0"/>
          <w:sz w:val="24"/>
          <w:szCs w:val="24"/>
          <w:highlight w:val="none"/>
        </w:rPr>
        <w:t>不含室内</w:t>
      </w:r>
      <w:r>
        <w:rPr>
          <w:rFonts w:hint="eastAsia" w:cs="Helvetica"/>
          <w:bCs/>
          <w:kern w:val="0"/>
          <w:sz w:val="24"/>
          <w:szCs w:val="24"/>
          <w:highlight w:val="none"/>
          <w:lang w:val="en-US" w:eastAsia="zh-CN"/>
        </w:rPr>
        <w:t>除以下电子设备外的</w:t>
      </w:r>
      <w:r>
        <w:rPr>
          <w:rFonts w:hint="eastAsia" w:cs="Helvetica"/>
          <w:bCs/>
          <w:kern w:val="0"/>
          <w:sz w:val="24"/>
          <w:szCs w:val="24"/>
          <w:highlight w:val="none"/>
        </w:rPr>
        <w:t>动产</w:t>
      </w:r>
      <w:r>
        <w:rPr>
          <w:rFonts w:hint="eastAsia" w:cs="Helvetica"/>
          <w:bCs/>
          <w:kern w:val="0"/>
          <w:sz w:val="24"/>
          <w:szCs w:val="24"/>
        </w:rPr>
        <w:t>及相应的债权债务等其他财产或权益。</w:t>
      </w:r>
    </w:p>
    <w:p w14:paraId="18007814">
      <w:pPr>
        <w:widowControl/>
        <w:numPr>
          <w:ilvl w:val="255"/>
          <w:numId w:val="0"/>
        </w:numPr>
        <w:spacing w:line="440" w:lineRule="exact"/>
        <w:ind w:firstLine="482"/>
        <w:rPr>
          <w:rFonts w:hint="eastAsia" w:cs="Helvetica"/>
          <w:bCs/>
          <w:kern w:val="0"/>
          <w:sz w:val="24"/>
          <w:szCs w:val="24"/>
        </w:rPr>
      </w:pPr>
      <w:r>
        <w:rPr>
          <w:rFonts w:hint="eastAsia" w:cs="Helvetica"/>
          <w:b/>
          <w:kern w:val="0"/>
          <w:sz w:val="24"/>
          <w:szCs w:val="24"/>
        </w:rPr>
        <w:t>2、无形资产-土地使用权：</w:t>
      </w:r>
      <w:r>
        <w:rPr>
          <w:rFonts w:hint="eastAsia" w:cs="Helvetica"/>
          <w:bCs/>
          <w:kern w:val="0"/>
          <w:sz w:val="24"/>
          <w:szCs w:val="24"/>
        </w:rPr>
        <w:t>凯尔特公司位于北碚区蔡家岗镇嘉德大道1号、同熙路85号土地，土地取得日期为2009年12月30日，用地性质为出让，土地用途为工业，准用年限为50年，土地面积共为40582.36㎡，其中37151.26㎡房地证合一，土地已于建筑物内作价，地上未修建筑物部分（空地）面积为3431.1㎡,评估价值为1801330元，该空地与位于北碚区蔡家岗镇嘉德大道1号、同熙路85号的11栋建筑物一同整体拍卖。</w:t>
      </w:r>
    </w:p>
    <w:p w14:paraId="650B4EB6">
      <w:pPr>
        <w:widowControl/>
        <w:spacing w:line="440" w:lineRule="exact"/>
        <w:ind w:firstLine="482"/>
        <w:rPr>
          <w:rFonts w:hint="eastAsia" w:cs="Helvetica"/>
          <w:b/>
          <w:kern w:val="0"/>
          <w:sz w:val="24"/>
          <w:szCs w:val="24"/>
        </w:rPr>
      </w:pPr>
      <w:r>
        <w:rPr>
          <w:rFonts w:hint="eastAsia" w:cs="Helvetica"/>
          <w:b/>
          <w:kern w:val="0"/>
          <w:sz w:val="24"/>
          <w:szCs w:val="24"/>
        </w:rPr>
        <w:t>3、电子设备：</w:t>
      </w:r>
      <w:r>
        <w:rPr>
          <w:rFonts w:hint="eastAsia" w:cs="Helvetica"/>
          <w:bCs/>
          <w:kern w:val="0"/>
          <w:sz w:val="24"/>
          <w:szCs w:val="24"/>
        </w:rPr>
        <w:t>共计以下7项，主要为电脑、空调、打印机、办公家具等，放置于凯尔特公司的办公区域内，</w:t>
      </w:r>
      <w:r>
        <w:rPr>
          <w:rFonts w:hint="eastAsia" w:cs="仿宋"/>
          <w:sz w:val="24"/>
          <w:szCs w:val="24"/>
        </w:rPr>
        <w:t>管理人不能保证拍卖设备的完整性、完好性和安全性，不能保证设备能够正常使用，亦不提供任何形式的售后服务。以下设备最终数量以实际交付为准，管理人、债务人、</w:t>
      </w:r>
      <w:r>
        <w:rPr>
          <w:rFonts w:hint="eastAsia" w:cs="仿宋"/>
          <w:sz w:val="24"/>
          <w:szCs w:val="24"/>
          <w:lang w:val="en-US" w:eastAsia="zh-CN"/>
        </w:rPr>
        <w:t>拍卖</w:t>
      </w:r>
      <w:r>
        <w:rPr>
          <w:rFonts w:hint="eastAsia" w:cs="仿宋"/>
          <w:sz w:val="24"/>
          <w:szCs w:val="24"/>
        </w:rPr>
        <w:t>辅</w:t>
      </w:r>
      <w:r>
        <w:rPr>
          <w:rFonts w:hint="eastAsia" w:cs="仿宋"/>
          <w:sz w:val="24"/>
          <w:szCs w:val="24"/>
          <w:lang w:val="en-US" w:eastAsia="zh-CN"/>
        </w:rPr>
        <w:t>助</w:t>
      </w:r>
      <w:r>
        <w:rPr>
          <w:rFonts w:hint="eastAsia" w:cs="仿宋"/>
          <w:sz w:val="24"/>
          <w:szCs w:val="24"/>
        </w:rPr>
        <w:t>机构对数量的准确性不承担任何责任；若实际交付数量与本公告记载不一致的，成交价格不作调整。关于电子设备的名称、规格型号、数量、购置日期、启用日期等详见下表：</w:t>
      </w:r>
    </w:p>
    <w:tbl>
      <w:tblPr>
        <w:tblStyle w:val="8"/>
        <w:tblpPr w:leftFromText="180" w:rightFromText="180" w:vertAnchor="text" w:horzAnchor="page" w:tblpXSpec="center" w:tblpY="620"/>
        <w:tblOverlap w:val="never"/>
        <w:tblW w:w="8730" w:type="dxa"/>
        <w:jc w:val="center"/>
        <w:tblLayout w:type="fixed"/>
        <w:tblCellMar>
          <w:top w:w="0" w:type="dxa"/>
          <w:left w:w="108" w:type="dxa"/>
          <w:bottom w:w="0" w:type="dxa"/>
          <w:right w:w="108" w:type="dxa"/>
        </w:tblCellMar>
      </w:tblPr>
      <w:tblGrid>
        <w:gridCol w:w="598"/>
        <w:gridCol w:w="1772"/>
        <w:gridCol w:w="1410"/>
        <w:gridCol w:w="555"/>
        <w:gridCol w:w="660"/>
        <w:gridCol w:w="1095"/>
        <w:gridCol w:w="1065"/>
        <w:gridCol w:w="1575"/>
      </w:tblGrid>
      <w:tr w14:paraId="2E5A58D4">
        <w:trPr>
          <w:trHeight w:val="1115" w:hRule="atLeast"/>
          <w:jc w:val="center"/>
        </w:trPr>
        <w:tc>
          <w:tcPr>
            <w:tcW w:w="598" w:type="dxa"/>
            <w:tcBorders>
              <w:top w:val="single" w:color="000000" w:sz="4" w:space="0"/>
              <w:left w:val="single" w:color="000000" w:sz="4" w:space="0"/>
              <w:bottom w:val="single" w:color="000000" w:sz="4" w:space="0"/>
              <w:right w:val="single" w:color="000000" w:sz="4" w:space="0"/>
            </w:tcBorders>
            <w:vAlign w:val="center"/>
          </w:tcPr>
          <w:p w14:paraId="7DD785D6">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序号</w:t>
            </w:r>
          </w:p>
        </w:tc>
        <w:tc>
          <w:tcPr>
            <w:tcW w:w="1772" w:type="dxa"/>
            <w:tcBorders>
              <w:top w:val="single" w:color="000000" w:sz="4" w:space="0"/>
              <w:left w:val="single" w:color="000000" w:sz="4" w:space="0"/>
              <w:bottom w:val="single" w:color="000000" w:sz="4" w:space="0"/>
              <w:right w:val="single" w:color="000000" w:sz="4" w:space="0"/>
            </w:tcBorders>
            <w:vAlign w:val="center"/>
          </w:tcPr>
          <w:p w14:paraId="50366E42">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设备名称</w:t>
            </w:r>
          </w:p>
        </w:tc>
        <w:tc>
          <w:tcPr>
            <w:tcW w:w="1410" w:type="dxa"/>
            <w:tcBorders>
              <w:top w:val="single" w:color="000000" w:sz="4" w:space="0"/>
              <w:left w:val="single" w:color="000000" w:sz="4" w:space="0"/>
              <w:bottom w:val="single" w:color="000000" w:sz="4" w:space="0"/>
              <w:right w:val="single" w:color="000000" w:sz="4" w:space="0"/>
            </w:tcBorders>
            <w:vAlign w:val="center"/>
          </w:tcPr>
          <w:p w14:paraId="5330BC35">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规格型号</w:t>
            </w:r>
          </w:p>
        </w:tc>
        <w:tc>
          <w:tcPr>
            <w:tcW w:w="555" w:type="dxa"/>
            <w:tcBorders>
              <w:top w:val="single" w:color="000000" w:sz="4" w:space="0"/>
              <w:left w:val="single" w:color="000000" w:sz="4" w:space="0"/>
              <w:bottom w:val="single" w:color="000000" w:sz="4" w:space="0"/>
              <w:right w:val="single" w:color="000000" w:sz="4" w:space="0"/>
            </w:tcBorders>
            <w:vAlign w:val="center"/>
          </w:tcPr>
          <w:p w14:paraId="0FB11C1E">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单位</w:t>
            </w:r>
          </w:p>
        </w:tc>
        <w:tc>
          <w:tcPr>
            <w:tcW w:w="660" w:type="dxa"/>
            <w:tcBorders>
              <w:top w:val="single" w:color="000000" w:sz="4" w:space="0"/>
              <w:left w:val="single" w:color="000000" w:sz="4" w:space="0"/>
              <w:bottom w:val="single" w:color="000000" w:sz="4" w:space="0"/>
              <w:right w:val="single" w:color="000000" w:sz="4" w:space="0"/>
            </w:tcBorders>
            <w:vAlign w:val="center"/>
          </w:tcPr>
          <w:p w14:paraId="18905CBA">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数量</w:t>
            </w:r>
          </w:p>
        </w:tc>
        <w:tc>
          <w:tcPr>
            <w:tcW w:w="1095" w:type="dxa"/>
            <w:tcBorders>
              <w:top w:val="single" w:color="000000" w:sz="4" w:space="0"/>
              <w:left w:val="single" w:color="000000" w:sz="4" w:space="0"/>
              <w:bottom w:val="single" w:color="000000" w:sz="4" w:space="0"/>
              <w:right w:val="single" w:color="000000" w:sz="4" w:space="0"/>
            </w:tcBorders>
            <w:vAlign w:val="center"/>
          </w:tcPr>
          <w:p w14:paraId="75421D64">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购置日期</w:t>
            </w:r>
          </w:p>
        </w:tc>
        <w:tc>
          <w:tcPr>
            <w:tcW w:w="1065" w:type="dxa"/>
            <w:tcBorders>
              <w:top w:val="single" w:color="000000" w:sz="4" w:space="0"/>
              <w:left w:val="single" w:color="000000" w:sz="4" w:space="0"/>
              <w:bottom w:val="single" w:color="000000" w:sz="4" w:space="0"/>
              <w:right w:val="single" w:color="000000" w:sz="4" w:space="0"/>
            </w:tcBorders>
            <w:vAlign w:val="center"/>
          </w:tcPr>
          <w:p w14:paraId="046E6CA9">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启用日期</w:t>
            </w:r>
          </w:p>
        </w:tc>
        <w:tc>
          <w:tcPr>
            <w:tcW w:w="1575" w:type="dxa"/>
            <w:tcBorders>
              <w:top w:val="single" w:color="000000" w:sz="4" w:space="0"/>
              <w:left w:val="single" w:color="000000" w:sz="4" w:space="0"/>
              <w:bottom w:val="single" w:color="000000" w:sz="4" w:space="0"/>
              <w:right w:val="single" w:color="000000" w:sz="4" w:space="0"/>
            </w:tcBorders>
            <w:vAlign w:val="center"/>
          </w:tcPr>
          <w:p w14:paraId="1B4B2F17">
            <w:pPr>
              <w:widowControl/>
              <w:ind w:firstLine="0" w:firstLineChars="0"/>
              <w:jc w:val="center"/>
              <w:textAlignment w:val="center"/>
              <w:rPr>
                <w:rFonts w:hint="eastAsia" w:cs="仿宋"/>
                <w:b/>
                <w:bCs/>
                <w:color w:val="000000"/>
                <w:sz w:val="18"/>
                <w:szCs w:val="18"/>
              </w:rPr>
            </w:pPr>
            <w:r>
              <w:rPr>
                <w:rFonts w:hint="eastAsia" w:cs="仿宋"/>
                <w:b/>
                <w:bCs/>
                <w:color w:val="000000"/>
                <w:kern w:val="0"/>
                <w:sz w:val="18"/>
                <w:szCs w:val="18"/>
                <w:lang w:bidi="ar"/>
              </w:rPr>
              <w:t>评估价值（元）</w:t>
            </w:r>
          </w:p>
        </w:tc>
      </w:tr>
      <w:tr w14:paraId="3128D7CB">
        <w:trPr>
          <w:trHeight w:val="227"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5B0E7DD4">
            <w:pPr>
              <w:widowControl/>
              <w:ind w:firstLine="0" w:firstLineChars="0"/>
              <w:jc w:val="center"/>
              <w:textAlignment w:val="center"/>
              <w:rPr>
                <w:rFonts w:hint="eastAsia" w:cs="仿宋"/>
                <w:color w:val="000000"/>
                <w:sz w:val="18"/>
                <w:szCs w:val="18"/>
              </w:rPr>
            </w:pPr>
            <w:r>
              <w:rPr>
                <w:rFonts w:hint="eastAsia" w:cs="仿宋"/>
                <w:color w:val="000000"/>
                <w:kern w:val="0"/>
                <w:sz w:val="18"/>
                <w:szCs w:val="18"/>
                <w:lang w:bidi="ar"/>
              </w:rPr>
              <w:t>1</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FE0C6D">
            <w:pPr>
              <w:widowControl/>
              <w:ind w:firstLine="0" w:firstLineChars="0"/>
              <w:jc w:val="both"/>
              <w:textAlignment w:val="center"/>
              <w:rPr>
                <w:rFonts w:hint="eastAsia" w:cs="仿宋"/>
                <w:color w:val="000000"/>
                <w:sz w:val="18"/>
                <w:szCs w:val="18"/>
              </w:rPr>
            </w:pPr>
            <w:r>
              <w:rPr>
                <w:rFonts w:hint="eastAsia" w:cs="仿宋"/>
                <w:color w:val="000000"/>
                <w:kern w:val="0"/>
                <w:sz w:val="18"/>
                <w:szCs w:val="18"/>
                <w:lang w:bidi="ar"/>
              </w:rPr>
              <w:t>格力空调</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2F8658">
            <w:pPr>
              <w:widowControl/>
              <w:ind w:firstLine="0" w:firstLineChars="0"/>
              <w:jc w:val="both"/>
              <w:textAlignment w:val="center"/>
              <w:rPr>
                <w:rFonts w:hint="eastAsia" w:cs="仿宋"/>
                <w:color w:val="000000"/>
                <w:sz w:val="18"/>
                <w:szCs w:val="18"/>
              </w:rPr>
            </w:pPr>
            <w:r>
              <w:rPr>
                <w:rFonts w:hint="eastAsia" w:cs="仿宋"/>
                <w:color w:val="000000"/>
                <w:kern w:val="0"/>
                <w:sz w:val="18"/>
                <w:szCs w:val="18"/>
                <w:lang w:bidi="ar"/>
              </w:rPr>
              <w:t>KFR32GW</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41A227">
            <w:pPr>
              <w:widowControl/>
              <w:ind w:firstLine="0" w:firstLineChars="0"/>
              <w:jc w:val="both"/>
              <w:textAlignment w:val="center"/>
              <w:rPr>
                <w:rFonts w:hint="eastAsia" w:cs="仿宋"/>
                <w:color w:val="000000"/>
                <w:sz w:val="18"/>
                <w:szCs w:val="18"/>
              </w:rPr>
            </w:pPr>
            <w:r>
              <w:rPr>
                <w:rFonts w:hint="eastAsia" w:cs="仿宋"/>
                <w:color w:val="000000"/>
                <w:kern w:val="0"/>
                <w:sz w:val="18"/>
                <w:szCs w:val="18"/>
                <w:lang w:bidi="ar"/>
              </w:rPr>
              <w:t>台</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F69740">
            <w:pPr>
              <w:widowControl/>
              <w:ind w:firstLine="0" w:firstLineChars="0"/>
              <w:jc w:val="center"/>
              <w:textAlignment w:val="center"/>
              <w:rPr>
                <w:rFonts w:hint="eastAsia" w:cs="仿宋"/>
                <w:color w:val="000000"/>
                <w:sz w:val="18"/>
                <w:szCs w:val="18"/>
              </w:rPr>
            </w:pPr>
            <w:r>
              <w:rPr>
                <w:rFonts w:hint="eastAsia" w:cs="仿宋"/>
                <w:color w:val="000000"/>
                <w:kern w:val="0"/>
                <w:sz w:val="18"/>
                <w:szCs w:val="18"/>
                <w:lang w:bidi="ar"/>
              </w:rPr>
              <w:t>13</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152701">
            <w:pPr>
              <w:widowControl/>
              <w:ind w:firstLine="0" w:firstLineChars="0"/>
              <w:jc w:val="center"/>
              <w:textAlignment w:val="center"/>
              <w:rPr>
                <w:rFonts w:hint="eastAsia" w:cs="仿宋"/>
                <w:color w:val="000000"/>
                <w:sz w:val="18"/>
                <w:szCs w:val="18"/>
              </w:rPr>
            </w:pPr>
            <w:r>
              <w:rPr>
                <w:rFonts w:hint="eastAsia" w:cs="仿宋"/>
                <w:color w:val="000000"/>
                <w:kern w:val="0"/>
                <w:sz w:val="18"/>
                <w:szCs w:val="18"/>
                <w:lang w:bidi="ar"/>
              </w:rPr>
              <w:t>2013-9-30</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86000C">
            <w:pPr>
              <w:widowControl/>
              <w:ind w:firstLine="0" w:firstLineChars="0"/>
              <w:jc w:val="center"/>
              <w:textAlignment w:val="center"/>
              <w:rPr>
                <w:rFonts w:hint="eastAsia" w:cs="仿宋"/>
                <w:color w:val="000000"/>
                <w:sz w:val="18"/>
                <w:szCs w:val="18"/>
              </w:rPr>
            </w:pPr>
            <w:r>
              <w:rPr>
                <w:rFonts w:hint="eastAsia" w:cs="仿宋"/>
                <w:color w:val="000000"/>
                <w:kern w:val="0"/>
                <w:sz w:val="18"/>
                <w:szCs w:val="18"/>
                <w:lang w:bidi="ar"/>
              </w:rPr>
              <w:t>2013-9-30</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BC918E">
            <w:pPr>
              <w:widowControl/>
              <w:ind w:firstLine="0" w:firstLineChars="0"/>
              <w:jc w:val="center"/>
              <w:textAlignment w:val="center"/>
              <w:rPr>
                <w:rFonts w:hint="eastAsia" w:cs="仿宋"/>
                <w:color w:val="000000"/>
                <w:sz w:val="18"/>
                <w:szCs w:val="18"/>
              </w:rPr>
            </w:pPr>
            <w:r>
              <w:rPr>
                <w:rFonts w:hint="eastAsia" w:cs="仿宋"/>
                <w:color w:val="000000"/>
                <w:kern w:val="0"/>
                <w:sz w:val="18"/>
                <w:szCs w:val="18"/>
                <w:lang w:bidi="ar"/>
              </w:rPr>
              <w:t>4,550.00</w:t>
            </w:r>
          </w:p>
        </w:tc>
      </w:tr>
      <w:tr w14:paraId="615DAF53">
        <w:trPr>
          <w:trHeight w:val="227"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06EB4D1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F9CDC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格力空调</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58951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KFR-72LW</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5BD9D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台</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BFC739">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6</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4A943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242EB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21C3B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4,200.00</w:t>
            </w:r>
          </w:p>
        </w:tc>
      </w:tr>
      <w:tr w14:paraId="02B72BF7">
        <w:trPr>
          <w:trHeight w:val="350"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621BE24F">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3</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C5E4C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格力空调</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E5F48A">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KFR-120LW</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E33AF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台</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59A744">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72A2A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D707C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5179B6">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4,200.00</w:t>
            </w:r>
          </w:p>
        </w:tc>
      </w:tr>
      <w:tr w14:paraId="7BB4ADAC">
        <w:trPr>
          <w:trHeight w:val="215"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481E44F9">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48DEA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打印机</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9351A4">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AFBC4D">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台</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D78088">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6AC1D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2014-8-1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9B262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2014-8-1</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147AB8">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140.00</w:t>
            </w:r>
          </w:p>
        </w:tc>
      </w:tr>
      <w:tr w14:paraId="7FCC1F04">
        <w:trPr>
          <w:trHeight w:val="365"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5D778E9A">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A6922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电脑</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426EDC">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A3D5B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台</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49FD74">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8D4BA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2014-8-1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9BC03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2014-8-1</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293467">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560.00</w:t>
            </w:r>
          </w:p>
        </w:tc>
      </w:tr>
      <w:tr w14:paraId="47E3DB93">
        <w:trPr>
          <w:trHeight w:val="305"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54CEE738">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6</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89387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OA服务器</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48275D">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1AF779">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94AAE1">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6C765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2015-4-1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04EA6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2015-4-1</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A25D58">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1,015.00</w:t>
            </w:r>
          </w:p>
        </w:tc>
      </w:tr>
      <w:tr w14:paraId="32209F60">
        <w:trPr>
          <w:trHeight w:val="550" w:hRule="atLeast"/>
          <w:jc w:val="center"/>
        </w:trPr>
        <w:tc>
          <w:tcPr>
            <w:tcW w:w="598" w:type="dxa"/>
            <w:vMerge w:val="restart"/>
            <w:tcBorders>
              <w:top w:val="single" w:color="000000" w:sz="4" w:space="0"/>
              <w:left w:val="single" w:color="000000" w:sz="4" w:space="0"/>
              <w:bottom w:val="single" w:color="000000" w:sz="4" w:space="0"/>
              <w:right w:val="single" w:color="000000" w:sz="4" w:space="0"/>
            </w:tcBorders>
            <w:noWrap/>
            <w:vAlign w:val="center"/>
          </w:tcPr>
          <w:p w14:paraId="0B6B71BE">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7</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F7499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办公家具（大柜）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CFB95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长2.8m高2.2m</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0720D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84B6B2">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61A089">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58616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9D06F4">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1,680.00</w:t>
            </w:r>
          </w:p>
        </w:tc>
      </w:tr>
      <w:tr w14:paraId="32184C8C">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288EEC76">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12226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办公家具（文件柜）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BE20A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长1.4m</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F7AE1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DD7E4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3</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41EA79">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CCC96B">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58072F">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1,050.00</w:t>
            </w:r>
          </w:p>
        </w:tc>
      </w:tr>
      <w:tr w14:paraId="61CCE98A">
        <w:trPr>
          <w:trHeight w:val="905"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693D72B8">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66F13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办公家具（4人座工位）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405B78">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01BC9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AC0CC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73CD32">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93BDE6">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E8E603">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980.00</w:t>
            </w:r>
          </w:p>
        </w:tc>
      </w:tr>
      <w:tr w14:paraId="7A494B97">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0D2834EB">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82D06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沙发（1人位）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8289C9">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ECD9F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726219">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2A279B">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3E4CEF">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1A4EAE">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420.00</w:t>
            </w:r>
          </w:p>
        </w:tc>
      </w:tr>
      <w:tr w14:paraId="5A2A421C">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68E5CCA6">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E8F29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沙发（3人位）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B069F8">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DE2F61">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CC5F5F">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73B620">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1EB1C9">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971C6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630.00</w:t>
            </w:r>
          </w:p>
        </w:tc>
      </w:tr>
      <w:tr w14:paraId="7B54590A">
        <w:trPr>
          <w:trHeight w:val="32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22371513">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3038C5">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皮椅</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FEA040">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56AA6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D48563">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18</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0E21D9">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355779">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69AE67">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2,268.00</w:t>
            </w:r>
          </w:p>
        </w:tc>
      </w:tr>
      <w:tr w14:paraId="38790D99">
        <w:trPr>
          <w:trHeight w:val="26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6DE8DA9A">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173D75">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座椅</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9D808E">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59934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735CB7">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39</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B8971E">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8A5468">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D4F2F2">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2,730.00</w:t>
            </w:r>
          </w:p>
        </w:tc>
      </w:tr>
      <w:tr w14:paraId="3075DA84">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170B7EB3">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0863E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办公家具（小柜）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EC9A2F">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0.5m（小）</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E3E90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 xml:space="preserve">个 </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70417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11</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8C0603">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CF7921">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66D13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616.00</w:t>
            </w:r>
          </w:p>
        </w:tc>
      </w:tr>
      <w:tr w14:paraId="5977128A">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344CCD20">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660FEF">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办公家具（大柜）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7DE5F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长2.8高2.2m</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ED1485">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39100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29A57B">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BE2299">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4202E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1,680.00</w:t>
            </w:r>
          </w:p>
        </w:tc>
      </w:tr>
      <w:tr w14:paraId="57406C86">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480F2D2C">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44C03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办公桌（异形）+配套桌</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8DA4B1">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长2.9米+长1.4米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F3D71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8E8CE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C15390">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AF91B5">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7590CA">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1,960.00</w:t>
            </w:r>
          </w:p>
        </w:tc>
      </w:tr>
      <w:tr w14:paraId="5B8A413D">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5D903408">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291191">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皮椅</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3A86A">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B0C1F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0D6E87">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18</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6166B">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A6FDDB">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65A57B">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2,268.00</w:t>
            </w:r>
          </w:p>
        </w:tc>
      </w:tr>
      <w:tr w14:paraId="53754039">
        <w:trPr>
          <w:trHeight w:val="26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61F5AE07">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23FD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座椅</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F7501B">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C8D61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CA896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20</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06D63E">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55D27A">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7876E0">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1,400.00</w:t>
            </w:r>
          </w:p>
        </w:tc>
      </w:tr>
      <w:tr w14:paraId="1711BADB">
        <w:trPr>
          <w:trHeight w:val="38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542DA42C">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00012D">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沙发（1人位）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3A0957">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85415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27C43A">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9FABF4">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94830A">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73D07B">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420.00</w:t>
            </w:r>
          </w:p>
        </w:tc>
      </w:tr>
      <w:tr w14:paraId="1AA651D8">
        <w:trPr>
          <w:trHeight w:val="41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1E3A1191">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C0AF6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沙发（3人位）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1515EC">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F6D7F9">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C8521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10</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02D02A">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F8CCD9">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D788C2">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3,150.00</w:t>
            </w:r>
          </w:p>
        </w:tc>
      </w:tr>
      <w:tr w14:paraId="394B3C8A">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799E9D5D">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07E71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条形桌</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38D27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长1.4米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FF8A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22E01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FB4F0E">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14CC96">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F9840B">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560.00</w:t>
            </w:r>
          </w:p>
        </w:tc>
      </w:tr>
      <w:tr w14:paraId="1997DCB6">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165E49DD">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445197">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方桌</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FAF16F">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0.7米*0.7米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D188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72A76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8D8C6F">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5172FC">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B526A2">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168.00</w:t>
            </w:r>
          </w:p>
        </w:tc>
      </w:tr>
      <w:tr w14:paraId="6F670728">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71FAED02">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635D1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办公家具（小柜）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F6FC77">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长0.5米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405B8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039B36">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40</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6652AA">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7E1AC0">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D50D2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2,240.00</w:t>
            </w:r>
          </w:p>
        </w:tc>
      </w:tr>
      <w:tr w14:paraId="3F783311">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5E8A6FE2">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F30FB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长办公桌</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AF88F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长4.2米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258A4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358706">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89DFD9">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5D6C8A">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19A268">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770.00</w:t>
            </w:r>
          </w:p>
        </w:tc>
      </w:tr>
      <w:tr w14:paraId="01ECE14F">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014BF15D">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773C9F">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 xml:space="preserve">办公桌 </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5D96A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长1.8米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6A33E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560294">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6</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ADC3B4">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39A55C">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899383">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2,100.00</w:t>
            </w:r>
          </w:p>
        </w:tc>
      </w:tr>
      <w:tr w14:paraId="4ED6B908">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778C4992">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EF56E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办公家具（书柜）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E4FBCA">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宽0.8米，高1.6米(2开门)</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9C262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6FD791">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14</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ADC132">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D98E1C">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D6DB6">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2,940.00</w:t>
            </w:r>
          </w:p>
        </w:tc>
      </w:tr>
      <w:tr w14:paraId="4E512BB0">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1E85408C">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0A102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办公家具（书柜）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199097">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宽1.2米，高1.6米(3开门)</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CB92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83E99">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13</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B65238">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7CF1A2">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4E8BA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4,095.00</w:t>
            </w:r>
          </w:p>
        </w:tc>
      </w:tr>
      <w:tr w14:paraId="615F664C">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1B05CF7D">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F5AC0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办公家具（长条）</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D461A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长1.4米（3开）</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B4165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CA0867">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B160D5">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DCD0AE">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3E5C1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1,400.00</w:t>
            </w:r>
          </w:p>
        </w:tc>
      </w:tr>
      <w:tr w14:paraId="2771D157">
        <w:trPr>
          <w:trHeight w:val="905"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23E45531">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A4FBA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办公家具（4人座工位）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5676F5">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1E4735">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9E8A8F">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7</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363C4E">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B46A8F">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68AAE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1,715.00</w:t>
            </w:r>
          </w:p>
        </w:tc>
      </w:tr>
      <w:tr w14:paraId="37D3D388">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5478CA85">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FE27C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办公家具（长条）</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49863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长1米（2开门）</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AFB6C9">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043B0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5A2920">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E8B4CD">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6CDFD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1,225.00</w:t>
            </w:r>
          </w:p>
        </w:tc>
      </w:tr>
      <w:tr w14:paraId="7FE4B52A">
        <w:trPr>
          <w:trHeight w:val="300" w:hRule="atLeast"/>
          <w:jc w:val="center"/>
        </w:trPr>
        <w:tc>
          <w:tcPr>
            <w:tcW w:w="3780" w:type="dxa"/>
            <w:gridSpan w:val="3"/>
            <w:tcBorders>
              <w:top w:val="single" w:color="000000" w:sz="4" w:space="0"/>
              <w:left w:val="single" w:color="000000" w:sz="4" w:space="0"/>
              <w:bottom w:val="single" w:color="000000" w:sz="4" w:space="0"/>
              <w:right w:val="single" w:color="000000" w:sz="4" w:space="0"/>
            </w:tcBorders>
            <w:noWrap/>
            <w:vAlign w:val="center"/>
          </w:tcPr>
          <w:p w14:paraId="5466EA7D">
            <w:pPr>
              <w:widowControl/>
              <w:ind w:firstLine="361"/>
              <w:jc w:val="both"/>
              <w:textAlignment w:val="center"/>
              <w:rPr>
                <w:rFonts w:hint="eastAsia" w:cs="仿宋"/>
                <w:b/>
                <w:bCs/>
                <w:color w:val="000000"/>
                <w:kern w:val="0"/>
                <w:sz w:val="18"/>
                <w:szCs w:val="18"/>
                <w:lang w:bidi="ar"/>
              </w:rPr>
            </w:pPr>
            <w:r>
              <w:rPr>
                <w:rFonts w:hint="eastAsia" w:cs="仿宋"/>
                <w:b/>
                <w:bCs/>
                <w:color w:val="000000"/>
                <w:kern w:val="0"/>
                <w:sz w:val="18"/>
                <w:szCs w:val="18"/>
                <w:lang w:bidi="ar"/>
              </w:rPr>
              <w:t>合计</w:t>
            </w:r>
          </w:p>
        </w:tc>
        <w:tc>
          <w:tcPr>
            <w:tcW w:w="555" w:type="dxa"/>
            <w:tcBorders>
              <w:top w:val="single" w:color="000000" w:sz="4" w:space="0"/>
              <w:left w:val="single" w:color="000000" w:sz="4" w:space="0"/>
              <w:bottom w:val="single" w:color="000000" w:sz="4" w:space="0"/>
              <w:right w:val="single" w:color="000000" w:sz="4" w:space="0"/>
            </w:tcBorders>
            <w:noWrap/>
            <w:vAlign w:val="center"/>
          </w:tcPr>
          <w:p w14:paraId="0B3E8E56">
            <w:pPr>
              <w:widowControl/>
              <w:ind w:firstLine="361"/>
              <w:jc w:val="both"/>
              <w:textAlignment w:val="center"/>
              <w:rPr>
                <w:rFonts w:hint="eastAsia" w:cs="仿宋"/>
                <w:b/>
                <w:bCs/>
                <w:color w:val="000000"/>
                <w:kern w:val="0"/>
                <w:sz w:val="18"/>
                <w:szCs w:val="18"/>
                <w:lang w:bidi="ar"/>
              </w:rPr>
            </w:pPr>
          </w:p>
        </w:tc>
        <w:tc>
          <w:tcPr>
            <w:tcW w:w="660" w:type="dxa"/>
            <w:tcBorders>
              <w:top w:val="single" w:color="000000" w:sz="4" w:space="0"/>
              <w:left w:val="single" w:color="000000" w:sz="4" w:space="0"/>
              <w:bottom w:val="single" w:color="000000" w:sz="4" w:space="0"/>
              <w:right w:val="single" w:color="000000" w:sz="4" w:space="0"/>
            </w:tcBorders>
            <w:noWrap/>
            <w:vAlign w:val="center"/>
          </w:tcPr>
          <w:p w14:paraId="79E7334F">
            <w:pPr>
              <w:widowControl/>
              <w:ind w:firstLine="361"/>
              <w:jc w:val="both"/>
              <w:textAlignment w:val="center"/>
              <w:rPr>
                <w:rFonts w:hint="eastAsia" w:cs="仿宋"/>
                <w:b/>
                <w:bCs/>
                <w:color w:val="000000"/>
                <w:kern w:val="0"/>
                <w:sz w:val="18"/>
                <w:szCs w:val="18"/>
                <w:highlight w:val="yellow"/>
                <w:lang w:bidi="ar"/>
              </w:rPr>
            </w:pP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5A85523">
            <w:pPr>
              <w:widowControl/>
              <w:ind w:firstLine="361"/>
              <w:jc w:val="both"/>
              <w:textAlignment w:val="center"/>
              <w:rPr>
                <w:rFonts w:hint="eastAsia" w:cs="仿宋"/>
                <w:b/>
                <w:bCs/>
                <w:color w:val="000000"/>
                <w:kern w:val="0"/>
                <w:sz w:val="18"/>
                <w:szCs w:val="18"/>
                <w:highlight w:val="yellow"/>
                <w:lang w:bidi="ar"/>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5D6E7E0">
            <w:pPr>
              <w:widowControl/>
              <w:ind w:firstLine="361"/>
              <w:jc w:val="both"/>
              <w:textAlignment w:val="center"/>
              <w:rPr>
                <w:rFonts w:hint="eastAsia" w:cs="仿宋"/>
                <w:b/>
                <w:bCs/>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14:paraId="708A2CC7">
            <w:pPr>
              <w:widowControl/>
              <w:ind w:firstLine="0" w:firstLineChars="0"/>
              <w:jc w:val="center"/>
              <w:textAlignment w:val="center"/>
              <w:rPr>
                <w:rFonts w:hint="eastAsia" w:cs="仿宋"/>
                <w:b/>
                <w:bCs/>
                <w:color w:val="000000"/>
                <w:kern w:val="0"/>
                <w:sz w:val="18"/>
                <w:szCs w:val="18"/>
                <w:lang w:bidi="ar"/>
              </w:rPr>
            </w:pPr>
            <w:r>
              <w:rPr>
                <w:rFonts w:hint="eastAsia" w:cs="仿宋"/>
                <w:b/>
                <w:bCs/>
                <w:color w:val="000000"/>
                <w:kern w:val="0"/>
                <w:sz w:val="18"/>
                <w:szCs w:val="18"/>
                <w:lang w:bidi="ar"/>
              </w:rPr>
              <w:t>53,130.00</w:t>
            </w:r>
          </w:p>
        </w:tc>
      </w:tr>
    </w:tbl>
    <w:p w14:paraId="531A13B6">
      <w:pPr>
        <w:spacing w:line="440" w:lineRule="exact"/>
        <w:ind w:left="0" w:leftChars="0" w:firstLine="0" w:firstLineChars="0"/>
        <w:rPr>
          <w:rFonts w:hint="eastAsia" w:cs="仿宋"/>
          <w:b/>
          <w:bCs/>
          <w:color w:val="000000" w:themeColor="text1"/>
          <w:kern w:val="0"/>
          <w:sz w:val="24"/>
          <w:szCs w:val="24"/>
          <w14:textFill>
            <w14:solidFill>
              <w14:schemeClr w14:val="tx1"/>
            </w14:solidFill>
          </w14:textFill>
        </w:rPr>
      </w:pPr>
    </w:p>
    <w:p w14:paraId="2A731BCA">
      <w:pPr>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4、机械设备</w:t>
      </w:r>
    </w:p>
    <w:p w14:paraId="1CFDD2BA">
      <w:pPr>
        <w:spacing w:line="440" w:lineRule="exact"/>
        <w:ind w:firstLine="480"/>
        <w:rPr>
          <w:rFonts w:hint="eastAsia" w:cs="仿宋"/>
          <w:b w:val="0"/>
          <w:bCs w:val="0"/>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本次拍卖的机器设备具体如下：2个配电房，各400KVA（评估报告体现为配电柜1套，规格型号为4</w:t>
      </w:r>
      <w:r>
        <w:rPr>
          <w:rFonts w:cs="仿宋"/>
          <w:color w:val="000000" w:themeColor="text1"/>
          <w:kern w:val="0"/>
          <w:sz w:val="24"/>
          <w:szCs w:val="24"/>
          <w14:textFill>
            <w14:solidFill>
              <w14:schemeClr w14:val="tx1"/>
            </w14:solidFill>
          </w14:textFill>
        </w:rPr>
        <w:t>00KVA,</w:t>
      </w:r>
      <w:r>
        <w:rPr>
          <w:rFonts w:hint="eastAsia" w:cs="仿宋"/>
          <w:color w:val="000000" w:themeColor="text1"/>
          <w:kern w:val="0"/>
          <w:sz w:val="24"/>
          <w:szCs w:val="24"/>
          <w14:textFill>
            <w14:solidFill>
              <w14:schemeClr w14:val="tx1"/>
            </w14:solidFill>
          </w14:textFill>
        </w:rPr>
        <w:t>购入时间为2</w:t>
      </w:r>
      <w:r>
        <w:rPr>
          <w:rFonts w:cs="仿宋"/>
          <w:color w:val="000000" w:themeColor="text1"/>
          <w:kern w:val="0"/>
          <w:sz w:val="24"/>
          <w:szCs w:val="24"/>
          <w14:textFill>
            <w14:solidFill>
              <w14:schemeClr w14:val="tx1"/>
            </w14:solidFill>
          </w14:textFill>
        </w:rPr>
        <w:t>014</w:t>
      </w:r>
      <w:r>
        <w:rPr>
          <w:rFonts w:hint="eastAsia" w:cs="仿宋"/>
          <w:color w:val="000000" w:themeColor="text1"/>
          <w:kern w:val="0"/>
          <w:sz w:val="24"/>
          <w:szCs w:val="24"/>
          <w14:textFill>
            <w14:solidFill>
              <w14:schemeClr w14:val="tx1"/>
            </w14:solidFill>
          </w14:textFill>
        </w:rPr>
        <w:t>年7月1日；变压器1套，规格型号为Z</w:t>
      </w:r>
      <w:r>
        <w:rPr>
          <w:rFonts w:cs="仿宋"/>
          <w:color w:val="000000" w:themeColor="text1"/>
          <w:kern w:val="0"/>
          <w:sz w:val="24"/>
          <w:szCs w:val="24"/>
          <w14:textFill>
            <w14:solidFill>
              <w14:schemeClr w14:val="tx1"/>
            </w14:solidFill>
          </w14:textFill>
        </w:rPr>
        <w:t>BW-10/400,</w:t>
      </w:r>
      <w:r>
        <w:rPr>
          <w:rFonts w:hint="eastAsia" w:cs="仿宋"/>
          <w:color w:val="000000" w:themeColor="text1"/>
          <w:kern w:val="0"/>
          <w:sz w:val="24"/>
          <w:szCs w:val="24"/>
          <w14:textFill>
            <w14:solidFill>
              <w14:schemeClr w14:val="tx1"/>
            </w14:solidFill>
          </w14:textFill>
        </w:rPr>
        <w:t>购入时间为2</w:t>
      </w:r>
      <w:r>
        <w:rPr>
          <w:rFonts w:cs="仿宋"/>
          <w:color w:val="000000" w:themeColor="text1"/>
          <w:kern w:val="0"/>
          <w:sz w:val="24"/>
          <w:szCs w:val="24"/>
          <w14:textFill>
            <w14:solidFill>
              <w14:schemeClr w14:val="tx1"/>
            </w14:solidFill>
          </w14:textFill>
        </w:rPr>
        <w:t>012</w:t>
      </w:r>
      <w:r>
        <w:rPr>
          <w:rFonts w:hint="eastAsia" w:cs="仿宋"/>
          <w:color w:val="000000" w:themeColor="text1"/>
          <w:kern w:val="0"/>
          <w:sz w:val="24"/>
          <w:szCs w:val="24"/>
          <w14:textFill>
            <w14:solidFill>
              <w14:schemeClr w14:val="tx1"/>
            </w14:solidFill>
          </w14:textFill>
        </w:rPr>
        <w:t>年3月1日）；电动收缩门2个，规格型号为明珠8号，购入时间为2</w:t>
      </w:r>
      <w:r>
        <w:rPr>
          <w:rFonts w:cs="仿宋"/>
          <w:color w:val="000000" w:themeColor="text1"/>
          <w:kern w:val="0"/>
          <w:sz w:val="24"/>
          <w:szCs w:val="24"/>
          <w14:textFill>
            <w14:solidFill>
              <w14:schemeClr w14:val="tx1"/>
            </w14:solidFill>
          </w14:textFill>
        </w:rPr>
        <w:t>013</w:t>
      </w:r>
      <w:r>
        <w:rPr>
          <w:rFonts w:hint="eastAsia" w:cs="仿宋"/>
          <w:color w:val="000000" w:themeColor="text1"/>
          <w:kern w:val="0"/>
          <w:sz w:val="24"/>
          <w:szCs w:val="24"/>
          <w14:textFill>
            <w14:solidFill>
              <w14:schemeClr w14:val="tx1"/>
            </w14:solidFill>
          </w14:textFill>
        </w:rPr>
        <w:t>年4月3</w:t>
      </w:r>
      <w:r>
        <w:rPr>
          <w:rFonts w:cs="仿宋"/>
          <w:color w:val="000000" w:themeColor="text1"/>
          <w:kern w:val="0"/>
          <w:sz w:val="24"/>
          <w:szCs w:val="24"/>
          <w14:textFill>
            <w14:solidFill>
              <w14:schemeClr w14:val="tx1"/>
            </w14:solidFill>
          </w14:textFill>
        </w:rPr>
        <w:t>0</w:t>
      </w:r>
      <w:r>
        <w:rPr>
          <w:rFonts w:hint="eastAsia" w:cs="仿宋"/>
          <w:color w:val="000000" w:themeColor="text1"/>
          <w:kern w:val="0"/>
          <w:sz w:val="24"/>
          <w:szCs w:val="24"/>
          <w14:textFill>
            <w14:solidFill>
              <w14:schemeClr w14:val="tx1"/>
            </w14:solidFill>
          </w14:textFill>
        </w:rPr>
        <w:t>日。另外，1部电梯、1个电动门、1部升降机包含在建筑物价值范围内，未单独作价。</w:t>
      </w:r>
      <w:r>
        <w:rPr>
          <w:rFonts w:hint="eastAsia" w:cs="仿宋"/>
          <w:sz w:val="24"/>
          <w:szCs w:val="24"/>
        </w:rPr>
        <w:t>管理人不能保证</w:t>
      </w:r>
      <w:r>
        <w:rPr>
          <w:rFonts w:hint="eastAsia" w:cs="仿宋"/>
          <w:color w:val="000000" w:themeColor="text1"/>
          <w:kern w:val="0"/>
          <w:sz w:val="24"/>
          <w:szCs w:val="24"/>
          <w14:textFill>
            <w14:solidFill>
              <w14:schemeClr w14:val="tx1"/>
            </w14:solidFill>
          </w14:textFill>
        </w:rPr>
        <w:t>上述机器设备</w:t>
      </w:r>
      <w:r>
        <w:rPr>
          <w:rFonts w:hint="eastAsia" w:cs="仿宋"/>
          <w:sz w:val="24"/>
          <w:szCs w:val="24"/>
        </w:rPr>
        <w:t>的完整性、完好性和安全性，不能保证设备能够正常使用，亦不提供任何形式的售后服务。机器设备评估价值为99000元。</w:t>
      </w:r>
    </w:p>
    <w:p w14:paraId="5089E1D7">
      <w:pPr>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（三）标的物现状</w:t>
      </w:r>
    </w:p>
    <w:p w14:paraId="54A9DEC1">
      <w:pPr>
        <w:spacing w:line="440" w:lineRule="exact"/>
        <w:ind w:firstLine="480"/>
        <w:rPr>
          <w:rFonts w:hint="eastAsia" w:cs="Helvetica"/>
          <w:color w:val="000000" w:themeColor="text1"/>
          <w:kern w:val="0"/>
          <w:sz w:val="24"/>
          <w:szCs w:val="24"/>
          <w14:textFill>
            <w14:solidFill>
              <w14:schemeClr w14:val="tx1"/>
            </w14:solidFill>
          </w14:textFill>
        </w:rPr>
      </w:pPr>
      <w:r>
        <w:rPr>
          <w:rFonts w:hint="eastAsia" w:cs="Helvetica"/>
          <w:color w:val="000000" w:themeColor="text1"/>
          <w:kern w:val="0"/>
          <w:sz w:val="24"/>
          <w:szCs w:val="24"/>
          <w14:textFill>
            <w14:solidFill>
              <w14:schemeClr w14:val="tx1"/>
            </w14:solidFill>
          </w14:textFill>
        </w:rPr>
        <w:t>1、经2025年8月现场初步查勘，目前厂区处于租赁状态，所在建筑物配备水电、讯、消防设施等，部分配有电梯，部分楼栋无电梯，维护保养状况一般。</w:t>
      </w:r>
    </w:p>
    <w:p w14:paraId="13D3704D">
      <w:pPr>
        <w:widowControl/>
        <w:spacing w:line="400" w:lineRule="exact"/>
        <w:ind w:firstLine="480"/>
        <w:rPr>
          <w:rFonts w:hint="eastAsia" w:cs="Helvetica"/>
          <w:color w:val="000000" w:themeColor="text1"/>
          <w:kern w:val="0"/>
          <w:sz w:val="24"/>
          <w:szCs w:val="24"/>
          <w14:textFill>
            <w14:solidFill>
              <w14:schemeClr w14:val="tx1"/>
            </w14:solidFill>
          </w14:textFill>
        </w:rPr>
      </w:pPr>
      <w:r>
        <w:rPr>
          <w:rFonts w:hint="eastAsia" w:cs="Helvetica"/>
          <w:color w:val="000000" w:themeColor="text1"/>
          <w:kern w:val="0"/>
          <w:sz w:val="24"/>
          <w:szCs w:val="24"/>
          <w14:textFill>
            <w14:solidFill>
              <w14:schemeClr w14:val="tx1"/>
            </w14:solidFill>
          </w14:textFill>
        </w:rPr>
        <w:t>2、租赁情况：截至2025年8月27日，本次拍卖标的物中，处于出租状态的面积共计401</w:t>
      </w:r>
      <w:r>
        <w:rPr>
          <w:rFonts w:hint="eastAsia" w:cs="Helvetica"/>
          <w:color w:val="000000" w:themeColor="text1"/>
          <w:kern w:val="0"/>
          <w:sz w:val="24"/>
          <w:szCs w:val="24"/>
          <w:lang w:val="en-US" w:eastAsia="zh-CN"/>
          <w14:textFill>
            <w14:solidFill>
              <w14:schemeClr w14:val="tx1"/>
            </w14:solidFill>
          </w14:textFill>
        </w:rPr>
        <w:t>83</w:t>
      </w:r>
      <w:r>
        <w:rPr>
          <w:rFonts w:hint="eastAsia" w:cs="Helvetica"/>
          <w:color w:val="000000" w:themeColor="text1"/>
          <w:kern w:val="0"/>
          <w:sz w:val="24"/>
          <w:szCs w:val="24"/>
          <w14:textFill>
            <w14:solidFill>
              <w14:schemeClr w14:val="tx1"/>
            </w14:solidFill>
          </w14:textFill>
        </w:rPr>
        <w:t>.04㎡。相关租赁详情可参考附件《凯尔特新厂区租赁详情表》，但该附件内容仅供参考，最终以标的物交付时的实际租赁状态为准。若附件记载的租赁面积、期限、租金等信息与实际不符，一律以租赁合同约定或实际租赁现状为准。租赁合同可联系拍卖公司或管理人线下查询。请买受人在拍卖前自行核实标的物的区域划分、使用状况、租金标准等全部信息。拍卖成交后，买受人须无条件接受标的物现有实物状态及租赁条件。租赁相关的权益（含租金等）与风险（含物业费等），以买受人与管理人签订《拍卖成交确认书》《移交确认书》</w:t>
      </w:r>
      <w:r>
        <w:rPr>
          <w:rFonts w:hint="eastAsia" w:cs="Helvetica"/>
          <w:color w:val="000000" w:themeColor="text1"/>
          <w:kern w:val="0"/>
          <w:sz w:val="24"/>
          <w:szCs w:val="24"/>
          <w:lang w:val="en-US" w:eastAsia="zh-CN"/>
          <w14:textFill>
            <w14:solidFill>
              <w14:schemeClr w14:val="tx1"/>
            </w14:solidFill>
          </w14:textFill>
        </w:rPr>
        <w:t>次日</w:t>
      </w:r>
      <w:r>
        <w:rPr>
          <w:rFonts w:hint="eastAsia" w:cs="Helvetica"/>
          <w:color w:val="000000" w:themeColor="text1"/>
          <w:kern w:val="0"/>
          <w:sz w:val="24"/>
          <w:szCs w:val="24"/>
          <w14:textFill>
            <w14:solidFill>
              <w14:schemeClr w14:val="tx1"/>
            </w14:solidFill>
          </w14:textFill>
        </w:rPr>
        <w:t>为分界点转移。租赁期届满后，买受人可选择收回房屋或与原承租人协商续租，管理人对此不承担任何责任。</w:t>
      </w:r>
    </w:p>
    <w:p w14:paraId="3187F9D0">
      <w:pPr>
        <w:widowControl/>
        <w:spacing w:line="440" w:lineRule="exact"/>
        <w:ind w:firstLine="482"/>
        <w:rPr>
          <w:rFonts w:hint="eastAsia" w:cs="仿宋"/>
          <w:b/>
          <w:bCs/>
          <w:color w:val="FF0000"/>
          <w:kern w:val="0"/>
          <w:sz w:val="24"/>
          <w:szCs w:val="24"/>
        </w:rPr>
      </w:pPr>
      <w:r>
        <w:rPr>
          <w:rFonts w:hint="eastAsia" w:cs="仿宋"/>
          <w:b/>
          <w:bCs/>
          <w:color w:val="FF0000"/>
          <w:kern w:val="0"/>
          <w:sz w:val="24"/>
          <w:szCs w:val="24"/>
        </w:rPr>
        <w:t>（四）标的物瑕疵提示：标的存在以下提及和未提及的瑕疵，相关瑕疵由竞买人在拍卖开始前自行了解，查验、评估风险。</w:t>
      </w:r>
    </w:p>
    <w:p w14:paraId="4887711C">
      <w:pPr>
        <w:pStyle w:val="7"/>
        <w:numPr>
          <w:ilvl w:val="0"/>
          <w:numId w:val="2"/>
        </w:numPr>
        <w:spacing w:before="0" w:beforeAutospacing="0" w:after="0" w:afterAutospacing="0" w:line="440" w:lineRule="exact"/>
        <w:ind w:firstLine="482"/>
        <w:jc w:val="both"/>
        <w:rPr>
          <w:rFonts w:hint="eastAsia" w:cs="仿宋"/>
          <w:color w:val="000000"/>
        </w:rPr>
      </w:pPr>
      <w:r>
        <w:rPr>
          <w:rFonts w:hint="eastAsia" w:cs="仿宋"/>
          <w:b/>
          <w:bCs/>
          <w:color w:val="000000"/>
        </w:rPr>
        <w:t>标的物有抵押或查封，拍卖成交后由管理人协助买受人到相关部门办理解押或解封手续。</w:t>
      </w:r>
      <w:r>
        <w:rPr>
          <w:rFonts w:hint="eastAsia" w:cs="仿宋"/>
          <w:color w:val="000000"/>
        </w:rPr>
        <w:t>因标的物现状及存在瑕疵等原因不能或者延迟办理过户手续造成的费用增加等情况后果自负，管理人不作过户的任何承诺。</w:t>
      </w:r>
      <w:r>
        <w:rPr>
          <w:rFonts w:hint="eastAsia" w:cs="仿宋"/>
          <w:color w:val="000000"/>
          <w:lang w:eastAsia="zh-Hans"/>
        </w:rPr>
        <w:t>因该标的物存在抵押和查封</w:t>
      </w:r>
      <w:r>
        <w:rPr>
          <w:rFonts w:cs="仿宋"/>
          <w:color w:val="000000"/>
          <w:lang w:eastAsia="zh-Hans"/>
        </w:rPr>
        <w:t>，</w:t>
      </w:r>
      <w:r>
        <w:rPr>
          <w:rFonts w:hint="eastAsia" w:cs="仿宋"/>
          <w:b/>
          <w:bCs/>
          <w:color w:val="000000"/>
        </w:rPr>
        <w:t>管理人办理标的物权属变更登记前需办理解押或解封手续</w:t>
      </w:r>
      <w:r>
        <w:rPr>
          <w:rFonts w:cs="仿宋"/>
          <w:b/>
          <w:bCs/>
          <w:color w:val="000000"/>
        </w:rPr>
        <w:t>，</w:t>
      </w:r>
      <w:r>
        <w:rPr>
          <w:rFonts w:hint="eastAsia" w:cs="仿宋"/>
          <w:b/>
          <w:bCs/>
          <w:color w:val="000000"/>
        </w:rPr>
        <w:t>办理权属变更登记的时间将会延长</w:t>
      </w:r>
      <w:r>
        <w:rPr>
          <w:rFonts w:cs="仿宋"/>
          <w:b/>
          <w:bCs/>
          <w:color w:val="000000"/>
        </w:rPr>
        <w:t>，</w:t>
      </w:r>
      <w:r>
        <w:rPr>
          <w:rFonts w:hint="eastAsia" w:cs="仿宋"/>
          <w:b/>
          <w:bCs/>
          <w:color w:val="000000"/>
        </w:rPr>
        <w:t>管理人不承诺完成权属变更登记的具体时间，请竞买人在竞买之前充分调查了解、评估相应风险，</w:t>
      </w:r>
      <w:r>
        <w:rPr>
          <w:rFonts w:hint="eastAsia" w:cs="仿宋"/>
          <w:color w:val="000000"/>
        </w:rPr>
        <w:t>综合考虑时间、资金成本等问题，买受人自行承担由此产生的相应责任与风险，拍卖成交价不作调整，人民法院、管理人、债务人、拍卖辅助机构均不对此承担责任。</w:t>
      </w:r>
    </w:p>
    <w:p w14:paraId="0F0B2321">
      <w:pPr>
        <w:pStyle w:val="14"/>
        <w:widowControl/>
        <w:numPr>
          <w:ilvl w:val="0"/>
          <w:numId w:val="2"/>
        </w:numPr>
        <w:spacing w:line="440" w:lineRule="exact"/>
        <w:ind w:firstLine="482"/>
        <w:rPr>
          <w:rFonts w:hint="eastAsia" w:cs="仿宋"/>
          <w:color w:val="000000"/>
          <w:sz w:val="24"/>
          <w:szCs w:val="24"/>
        </w:rPr>
      </w:pPr>
      <w:r>
        <w:rPr>
          <w:rFonts w:hint="eastAsia" w:cs="仿宋"/>
          <w:b/>
          <w:bCs/>
          <w:color w:val="000000"/>
          <w:sz w:val="24"/>
          <w:szCs w:val="24"/>
        </w:rPr>
        <w:t>本次拍卖标的物按现状进行整体拍卖，</w:t>
      </w:r>
      <w:r>
        <w:rPr>
          <w:rFonts w:hint="eastAsia" w:cs="仿宋"/>
          <w:b/>
          <w:color w:val="000000"/>
          <w:sz w:val="24"/>
          <w:szCs w:val="24"/>
        </w:rPr>
        <w:t>若拍卖成交，买受人按照标的物财产的现状（交付时的实物现状和权利现状）取得标的物。</w:t>
      </w:r>
      <w:r>
        <w:rPr>
          <w:rFonts w:hint="eastAsia" w:cs="仿宋"/>
          <w:color w:val="000000"/>
          <w:sz w:val="24"/>
          <w:szCs w:val="24"/>
        </w:rPr>
        <w:t>买受人自行承担所有权利瑕疵、质量瑕疵、拍卖信息与房屋现状不一致、腾空交付、税费承担、发票开具、过户不能等风险，买受人充分知悉该风险，拍卖成交价不做调整。</w:t>
      </w:r>
    </w:p>
    <w:p w14:paraId="394F684E">
      <w:pPr>
        <w:pStyle w:val="14"/>
        <w:widowControl/>
        <w:numPr>
          <w:ilvl w:val="0"/>
          <w:numId w:val="2"/>
        </w:numPr>
        <w:spacing w:line="440" w:lineRule="exact"/>
        <w:ind w:firstLineChars="0"/>
        <w:rPr>
          <w:rFonts w:hint="eastAsia" w:cs="仿宋"/>
          <w:color w:val="000000"/>
          <w:sz w:val="24"/>
          <w:szCs w:val="24"/>
        </w:rPr>
      </w:pPr>
      <w:r>
        <w:rPr>
          <w:rFonts w:hint="eastAsia" w:cs="仿宋"/>
          <w:color w:val="000000"/>
          <w:sz w:val="24"/>
          <w:szCs w:val="24"/>
        </w:rPr>
        <w:t>土地规划图显示，拍卖标的地块内有公厕及垃圾站规划，目前该区域被重庆万通职业学校和车驾管社会服务站使用。拍卖成交后，相关部门可能收回该房屋，按规划用作公厕和垃圾站。请竞买人前往相关职能部门详细了解情况，自行评估风险。</w:t>
      </w:r>
    </w:p>
    <w:p w14:paraId="36613E78">
      <w:pPr>
        <w:pStyle w:val="14"/>
        <w:widowControl/>
        <w:numPr>
          <w:ilvl w:val="0"/>
          <w:numId w:val="2"/>
        </w:numPr>
        <w:spacing w:line="440" w:lineRule="exact"/>
        <w:ind w:firstLineChars="0"/>
        <w:rPr>
          <w:rFonts w:hint="eastAsia" w:cs="仿宋"/>
          <w:color w:val="000000"/>
          <w:sz w:val="24"/>
          <w:szCs w:val="24"/>
        </w:rPr>
      </w:pPr>
      <w:r>
        <w:rPr>
          <w:rFonts w:hint="eastAsia" w:cs="仿宋"/>
          <w:color w:val="000000"/>
          <w:sz w:val="24"/>
          <w:szCs w:val="24"/>
        </w:rPr>
        <w:t>厂区内有11栋有证建筑物，另外有无证房的可能，修建的无证房有违建的可能（包括不限于超出宗地图红线的情况），且厂区内存在使用面积超出红线范围的情形，</w:t>
      </w:r>
      <w:r>
        <w:rPr>
          <w:rFonts w:cs="仿宋"/>
          <w:color w:val="000000"/>
          <w:sz w:val="24"/>
          <w:szCs w:val="24"/>
        </w:rPr>
        <w:t>拍卖成交后可能出现因其违章建筑等原因被强行拆除、被罚款、补缴税费等风险，请意向竞买人在拍卖开始前自行向相关部门、人员了解标的存在的现状和瑕疵并评估风险。拍卖成交后的诉讼纠纷或其他风险等均由买受人自行承担。</w:t>
      </w:r>
    </w:p>
    <w:p w14:paraId="4BA65C08">
      <w:pPr>
        <w:pStyle w:val="14"/>
        <w:widowControl/>
        <w:numPr>
          <w:ilvl w:val="0"/>
          <w:numId w:val="2"/>
        </w:numPr>
        <w:spacing w:line="440" w:lineRule="exact"/>
        <w:ind w:firstLineChars="0"/>
        <w:rPr>
          <w:rFonts w:hint="eastAsia" w:cs="Helvetica"/>
          <w:bCs/>
          <w:color w:val="000000" w:themeColor="text1"/>
          <w:sz w:val="24"/>
          <w:szCs w:val="24"/>
          <w14:textFill>
            <w14:solidFill>
              <w14:schemeClr w14:val="tx1"/>
            </w14:solidFill>
          </w14:textFill>
        </w:rPr>
      </w:pPr>
      <w:r>
        <w:rPr>
          <w:rFonts w:hint="eastAsia" w:cs="Helvetica"/>
          <w:bCs/>
          <w:color w:val="000000" w:themeColor="text1"/>
          <w:sz w:val="24"/>
          <w:szCs w:val="24"/>
          <w14:textFill>
            <w14:solidFill>
              <w14:schemeClr w14:val="tx1"/>
            </w14:solidFill>
          </w14:textFill>
        </w:rPr>
        <w:t>标的物室内结构有可能存在改动的情况，拍卖成交后若涉及标的物结构恢复所产生的相关费用（包括但不限于测绘费、材料费和人工费等）均由买受人自行承担。因标的物室内结构发生变化产生的相应风险，由买受人自行核实、解决并承担相应风险责任。请竞买人务必实地看样了解标的现状，知晓并承诺自行承担相关风险和责任。</w:t>
      </w:r>
    </w:p>
    <w:p w14:paraId="482581F6">
      <w:pPr>
        <w:pStyle w:val="14"/>
        <w:widowControl/>
        <w:numPr>
          <w:ilvl w:val="0"/>
          <w:numId w:val="2"/>
        </w:numPr>
        <w:spacing w:line="440" w:lineRule="exact"/>
        <w:ind w:firstLineChars="0"/>
        <w:rPr>
          <w:rFonts w:hint="eastAsia" w:cs="Helvetica"/>
          <w:bCs/>
          <w:color w:val="000000" w:themeColor="text1"/>
          <w:sz w:val="24"/>
          <w:szCs w:val="24"/>
          <w14:textFill>
            <w14:solidFill>
              <w14:schemeClr w14:val="tx1"/>
            </w14:solidFill>
          </w14:textFill>
        </w:rPr>
      </w:pPr>
      <w:r>
        <w:rPr>
          <w:rFonts w:cs="仿宋"/>
          <w:color w:val="000000"/>
          <w:sz w:val="24"/>
          <w:szCs w:val="24"/>
        </w:rPr>
        <w:t>标的具体坐落、现状、土地区域、位置、面积及房屋用途等相关信息来源于不动产登记权属证书及</w:t>
      </w:r>
      <w:r>
        <w:rPr>
          <w:rFonts w:hint="eastAsia" w:cs="仿宋"/>
          <w:color w:val="000000"/>
          <w:sz w:val="24"/>
          <w:szCs w:val="24"/>
          <w:lang w:val="en-US" w:eastAsia="zh-CN"/>
        </w:rPr>
        <w:t>资产</w:t>
      </w:r>
      <w:r>
        <w:rPr>
          <w:rFonts w:hint="eastAsia" w:cs="仿宋"/>
          <w:color w:val="000000"/>
          <w:sz w:val="24"/>
          <w:szCs w:val="24"/>
        </w:rPr>
        <w:t>评估报告</w:t>
      </w:r>
      <w:r>
        <w:rPr>
          <w:rFonts w:cs="仿宋"/>
          <w:color w:val="000000"/>
          <w:sz w:val="24"/>
          <w:szCs w:val="24"/>
        </w:rPr>
        <w:t>，</w:t>
      </w:r>
      <w:r>
        <w:rPr>
          <w:rFonts w:hint="eastAsia" w:cs="Helvetica"/>
          <w:bCs/>
          <w:color w:val="000000" w:themeColor="text1"/>
          <w:sz w:val="24"/>
          <w:szCs w:val="24"/>
          <w14:textFill>
            <w14:solidFill>
              <w14:schemeClr w14:val="tx1"/>
            </w14:solidFill>
          </w14:textFill>
        </w:rPr>
        <w:t>若资产评估报告、相关附件和拍卖明细表上所载地址与最终实际标的不符，最终面积、坐落位置、用途等权属信息以当地国土房管部门最终核定为准，拍卖成交价不作调整。</w:t>
      </w:r>
    </w:p>
    <w:p w14:paraId="61F79926">
      <w:pPr>
        <w:widowControl/>
        <w:spacing w:line="440" w:lineRule="exact"/>
        <w:ind w:firstLine="480"/>
        <w:rPr>
          <w:rFonts w:hint="eastAsia" w:cs="Helvetica"/>
          <w:bCs/>
          <w:color w:val="000000" w:themeColor="text1"/>
          <w:sz w:val="24"/>
          <w:szCs w:val="24"/>
          <w14:textFill>
            <w14:solidFill>
              <w14:schemeClr w14:val="tx1"/>
            </w14:solidFill>
          </w14:textFill>
        </w:rPr>
      </w:pPr>
      <w:r>
        <w:rPr>
          <w:rFonts w:hint="eastAsia" w:cs="Helvetica"/>
          <w:bCs/>
          <w:color w:val="000000" w:themeColor="text1"/>
          <w:sz w:val="24"/>
          <w:szCs w:val="24"/>
          <w:lang w:val="en-US" w:eastAsia="zh-CN"/>
          <w14:textFill>
            <w14:solidFill>
              <w14:schemeClr w14:val="tx1"/>
            </w14:solidFill>
          </w14:textFill>
        </w:rPr>
        <w:t>7</w:t>
      </w:r>
      <w:r>
        <w:rPr>
          <w:rFonts w:hint="eastAsia" w:cs="Helvetica"/>
          <w:bCs/>
          <w:color w:val="000000" w:themeColor="text1"/>
          <w:sz w:val="24"/>
          <w:szCs w:val="24"/>
          <w14:textFill>
            <w14:solidFill>
              <w14:schemeClr w14:val="tx1"/>
            </w14:solidFill>
          </w14:textFill>
        </w:rPr>
        <w:t>、本次拍卖公告所披露的标的物的内容、照片及视频仅供参考，最终以现场实物为准，请竞买人务必自行实地查勘。</w:t>
      </w:r>
    </w:p>
    <w:p w14:paraId="14555846">
      <w:pPr>
        <w:spacing w:line="440" w:lineRule="exact"/>
        <w:ind w:firstLine="482"/>
        <w:rPr>
          <w:rFonts w:hint="eastAsia" w:cs="仿宋"/>
          <w:sz w:val="24"/>
          <w:szCs w:val="24"/>
        </w:rPr>
      </w:pPr>
      <w:r>
        <w:rPr>
          <w:rFonts w:hint="eastAsia" w:cs="仿宋"/>
          <w:b/>
          <w:bCs/>
          <w:color w:val="FF0000"/>
          <w:sz w:val="24"/>
          <w:szCs w:val="24"/>
          <w:lang w:val="en-US" w:eastAsia="zh-CN"/>
        </w:rPr>
        <w:t>8</w:t>
      </w:r>
      <w:r>
        <w:rPr>
          <w:rFonts w:hint="eastAsia" w:cs="仿宋"/>
          <w:b/>
          <w:bCs/>
          <w:color w:val="FF0000"/>
          <w:sz w:val="24"/>
          <w:szCs w:val="24"/>
        </w:rPr>
        <w:t>、竞买人在拍卖前务必向工商、国土、房管、规划、园区管委会等相关政府部门，对拍卖标的需注意的事项包括但不限于买受人资格、产业要求、资质维持与使用要求（如有）、财务延续、准入条件、项目变更登记、欠付的费用等进行咨询确认，自行评价和承担拍卖标的所涉全部风险，管理人不作其他的任何承诺。若因上述原因导致标的资产无法过户、或需补缴相关费用的，由买受人自行承担。</w:t>
      </w:r>
    </w:p>
    <w:p w14:paraId="29283618">
      <w:pPr>
        <w:spacing w:line="440" w:lineRule="exact"/>
        <w:ind w:firstLine="480"/>
        <w:rPr>
          <w:rFonts w:hint="eastAsia" w:cs="仿宋"/>
          <w:sz w:val="24"/>
          <w:szCs w:val="24"/>
        </w:rPr>
      </w:pPr>
      <w:r>
        <w:rPr>
          <w:rFonts w:hint="eastAsia" w:cs="仿宋"/>
          <w:sz w:val="24"/>
          <w:szCs w:val="24"/>
          <w:lang w:val="en-US" w:eastAsia="zh-CN"/>
        </w:rPr>
        <w:t>9</w:t>
      </w:r>
      <w:r>
        <w:rPr>
          <w:rFonts w:hint="eastAsia" w:cs="仿宋"/>
          <w:sz w:val="24"/>
          <w:szCs w:val="24"/>
        </w:rPr>
        <w:t>、其余隐性的瑕疵和风险均由买受人自行调查了解并承担。</w:t>
      </w:r>
    </w:p>
    <w:p w14:paraId="06B00732">
      <w:pPr>
        <w:pStyle w:val="7"/>
        <w:spacing w:beforeAutospacing="0" w:afterAutospacing="0" w:line="440" w:lineRule="exact"/>
        <w:ind w:firstLine="482"/>
        <w:rPr>
          <w:rFonts w:hint="eastAsia" w:cs="仿宋"/>
          <w:color w:val="000000" w:themeColor="text1"/>
          <w:szCs w:val="24"/>
          <w14:textFill>
            <w14:solidFill>
              <w14:schemeClr w14:val="tx1"/>
            </w14:solidFill>
          </w14:textFill>
        </w:rPr>
      </w:pPr>
      <w:r>
        <w:rPr>
          <w:rFonts w:hint="eastAsia" w:cs="仿宋"/>
          <w:b/>
          <w:bCs/>
          <w:color w:val="FF0000"/>
        </w:rPr>
        <w:t>提请竞买人注意：请在拍卖开始前自行核实拍卖标的物现状、瑕疵、交付等所有情况，拍卖人不对此承担任何责任。拍卖成交后，管理人按照标的物现状移交标的，未标明的瑕疵亦不在拍卖人承担范围，请各竞买人自行了解，并承担由此造成的风险。</w:t>
      </w:r>
    </w:p>
    <w:p w14:paraId="2A10BFCA">
      <w:pPr>
        <w:spacing w:line="440" w:lineRule="exact"/>
        <w:ind w:firstLine="482"/>
        <w:rPr>
          <w:rFonts w:hint="eastAsia" w:cs="仿宋"/>
          <w:b/>
          <w:bCs/>
          <w:color w:val="FF0000"/>
        </w:rPr>
      </w:pPr>
      <w:r>
        <w:rPr>
          <w:rFonts w:hint="eastAsia" w:cs="仿宋"/>
          <w:b/>
          <w:bCs/>
          <w:color w:val="000000" w:themeColor="text1"/>
          <w:kern w:val="0"/>
          <w:sz w:val="24"/>
          <w:szCs w:val="24"/>
          <w:highlight w:val="yellow"/>
          <w14:textFill>
            <w14:solidFill>
              <w14:schemeClr w14:val="tx1"/>
            </w14:solidFill>
          </w14:textFill>
        </w:rPr>
        <w:t>二、起拍价：</w:t>
      </w:r>
      <w:r>
        <w:rPr>
          <w:rFonts w:hint="eastAsia" w:cs="仿宋"/>
          <w:b/>
          <w:bCs/>
          <w:color w:val="000000" w:themeColor="text1"/>
          <w:kern w:val="0"/>
          <w:sz w:val="24"/>
          <w:szCs w:val="24"/>
          <w:highlight w:val="yellow"/>
          <w:lang w:val="en-US" w:eastAsia="zh-CN"/>
          <w14:textFill>
            <w14:solidFill>
              <w14:schemeClr w14:val="tx1"/>
            </w14:solidFill>
          </w14:textFill>
        </w:rPr>
        <w:t>58410432</w:t>
      </w:r>
      <w:r>
        <w:rPr>
          <w:rFonts w:hint="eastAsia" w:cs="仿宋"/>
          <w:b/>
          <w:bCs/>
          <w:color w:val="000000" w:themeColor="text1"/>
          <w:kern w:val="0"/>
          <w:sz w:val="24"/>
          <w:szCs w:val="24"/>
          <w:highlight w:val="yellow"/>
          <w14:textFill>
            <w14:solidFill>
              <w14:schemeClr w14:val="tx1"/>
            </w14:solidFill>
          </w14:textFill>
        </w:rPr>
        <w:t>元，保证金：</w:t>
      </w:r>
      <w:r>
        <w:rPr>
          <w:rFonts w:hint="eastAsia" w:cs="仿宋"/>
          <w:b/>
          <w:bCs/>
          <w:color w:val="000000" w:themeColor="text1"/>
          <w:kern w:val="0"/>
          <w:sz w:val="24"/>
          <w:szCs w:val="24"/>
          <w:highlight w:val="yellow"/>
          <w:lang w:val="en-US" w:eastAsia="zh-CN"/>
          <w14:textFill>
            <w14:solidFill>
              <w14:schemeClr w14:val="tx1"/>
            </w14:solidFill>
          </w14:textFill>
        </w:rPr>
        <w:t>5841043</w:t>
      </w:r>
      <w:r>
        <w:rPr>
          <w:rFonts w:hint="default" w:cs="仿宋"/>
          <w:b/>
          <w:bCs/>
          <w:color w:val="000000" w:themeColor="text1"/>
          <w:kern w:val="0"/>
          <w:sz w:val="24"/>
          <w:szCs w:val="24"/>
          <w:highlight w:val="yellow"/>
          <w:lang w:val="en-US" w:eastAsia="zh-CN"/>
          <w14:textFill>
            <w14:solidFill>
              <w14:schemeClr w14:val="tx1"/>
            </w14:solidFill>
          </w14:textFill>
        </w:rPr>
        <w:t>.2</w:t>
      </w:r>
      <w:bookmarkStart w:id="2" w:name="_GoBack"/>
      <w:bookmarkEnd w:id="2"/>
      <w:r>
        <w:rPr>
          <w:rFonts w:hint="eastAsia" w:cs="仿宋"/>
          <w:b/>
          <w:bCs/>
          <w:color w:val="000000" w:themeColor="text1"/>
          <w:kern w:val="0"/>
          <w:sz w:val="24"/>
          <w:szCs w:val="24"/>
          <w:highlight w:val="yellow"/>
          <w14:textFill>
            <w14:solidFill>
              <w14:schemeClr w14:val="tx1"/>
            </w14:solidFill>
          </w14:textFill>
        </w:rPr>
        <w:t>元，增价幅度:5000元及其整倍数,评估清算价值合计为：91</w:t>
      </w:r>
      <w:r>
        <w:rPr>
          <w:rFonts w:cs="仿宋"/>
          <w:b/>
          <w:bCs/>
          <w:color w:val="000000" w:themeColor="text1"/>
          <w:kern w:val="0"/>
          <w:sz w:val="24"/>
          <w:szCs w:val="24"/>
          <w:highlight w:val="yellow"/>
          <w14:textFill>
            <w14:solidFill>
              <w14:schemeClr w14:val="tx1"/>
            </w14:solidFill>
          </w14:textFill>
        </w:rPr>
        <w:t>266300</w:t>
      </w:r>
      <w:r>
        <w:rPr>
          <w:rFonts w:hint="eastAsia" w:cs="仿宋"/>
          <w:b/>
          <w:bCs/>
          <w:color w:val="000000" w:themeColor="text1"/>
          <w:kern w:val="0"/>
          <w:sz w:val="24"/>
          <w:szCs w:val="24"/>
          <w:highlight w:val="yellow"/>
          <w14:textFill>
            <w14:solidFill>
              <w14:schemeClr w14:val="tx1"/>
            </w14:solidFill>
          </w14:textFill>
        </w:rPr>
        <w:t>元(建筑物部分为89312840元，无形资产部分为1801330元，电子设备为53130元，机器设备为9</w:t>
      </w:r>
      <w:r>
        <w:rPr>
          <w:rFonts w:cs="仿宋"/>
          <w:b/>
          <w:bCs/>
          <w:color w:val="000000" w:themeColor="text1"/>
          <w:kern w:val="0"/>
          <w:sz w:val="24"/>
          <w:szCs w:val="24"/>
          <w:highlight w:val="yellow"/>
          <w14:textFill>
            <w14:solidFill>
              <w14:schemeClr w14:val="tx1"/>
            </w14:solidFill>
          </w14:textFill>
        </w:rPr>
        <w:t>9000</w:t>
      </w:r>
      <w:r>
        <w:rPr>
          <w:rFonts w:hint="eastAsia" w:cs="仿宋"/>
          <w:b/>
          <w:bCs/>
          <w:color w:val="000000" w:themeColor="text1"/>
          <w:kern w:val="0"/>
          <w:sz w:val="24"/>
          <w:szCs w:val="24"/>
          <w:highlight w:val="yellow"/>
          <w14:textFill>
            <w14:solidFill>
              <w14:schemeClr w14:val="tx1"/>
            </w14:solidFill>
          </w14:textFill>
        </w:rPr>
        <w:t>元)。</w:t>
      </w:r>
    </w:p>
    <w:p w14:paraId="5F9A6BD1">
      <w:pPr>
        <w:spacing w:line="440" w:lineRule="exact"/>
        <w:ind w:firstLine="482"/>
        <w:rPr>
          <w:rFonts w:hint="eastAsia" w:cs="仿宋"/>
          <w:b/>
          <w:sz w:val="24"/>
          <w:szCs w:val="24"/>
        </w:rPr>
      </w:pPr>
      <w:r>
        <w:rPr>
          <w:rFonts w:hint="eastAsia" w:cs="仿宋"/>
          <w:b/>
          <w:sz w:val="24"/>
          <w:szCs w:val="24"/>
        </w:rPr>
        <w:t>三、竞买人条件</w:t>
      </w:r>
    </w:p>
    <w:p w14:paraId="42271D0C">
      <w:pPr>
        <w:spacing w:line="440" w:lineRule="exact"/>
        <w:ind w:firstLine="480"/>
        <w:rPr>
          <w:rFonts w:hint="eastAsia" w:cs="仿宋"/>
          <w:sz w:val="24"/>
          <w:szCs w:val="24"/>
        </w:rPr>
      </w:pPr>
      <w:r>
        <w:rPr>
          <w:rFonts w:hint="eastAsia" w:cs="仿宋"/>
          <w:sz w:val="24"/>
          <w:szCs w:val="24"/>
        </w:rPr>
        <w:t>1、竞买人应当具备完全民事行为能力，法律、行政法规和司法解释对买受人资格或者条件有特殊规定的，竞买人应当具备规定的资格或者条件。</w:t>
      </w:r>
    </w:p>
    <w:p w14:paraId="71923351">
      <w:pPr>
        <w:spacing w:line="440" w:lineRule="exact"/>
        <w:ind w:firstLine="480"/>
        <w:rPr>
          <w:rFonts w:hint="eastAsia" w:cs="仿宋"/>
          <w:sz w:val="24"/>
          <w:szCs w:val="24"/>
        </w:rPr>
      </w:pPr>
      <w:r>
        <w:rPr>
          <w:rFonts w:hint="eastAsia" w:cs="仿宋"/>
          <w:sz w:val="24"/>
          <w:szCs w:val="24"/>
        </w:rPr>
        <w:t xml:space="preserve">2、竞买人可委托他人（具备完全民事行为能力的自然人）参与拍卖。竞买人委托他人拍卖的，须在竞价程序开始前3日到拍卖人处办理委托手续并经拍卖人确认，竞买成功后，竞买人（委托人）与受托人一同到拍卖人处办理交接手续。拍卖成交后直接确认委托人为买受人。如无委托手续或委托手续不全的，竞买活动认定为参拍人的本人行为，成交后确认参拍人为买受人。  </w:t>
      </w:r>
    </w:p>
    <w:p w14:paraId="10C7A217">
      <w:pPr>
        <w:spacing w:line="440" w:lineRule="exact"/>
        <w:ind w:firstLine="480"/>
        <w:rPr>
          <w:rFonts w:hint="eastAsia" w:cs="仿宋"/>
          <w:sz w:val="24"/>
          <w:szCs w:val="24"/>
        </w:rPr>
      </w:pPr>
      <w:r>
        <w:rPr>
          <w:rFonts w:hint="eastAsia" w:cs="仿宋"/>
          <w:sz w:val="24"/>
          <w:szCs w:val="24"/>
        </w:rPr>
        <w:t>因不符合条件参加竞买的，由竞买人自行承担相应法律责任。</w:t>
      </w:r>
    </w:p>
    <w:p w14:paraId="55A202FA">
      <w:pPr>
        <w:spacing w:line="440" w:lineRule="exact"/>
        <w:ind w:firstLine="482"/>
        <w:rPr>
          <w:rFonts w:hint="eastAsia" w:cs="仿宋"/>
          <w:b/>
          <w:sz w:val="24"/>
          <w:szCs w:val="24"/>
        </w:rPr>
      </w:pPr>
      <w:r>
        <w:rPr>
          <w:rFonts w:hint="eastAsia" w:cs="仿宋"/>
          <w:b/>
          <w:sz w:val="24"/>
          <w:szCs w:val="24"/>
        </w:rPr>
        <w:t>四、本标的物优先购买权人</w:t>
      </w:r>
    </w:p>
    <w:p w14:paraId="43591A9F">
      <w:pPr>
        <w:widowControl/>
        <w:spacing w:line="440" w:lineRule="exact"/>
        <w:ind w:firstLine="480"/>
        <w:rPr>
          <w:rFonts w:hint="eastAsia" w:cs="仿宋"/>
          <w:color w:val="000000" w:themeColor="text1"/>
          <w:kern w:val="0"/>
          <w:sz w:val="24"/>
          <w:szCs w:val="24"/>
          <w:lang w:eastAsia="zh-Hans"/>
          <w14:textFill>
            <w14:solidFill>
              <w14:schemeClr w14:val="tx1"/>
            </w14:solidFill>
          </w14:textFill>
        </w:rPr>
      </w:pPr>
      <w:r>
        <w:rPr>
          <w:rFonts w:hint="eastAsia" w:cs="仿宋"/>
          <w:color w:val="000000" w:themeColor="text1"/>
          <w:kern w:val="0"/>
          <w:sz w:val="24"/>
          <w:szCs w:val="24"/>
          <w14:textFill>
            <w14:solidFill>
              <w14:schemeClr w14:val="tx1"/>
            </w14:solidFill>
          </w14:textFill>
        </w:rPr>
        <w:t>1</w:t>
      </w:r>
      <w:r>
        <w:rPr>
          <w:rFonts w:hint="eastAsia" w:cs="仿宋"/>
          <w:color w:val="000000" w:themeColor="text1"/>
          <w:kern w:val="0"/>
          <w:sz w:val="24"/>
          <w:szCs w:val="24"/>
          <w:lang w:eastAsia="zh-Hans"/>
          <w14:textFill>
            <w14:solidFill>
              <w14:schemeClr w14:val="tx1"/>
            </w14:solidFill>
          </w14:textFill>
        </w:rPr>
        <w:t>、已知优先购买权人由管理人通知，未接到通知的，本公告公示</w:t>
      </w:r>
      <w:r>
        <w:rPr>
          <w:rFonts w:hint="eastAsia" w:cs="仿宋"/>
          <w:color w:val="000000" w:themeColor="text1"/>
          <w:kern w:val="0"/>
          <w:sz w:val="24"/>
          <w:szCs w:val="24"/>
          <w14:textFill>
            <w14:solidFill>
              <w14:schemeClr w14:val="tx1"/>
            </w14:solidFill>
          </w14:textFill>
        </w:rPr>
        <w:t>5</w:t>
      </w:r>
      <w:r>
        <w:rPr>
          <w:rFonts w:hint="eastAsia" w:cs="仿宋"/>
          <w:color w:val="000000" w:themeColor="text1"/>
          <w:kern w:val="0"/>
          <w:sz w:val="24"/>
          <w:szCs w:val="24"/>
          <w:lang w:eastAsia="zh-Hans"/>
          <w14:textFill>
            <w14:solidFill>
              <w14:schemeClr w14:val="tx1"/>
            </w14:solidFill>
          </w14:textFill>
        </w:rPr>
        <w:t>日视为已通知。</w:t>
      </w:r>
    </w:p>
    <w:p w14:paraId="4C5F0B85">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2、优先购买权人参加竞买的，应于本标的竞拍开始前3日内向拍卖公司提交合法有效的证明，资格经管理人确认后才能参与竞买，逾期不提交的，视为放弃对本标的物享有优先购买权。</w:t>
      </w:r>
    </w:p>
    <w:p w14:paraId="7549CB4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3、优先购买权人参与竞买的，与其他竞买人以相同的价格出价，没有更高出价的，拍卖财产由优先购买权人竞得。</w:t>
      </w:r>
    </w:p>
    <w:p w14:paraId="2B083417">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74C33357">
      <w:pPr>
        <w:spacing w:line="440" w:lineRule="exact"/>
        <w:ind w:firstLine="482"/>
        <w:rPr>
          <w:rFonts w:hint="eastAsia" w:cs="仿宋"/>
          <w:b/>
          <w:sz w:val="24"/>
          <w:szCs w:val="24"/>
        </w:rPr>
      </w:pPr>
      <w:r>
        <w:rPr>
          <w:rFonts w:hint="eastAsia" w:cs="仿宋"/>
          <w:b/>
          <w:sz w:val="24"/>
          <w:szCs w:val="24"/>
        </w:rPr>
        <w:t>五、咨询看样</w:t>
      </w:r>
    </w:p>
    <w:p w14:paraId="7F957A67">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管理人已委托重庆光大佳拍拍卖有限公司在破产拍卖期间对上述标的的相关信息进行咨询及组织看样等工作。</w:t>
      </w:r>
    </w:p>
    <w:p w14:paraId="2485AD8B">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公告期间开拍前一日（周一至周五上午9：00-下午5：00节假日除外）接受咨询，有意者与重庆光大佳拍拍卖有限公司联系，统一安排看样，咨询看样请拨打重庆光大佳拍拍卖有限公司电话：400-833－6773，郭老师15123440300。</w:t>
      </w:r>
    </w:p>
    <w:p w14:paraId="375F652B">
      <w:pPr>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重要提醒：为避免拍卖成交后出现无法解决的情况，提请竞买人注意并在拍卖前详细了解该项目的情况、现状和瑕疵，并务必亲自实地看样，然后再参加竞拍。未看样的竞买人视为对本标的实物的知晓和认可，相关责任自负。</w:t>
      </w:r>
    </w:p>
    <w:p w14:paraId="61B8FAE3">
      <w:pPr>
        <w:spacing w:line="440" w:lineRule="exact"/>
        <w:ind w:firstLine="482"/>
        <w:rPr>
          <w:rFonts w:hint="eastAsia" w:cs="仿宋"/>
          <w:b/>
          <w:sz w:val="24"/>
          <w:szCs w:val="24"/>
        </w:rPr>
      </w:pPr>
      <w:r>
        <w:rPr>
          <w:rFonts w:hint="eastAsia" w:cs="仿宋"/>
          <w:b/>
          <w:sz w:val="24"/>
          <w:szCs w:val="24"/>
        </w:rPr>
        <w:t>六、拍卖方式</w:t>
      </w:r>
    </w:p>
    <w:p w14:paraId="107DAF42">
      <w:pPr>
        <w:widowControl/>
        <w:spacing w:line="440" w:lineRule="exact"/>
        <w:ind w:firstLine="480"/>
        <w:rPr>
          <w:rFonts w:hint="eastAsia" w:cs="仿宋"/>
          <w:color w:val="000000"/>
          <w:sz w:val="24"/>
          <w:szCs w:val="24"/>
        </w:rPr>
      </w:pPr>
      <w:r>
        <w:rPr>
          <w:rFonts w:hint="eastAsia" w:cs="仿宋"/>
          <w:color w:val="000000"/>
          <w:sz w:val="24"/>
          <w:szCs w:val="24"/>
        </w:rPr>
        <w:t>本次破产拍卖为增价拍卖，拍卖保留价即为起拍价。本次破产拍卖活动设置延时出价功能，在破产拍卖活动结束前，每最后5分钟如果有竞买人出价，将自动延迟5分钟。</w:t>
      </w:r>
    </w:p>
    <w:p w14:paraId="40B933D2">
      <w:pPr>
        <w:widowControl/>
        <w:spacing w:line="440" w:lineRule="exact"/>
        <w:ind w:firstLine="482"/>
        <w:rPr>
          <w:rFonts w:hint="eastAsia" w:cs="仿宋"/>
          <w:b/>
          <w:color w:val="000000" w:themeColor="text1"/>
          <w:kern w:val="0"/>
          <w:sz w:val="24"/>
          <w:szCs w:val="24"/>
          <w14:textFill>
            <w14:solidFill>
              <w14:schemeClr w14:val="tx1"/>
            </w14:solidFill>
          </w14:textFill>
        </w:rPr>
      </w:pPr>
      <w:r>
        <w:rPr>
          <w:rFonts w:hint="eastAsia" w:cs="仿宋"/>
          <w:b/>
          <w:bCs/>
          <w:color w:val="000000" w:themeColor="text1"/>
          <w:kern w:val="0"/>
          <w:sz w:val="24"/>
          <w:szCs w:val="24"/>
          <w:lang w:eastAsia="zh-Hans"/>
          <w14:textFill>
            <w14:solidFill>
              <w14:schemeClr w14:val="tx1"/>
            </w14:solidFill>
          </w14:textFill>
        </w:rPr>
        <w:t>七、</w:t>
      </w:r>
      <w:r>
        <w:rPr>
          <w:rFonts w:hint="eastAsia" w:cs="仿宋"/>
          <w:b/>
          <w:bCs/>
          <w:color w:val="000000" w:themeColor="text1"/>
          <w:kern w:val="0"/>
          <w:sz w:val="24"/>
          <w:szCs w:val="24"/>
          <w14:textFill>
            <w14:solidFill>
              <w14:schemeClr w14:val="tx1"/>
            </w14:solidFill>
          </w14:textFill>
        </w:rPr>
        <w:t>保证金的约定、成交手续办理及费用支付</w:t>
      </w:r>
    </w:p>
    <w:p w14:paraId="1C05C5A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1、竞买人应于拍卖开始前在淘宝网和支付宝上进行实名登记注册，注册成功后请按淘宝网和支付宝的提示进行操作。凡参加竞拍的竞买人须在本人的支付宝账户里保证有足够的竞拍保证金（交纳保证金时若有问题可咨询淘宝网拍客服热线：400-822-2870），竞买人在对拍卖标的物第一次确认出价竞拍前，按淘宝系统提示报名缴纳保证金，系统会自动冻结该笔款项。拍卖成交后保证金自动转入拍卖人账户作为首付款，未成交竞买人的保证金在拍卖活动结束后即时解冻。保证金冻结期间不计利息。</w:t>
      </w:r>
    </w:p>
    <w:p w14:paraId="247C3A49">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2、保证金：竞买人通过线上报名，应在竞价结束前（延时除外）缴纳保证金后方可参与竞买。</w:t>
      </w:r>
    </w:p>
    <w:p w14:paraId="4CD4D93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3、若买受人有下列情况之一，保证金不予退还及承担相应的违约金：</w:t>
      </w:r>
    </w:p>
    <w:p w14:paraId="1C9DCC87">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（1）提供虚假报名资料的；</w:t>
      </w:r>
    </w:p>
    <w:p w14:paraId="6CBC1DB3">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（2）买受人在竞价过程中违反竞价规则和产权交易相关规则，扰乱竞价秩序的；</w:t>
      </w:r>
    </w:p>
    <w:p w14:paraId="07CC40E2">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（3）竞拍成功后不履约、违约，有提出附加条件的；</w:t>
      </w:r>
    </w:p>
    <w:p w14:paraId="41E1E47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（4）不及时</w:t>
      </w:r>
      <w:r>
        <w:rPr>
          <w:rFonts w:hint="eastAsia" w:cs="仿宋"/>
          <w:color w:val="000000" w:themeColor="text1"/>
          <w:kern w:val="0"/>
          <w:sz w:val="24"/>
          <w:szCs w:val="24"/>
          <w:lang w:eastAsia="zh-Hans"/>
          <w14:textFill>
            <w14:solidFill>
              <w14:schemeClr w14:val="tx1"/>
            </w14:solidFill>
          </w14:textFill>
        </w:rPr>
        <w:t>办理</w:t>
      </w:r>
      <w:r>
        <w:rPr>
          <w:rFonts w:hint="eastAsia" w:cs="仿宋"/>
          <w:color w:val="000000" w:themeColor="text1"/>
          <w:kern w:val="0"/>
          <w:sz w:val="24"/>
          <w:szCs w:val="24"/>
          <w14:textFill>
            <w14:solidFill>
              <w14:schemeClr w14:val="tx1"/>
            </w14:solidFill>
          </w14:textFill>
        </w:rPr>
        <w:t>成交手续、支付拍卖余款和淘宝平台软件服务费；</w:t>
      </w:r>
    </w:p>
    <w:p w14:paraId="12064BDA">
      <w:pPr>
        <w:widowControl/>
        <w:spacing w:line="440" w:lineRule="exact"/>
        <w:ind w:firstLine="480"/>
        <w:rPr>
          <w:rFonts w:hint="eastAsia" w:cs="仿宋"/>
          <w:color w:val="000000" w:themeColor="text1"/>
          <w:kern w:val="0"/>
          <w:sz w:val="24"/>
          <w:szCs w:val="24"/>
          <w:lang w:eastAsia="zh-Hans"/>
          <w14:textFill>
            <w14:solidFill>
              <w14:schemeClr w14:val="tx1"/>
            </w14:solidFill>
          </w14:textFill>
        </w:rPr>
      </w:pPr>
      <w:r>
        <w:rPr>
          <w:rFonts w:hint="eastAsia" w:cs="仿宋"/>
          <w:color w:val="000000" w:themeColor="text1"/>
          <w:kern w:val="0"/>
          <w:sz w:val="24"/>
          <w:szCs w:val="24"/>
          <w14:textFill>
            <w14:solidFill>
              <w14:schemeClr w14:val="tx1"/>
            </w14:solidFill>
          </w14:textFill>
        </w:rPr>
        <w:t>（5）</w:t>
      </w:r>
      <w:r>
        <w:rPr>
          <w:rFonts w:hint="eastAsia" w:cs="仿宋"/>
          <w:color w:val="000000" w:themeColor="text1"/>
          <w:kern w:val="0"/>
          <w:sz w:val="24"/>
          <w:szCs w:val="24"/>
          <w:lang w:eastAsia="zh-Hans"/>
          <w14:textFill>
            <w14:solidFill>
              <w14:schemeClr w14:val="tx1"/>
            </w14:solidFill>
          </w14:textFill>
        </w:rPr>
        <w:t>买受人不具备购买资格；</w:t>
      </w:r>
    </w:p>
    <w:p w14:paraId="16989A87">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lang w:eastAsia="zh-Hans"/>
          <w14:textFill>
            <w14:solidFill>
              <w14:schemeClr w14:val="tx1"/>
            </w14:solidFill>
          </w14:textFill>
        </w:rPr>
        <w:t>（6）其他违反法律规定的行为。</w:t>
      </w:r>
    </w:p>
    <w:p w14:paraId="776CE69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4、拍卖成交后，买受人须支付以下费用及办理以下手续：</w:t>
      </w:r>
    </w:p>
    <w:p w14:paraId="27D6F584">
      <w:pPr>
        <w:widowControl/>
        <w:spacing w:line="440" w:lineRule="exact"/>
        <w:ind w:firstLine="482"/>
        <w:rPr>
          <w:rFonts w:hint="eastAsia" w:cs="仿宋"/>
          <w:b/>
          <w:color w:val="000000" w:themeColor="text1"/>
          <w:kern w:val="0"/>
          <w:sz w:val="24"/>
          <w:szCs w:val="24"/>
          <w14:textFill>
            <w14:solidFill>
              <w14:schemeClr w14:val="tx1"/>
            </w14:solidFill>
          </w14:textFill>
        </w:rPr>
      </w:pPr>
      <w:r>
        <w:rPr>
          <w:rFonts w:hint="eastAsia" w:cs="仿宋"/>
          <w:b/>
          <w:color w:val="000000" w:themeColor="text1"/>
          <w:kern w:val="0"/>
          <w:sz w:val="24"/>
          <w:szCs w:val="24"/>
          <w14:textFill>
            <w14:solidFill>
              <w14:schemeClr w14:val="tx1"/>
            </w14:solidFill>
          </w14:textFill>
        </w:rPr>
        <w:t>（1）拍卖余款须在拍卖成交之日起20日内支付至委托人指定账户（账户名称：重庆凯尔特机械制造有限公司管理人；开户行：中国建设银行股份有限公司重庆北碚蔡家支行 ；账号：50050109660000000108）。</w:t>
      </w:r>
    </w:p>
    <w:p w14:paraId="7C958784">
      <w:pPr>
        <w:widowControl/>
        <w:spacing w:line="540" w:lineRule="atLeast"/>
        <w:ind w:firstLine="482"/>
        <w:rPr>
          <w:rFonts w:hint="eastAsia" w:cs="仿宋"/>
          <w:b/>
          <w:color w:val="000000" w:themeColor="text1"/>
          <w:kern w:val="0"/>
          <w:sz w:val="24"/>
          <w:szCs w:val="24"/>
          <w14:textFill>
            <w14:solidFill>
              <w14:schemeClr w14:val="tx1"/>
            </w14:solidFill>
          </w14:textFill>
        </w:rPr>
      </w:pPr>
      <w:r>
        <w:rPr>
          <w:rFonts w:hint="eastAsia" w:cs="仿宋"/>
          <w:b/>
          <w:color w:val="000000" w:themeColor="text1"/>
          <w:kern w:val="0"/>
          <w:sz w:val="24"/>
          <w:szCs w:val="24"/>
          <w14:textFill>
            <w14:solidFill>
              <w14:schemeClr w14:val="tx1"/>
            </w14:solidFill>
          </w14:textFill>
        </w:rPr>
        <w:t>（2）</w:t>
      </w:r>
      <w:r>
        <w:rPr>
          <w:rFonts w:cs="Helvetica"/>
          <w:b/>
          <w:color w:val="000000" w:themeColor="text1"/>
          <w:kern w:val="0"/>
          <w:sz w:val="24"/>
          <w:szCs w:val="24"/>
          <w14:textFill>
            <w14:solidFill>
              <w14:schemeClr w14:val="tx1"/>
            </w14:solidFill>
          </w14:textFill>
        </w:rPr>
        <w:t>拍卖结束后本标的物竞得者支付拍卖服务费，拍卖服务费于拍卖成交之日起3日内按照重庆市高级人民法院关于印发《网络司法拍卖辅助工作费用标准》中的第一条支付标准（不</w:t>
      </w:r>
      <w:r>
        <w:rPr>
          <w:rFonts w:hint="eastAsia" w:cs="Helvetica"/>
          <w:b/>
          <w:color w:val="000000" w:themeColor="text1"/>
          <w:kern w:val="0"/>
          <w:sz w:val="24"/>
          <w:szCs w:val="24"/>
          <w14:textFill>
            <w14:solidFill>
              <w14:schemeClr w14:val="tx1"/>
            </w14:solidFill>
          </w14:textFill>
        </w:rPr>
        <w:t>动产</w:t>
      </w:r>
      <w:r>
        <w:rPr>
          <w:rFonts w:cs="Helvetica"/>
          <w:b/>
          <w:color w:val="000000" w:themeColor="text1"/>
          <w:kern w:val="0"/>
          <w:sz w:val="24"/>
          <w:szCs w:val="24"/>
          <w14:textFill>
            <w14:solidFill>
              <w14:schemeClr w14:val="tx1"/>
            </w14:solidFill>
          </w14:textFill>
        </w:rPr>
        <w:t>成交价200万以下，按0.8%进行收取；超过200万按0.3%进行收取）的</w:t>
      </w:r>
      <w:r>
        <w:rPr>
          <w:rFonts w:hint="eastAsia" w:cs="Helvetica"/>
          <w:b/>
          <w:color w:val="000000" w:themeColor="text1"/>
          <w:kern w:val="0"/>
          <w:sz w:val="24"/>
          <w:szCs w:val="24"/>
          <w14:textFill>
            <w14:solidFill>
              <w14:schemeClr w14:val="tx1"/>
            </w14:solidFill>
          </w14:textFill>
        </w:rPr>
        <w:t>58</w:t>
      </w:r>
      <w:r>
        <w:rPr>
          <w:rFonts w:cs="Helvetica"/>
          <w:b/>
          <w:color w:val="000000" w:themeColor="text1"/>
          <w:kern w:val="0"/>
          <w:sz w:val="24"/>
          <w:szCs w:val="24"/>
          <w14:textFill>
            <w14:solidFill>
              <w14:schemeClr w14:val="tx1"/>
            </w14:solidFill>
          </w14:textFill>
        </w:rPr>
        <w:t>%支付，支付至拍卖人指定账户（户名：重庆光大佳拍拍卖有限公司；开户银行：浦发上清寺支行；账号：83140078801900000055）。</w:t>
      </w:r>
    </w:p>
    <w:p w14:paraId="0F7CC67F">
      <w:pPr>
        <w:widowControl/>
        <w:spacing w:line="440" w:lineRule="exact"/>
        <w:ind w:firstLine="482"/>
        <w:rPr>
          <w:rFonts w:hint="eastAsia" w:cs="仿宋"/>
          <w:b/>
          <w:color w:val="000000" w:themeColor="text1"/>
          <w:kern w:val="0"/>
          <w:sz w:val="24"/>
          <w:szCs w:val="24"/>
          <w14:textFill>
            <w14:solidFill>
              <w14:schemeClr w14:val="tx1"/>
            </w14:solidFill>
          </w14:textFill>
        </w:rPr>
      </w:pPr>
      <w:r>
        <w:rPr>
          <w:rFonts w:hint="eastAsia" w:cs="仿宋"/>
          <w:b/>
          <w:color w:val="000000" w:themeColor="text1"/>
          <w:kern w:val="0"/>
          <w:sz w:val="24"/>
          <w:szCs w:val="24"/>
          <w14:textFill>
            <w14:solidFill>
              <w14:schemeClr w14:val="tx1"/>
            </w14:solidFill>
          </w14:textFill>
        </w:rPr>
        <w:t>（3）竞价成功，买受人应于拍卖成交之日起3日内向淘宝平台支付平台软件服务费，收费标准以淘宝平台发布为准，该费用由买受人承担。</w:t>
      </w:r>
    </w:p>
    <w:p w14:paraId="40D7AD36">
      <w:pPr>
        <w:widowControl/>
        <w:spacing w:line="440" w:lineRule="exact"/>
        <w:ind w:firstLine="480"/>
        <w:rPr>
          <w:rFonts w:hint="eastAsia" w:cs="仿宋"/>
          <w:b/>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5、拍卖成交后买受人未按拍卖公告规定的期限支付完毕拍卖成交款、淘宝平台软件服务费、拍卖服务费或因买受人资格问题导致无法支付的，视为买受人放弃该标的物的竞拍，管理人将重新挂拍。重新拍卖时，原买受人不得参加竞买，原买受人交纳的保证金不予退还，依次用于支付拍卖产生的费用损失、弥补重新拍卖价款低于原拍卖价款的差价、冲抵本案的债务以及与拍卖财产相关的债务。原买受人缴纳的保证金不足以弥补重新拍卖价款低于原拍卖价款的差价、拍卖产生的费用的，管理人可以责令原买受人补交</w:t>
      </w:r>
      <w:r>
        <w:rPr>
          <w:rFonts w:hint="eastAsia" w:cs="仿宋"/>
          <w:color w:val="000000" w:themeColor="text1"/>
          <w:kern w:val="0"/>
          <w:sz w:val="24"/>
          <w:szCs w:val="24"/>
          <w:lang w:eastAsia="zh-Hans"/>
          <w14:textFill>
            <w14:solidFill>
              <w14:schemeClr w14:val="tx1"/>
            </w14:solidFill>
          </w14:textFill>
        </w:rPr>
        <w:t>，拒绝补交的，管理人可向悔拍人追索。</w:t>
      </w:r>
    </w:p>
    <w:p w14:paraId="2D1CB780">
      <w:pPr>
        <w:widowControl/>
        <w:spacing w:line="440" w:lineRule="exact"/>
        <w:ind w:firstLine="482"/>
        <w:rPr>
          <w:rFonts w:hint="eastAsia" w:cs="仿宋"/>
          <w:b/>
          <w:color w:val="000000" w:themeColor="text1"/>
          <w:kern w:val="0"/>
          <w:sz w:val="24"/>
          <w:szCs w:val="24"/>
          <w14:textFill>
            <w14:solidFill>
              <w14:schemeClr w14:val="tx1"/>
            </w14:solidFill>
          </w14:textFill>
        </w:rPr>
      </w:pPr>
      <w:r>
        <w:rPr>
          <w:rFonts w:hint="eastAsia" w:cs="仿宋"/>
          <w:b/>
          <w:color w:val="000000" w:themeColor="text1"/>
          <w:kern w:val="0"/>
          <w:sz w:val="24"/>
          <w:szCs w:val="24"/>
          <w:lang w:eastAsia="zh-Hans"/>
          <w14:textFill>
            <w14:solidFill>
              <w14:schemeClr w14:val="tx1"/>
            </w14:solidFill>
          </w14:textFill>
        </w:rPr>
        <w:t>八、</w:t>
      </w:r>
      <w:r>
        <w:rPr>
          <w:rFonts w:hint="eastAsia" w:cs="仿宋"/>
          <w:b/>
          <w:color w:val="000000" w:themeColor="text1"/>
          <w:kern w:val="0"/>
          <w:sz w:val="24"/>
          <w:szCs w:val="24"/>
          <w14:textFill>
            <w14:solidFill>
              <w14:schemeClr w14:val="tx1"/>
            </w14:solidFill>
          </w14:textFill>
        </w:rPr>
        <w:t>标的物交付、过户</w:t>
      </w:r>
    </w:p>
    <w:p w14:paraId="41B87CE5">
      <w:pPr>
        <w:widowControl/>
        <w:spacing w:line="440" w:lineRule="exact"/>
        <w:ind w:firstLine="482"/>
        <w:rPr>
          <w:rFonts w:hint="eastAsia" w:cs="Helvetica"/>
          <w:b/>
          <w:color w:val="000000" w:themeColor="text1"/>
          <w:kern w:val="0"/>
          <w:sz w:val="24"/>
          <w:szCs w:val="24"/>
          <w14:textFill>
            <w14:solidFill>
              <w14:schemeClr w14:val="tx1"/>
            </w14:solidFill>
          </w14:textFill>
        </w:rPr>
      </w:pPr>
      <w:r>
        <w:rPr>
          <w:rFonts w:hint="eastAsia" w:cs="Helvetica"/>
          <w:b/>
          <w:color w:val="000000" w:themeColor="text1"/>
          <w:kern w:val="0"/>
          <w:sz w:val="24"/>
          <w:szCs w:val="24"/>
          <w14:textFill>
            <w14:solidFill>
              <w14:schemeClr w14:val="tx1"/>
            </w14:solidFill>
          </w14:textFill>
        </w:rPr>
        <w:t>1、</w:t>
      </w:r>
      <w:r>
        <w:rPr>
          <w:rFonts w:hint="eastAsia" w:cs="Helvetica"/>
          <w:color w:val="000000" w:themeColor="text1"/>
          <w:kern w:val="0"/>
          <w:sz w:val="24"/>
          <w:szCs w:val="24"/>
          <w14:textFill>
            <w14:solidFill>
              <w14:schemeClr w14:val="tx1"/>
            </w14:solidFill>
          </w14:textFill>
        </w:rPr>
        <w:t>在买受人全额支付完拍卖成交款项和按规定支付淘宝平台软件服务费以及拍卖佣金等费用后，管理人以标的物实物现状进行交付，拍卖公告中涉及的标的物相关情况介绍仅供参考，最终以拍卖成交后移交时的现状为准。拍卖成交后，管理人向买受人提供淘宝拍卖平台生成的《网络竞价成功确认书》。管理人与买受人签订《拍卖成交确认书》《移交确认书》即视为履行完全部交付义务。</w:t>
      </w:r>
    </w:p>
    <w:p w14:paraId="5D9C3D66">
      <w:pPr>
        <w:widowControl/>
        <w:spacing w:line="440" w:lineRule="exact"/>
        <w:ind w:firstLine="482"/>
        <w:rPr>
          <w:rFonts w:hint="eastAsia" w:cs="Helvetica"/>
          <w:color w:val="000000" w:themeColor="text1"/>
          <w:kern w:val="0"/>
          <w:sz w:val="24"/>
          <w:szCs w:val="24"/>
          <w14:textFill>
            <w14:solidFill>
              <w14:schemeClr w14:val="tx1"/>
            </w14:solidFill>
          </w14:textFill>
        </w:rPr>
      </w:pPr>
      <w:r>
        <w:rPr>
          <w:rFonts w:hint="eastAsia" w:cs="Helvetica"/>
          <w:b/>
          <w:color w:val="000000" w:themeColor="text1"/>
          <w:kern w:val="0"/>
          <w:sz w:val="24"/>
          <w:szCs w:val="24"/>
          <w14:textFill>
            <w14:solidFill>
              <w14:schemeClr w14:val="tx1"/>
            </w14:solidFill>
          </w14:textFill>
        </w:rPr>
        <w:t>2、</w:t>
      </w:r>
      <w:r>
        <w:rPr>
          <w:rFonts w:hint="eastAsia" w:cs="Helvetica"/>
          <w:color w:val="000000" w:themeColor="text1"/>
          <w:kern w:val="0"/>
          <w:sz w:val="24"/>
          <w:szCs w:val="24"/>
          <w14:textFill>
            <w14:solidFill>
              <w14:schemeClr w14:val="tx1"/>
            </w14:solidFill>
          </w14:textFill>
        </w:rPr>
        <w:t>过户：拍卖成交竞买人付清全部拍卖价款和软件服务费后，竞买人凭《网络竞价成功确认书》及相关法律文件自行完成财产权证的办理。对于标的物将来能否办理产权证或办理产权证涉及的相关费用以及如因标的物现状及存在瑕疵等原因不能取得相关的权属文件或办理转移登记等后果均由竞买人自负，管理人不作办证、过户的任何承诺，也不负责办理相关权证。</w:t>
      </w:r>
    </w:p>
    <w:p w14:paraId="4DEC5496">
      <w:pPr>
        <w:pStyle w:val="7"/>
        <w:widowControl/>
        <w:spacing w:before="0" w:beforeAutospacing="0" w:after="120" w:afterAutospacing="0" w:line="440" w:lineRule="exact"/>
        <w:ind w:firstLine="480"/>
        <w:rPr>
          <w:rFonts w:hint="eastAsia" w:cs="Helvetica"/>
          <w:color w:val="000000" w:themeColor="text1"/>
          <w:szCs w:val="24"/>
          <w14:textFill>
            <w14:solidFill>
              <w14:schemeClr w14:val="tx1"/>
            </w14:solidFill>
          </w14:textFill>
        </w:rPr>
      </w:pPr>
      <w:r>
        <w:rPr>
          <w:rFonts w:hint="eastAsia" w:cs="Helvetica"/>
          <w:color w:val="000000" w:themeColor="text1"/>
          <w:szCs w:val="24"/>
          <w14:textFill>
            <w14:solidFill>
              <w14:schemeClr w14:val="tx1"/>
            </w14:solidFill>
          </w14:textFill>
        </w:rPr>
        <w:t>3、过户税费的承担：本次拍卖最后成交价款不包含标的交割、过户（登记）时所发生的有关税金、大修基金及一切费用；竞买成功后，标的物的相关过户手续以及税、费的缴纳均</w:t>
      </w:r>
      <w:r>
        <w:rPr>
          <w:rFonts w:cs="Helvetica"/>
          <w:color w:val="000000" w:themeColor="text1"/>
          <w:szCs w:val="24"/>
          <w14:textFill>
            <w14:solidFill>
              <w14:schemeClr w14:val="tx1"/>
            </w14:solidFill>
          </w14:textFill>
        </w:rPr>
        <w:t>由买受人自行办理</w:t>
      </w:r>
      <w:r>
        <w:rPr>
          <w:rFonts w:hint="eastAsia" w:cs="Helvetica"/>
          <w:color w:val="000000" w:themeColor="text1"/>
          <w:szCs w:val="24"/>
          <w14:textFill>
            <w14:solidFill>
              <w14:schemeClr w14:val="tx1"/>
            </w14:solidFill>
          </w14:textFill>
        </w:rPr>
        <w:t>；</w:t>
      </w:r>
      <w:r>
        <w:rPr>
          <w:rFonts w:hint="eastAsia" w:cs="Helvetica"/>
          <w:b/>
          <w:color w:val="000000" w:themeColor="text1"/>
          <w:szCs w:val="24"/>
          <w14:textFill>
            <w14:solidFill>
              <w14:schemeClr w14:val="tx1"/>
            </w14:solidFill>
          </w14:textFill>
        </w:rPr>
        <w:t>标的办理过户所产生的税费根据相关法律、法规各自承担，</w:t>
      </w:r>
      <w:r>
        <w:rPr>
          <w:rFonts w:hint="eastAsia" w:cs="仿宋"/>
          <w:szCs w:val="24"/>
        </w:rPr>
        <w:t>法律未明确规定的，由买受人承担，买受人在竞买前应向所涉税务局部门确认成交后应缴纳税费的标准。</w:t>
      </w:r>
    </w:p>
    <w:p w14:paraId="7E75D2DC">
      <w:pPr>
        <w:widowControl/>
        <w:spacing w:line="440" w:lineRule="exact"/>
        <w:ind w:firstLine="482"/>
        <w:rPr>
          <w:rFonts w:hint="eastAsia" w:cs="Helvetica"/>
          <w:b/>
          <w:color w:val="000000" w:themeColor="text1"/>
          <w:kern w:val="0"/>
          <w:sz w:val="24"/>
          <w:szCs w:val="24"/>
          <w14:textFill>
            <w14:solidFill>
              <w14:schemeClr w14:val="tx1"/>
            </w14:solidFill>
          </w14:textFill>
        </w:rPr>
      </w:pPr>
      <w:r>
        <w:rPr>
          <w:rFonts w:hint="eastAsia" w:cs="Helvetica"/>
          <w:b/>
          <w:color w:val="000000" w:themeColor="text1"/>
          <w:kern w:val="0"/>
          <w:sz w:val="24"/>
          <w:szCs w:val="24"/>
          <w14:textFill>
            <w14:solidFill>
              <w14:schemeClr w14:val="tx1"/>
            </w14:solidFill>
          </w14:textFill>
        </w:rPr>
        <w:t>4、动产的交付</w:t>
      </w:r>
    </w:p>
    <w:p w14:paraId="09272FFF">
      <w:pPr>
        <w:pStyle w:val="2"/>
        <w:tabs>
          <w:tab w:val="left" w:pos="1050"/>
        </w:tabs>
        <w:snapToGrid w:val="0"/>
        <w:spacing w:line="440" w:lineRule="exact"/>
        <w:ind w:firstLine="480"/>
        <w:rPr>
          <w:rFonts w:hint="eastAsia" w:cs="Helvetica"/>
          <w:color w:val="000000" w:themeColor="text1"/>
          <w:kern w:val="0"/>
          <w:sz w:val="24"/>
          <w:szCs w:val="24"/>
          <w14:textFill>
            <w14:solidFill>
              <w14:schemeClr w14:val="tx1"/>
            </w14:solidFill>
          </w14:textFill>
        </w:rPr>
      </w:pPr>
      <w:r>
        <w:rPr>
          <w:rFonts w:hint="eastAsia" w:cs="Helvetica"/>
          <w:color w:val="000000" w:themeColor="text1"/>
          <w:kern w:val="0"/>
          <w:sz w:val="24"/>
          <w:szCs w:val="24"/>
          <w14:textFill>
            <w14:solidFill>
              <w14:schemeClr w14:val="tx1"/>
            </w14:solidFill>
          </w14:textFill>
        </w:rPr>
        <w:t>以现状为准进行交付，评估明细表中的设备名称、数量、规格型号等</w:t>
      </w:r>
      <w:r>
        <w:rPr>
          <w:rFonts w:cs="Helvetica"/>
          <w:color w:val="000000" w:themeColor="text1"/>
          <w:kern w:val="0"/>
          <w:sz w:val="24"/>
          <w:szCs w:val="24"/>
          <w14:textFill>
            <w14:solidFill>
              <w14:schemeClr w14:val="tx1"/>
            </w14:solidFill>
          </w14:textFill>
        </w:rPr>
        <w:t>可能存在与现场实物不符，</w:t>
      </w:r>
      <w:r>
        <w:rPr>
          <w:rFonts w:hint="eastAsia" w:cs="Helvetica"/>
          <w:bCs/>
          <w:kern w:val="0"/>
          <w:sz w:val="24"/>
          <w:szCs w:val="24"/>
        </w:rPr>
        <w:t>交付时</w:t>
      </w:r>
      <w:r>
        <w:rPr>
          <w:rFonts w:hint="eastAsia" w:cs="仿宋"/>
          <w:color w:val="000000"/>
          <w:sz w:val="24"/>
          <w:szCs w:val="24"/>
        </w:rPr>
        <w:t>对其资产名称、数量、规格、型号、质量、重量等不作清点，可能存在差异或设备无法正常使用等风险。</w:t>
      </w:r>
    </w:p>
    <w:p w14:paraId="3F68F6AB">
      <w:pPr>
        <w:widowControl/>
        <w:spacing w:line="440" w:lineRule="exact"/>
        <w:ind w:firstLine="482"/>
        <w:rPr>
          <w:rFonts w:hint="eastAsia" w:cs="Helvetica"/>
          <w:color w:val="000000" w:themeColor="text1"/>
          <w:kern w:val="0"/>
          <w:sz w:val="24"/>
          <w:szCs w:val="24"/>
          <w14:textFill>
            <w14:solidFill>
              <w14:schemeClr w14:val="tx1"/>
            </w14:solidFill>
          </w14:textFill>
        </w:rPr>
      </w:pPr>
      <w:r>
        <w:rPr>
          <w:rFonts w:cs="Helvetica"/>
          <w:b/>
          <w:color w:val="000000" w:themeColor="text1"/>
          <w:kern w:val="0"/>
          <w:sz w:val="24"/>
          <w:szCs w:val="24"/>
          <w14:textFill>
            <w14:solidFill>
              <w14:schemeClr w14:val="tx1"/>
            </w14:solidFill>
          </w14:textFill>
        </w:rPr>
        <w:t xml:space="preserve"> </w:t>
      </w:r>
      <w:r>
        <w:rPr>
          <w:rFonts w:hint="eastAsia" w:cs="Helvetica"/>
          <w:b/>
          <w:color w:val="000000" w:themeColor="text1"/>
          <w:kern w:val="0"/>
          <w:sz w:val="24"/>
          <w:szCs w:val="24"/>
          <w14:textFill>
            <w14:solidFill>
              <w14:schemeClr w14:val="tx1"/>
            </w14:solidFill>
          </w14:textFill>
        </w:rPr>
        <w:t>5</w:t>
      </w:r>
      <w:r>
        <w:rPr>
          <w:rFonts w:cs="Helvetica"/>
          <w:b/>
          <w:color w:val="000000" w:themeColor="text1"/>
          <w:kern w:val="0"/>
          <w:sz w:val="24"/>
          <w:szCs w:val="24"/>
          <w14:textFill>
            <w14:solidFill>
              <w14:schemeClr w14:val="tx1"/>
            </w14:solidFill>
          </w14:textFill>
        </w:rPr>
        <w:t>、</w:t>
      </w:r>
      <w:r>
        <w:rPr>
          <w:rFonts w:hint="eastAsia" w:cs="Helvetica"/>
          <w:b/>
          <w:color w:val="000000" w:themeColor="text1"/>
          <w:kern w:val="0"/>
          <w:sz w:val="24"/>
          <w:szCs w:val="24"/>
          <w14:textFill>
            <w14:solidFill>
              <w14:schemeClr w14:val="tx1"/>
            </w14:solidFill>
          </w14:textFill>
        </w:rPr>
        <w:t>本次拍卖标的物的其他费用</w:t>
      </w:r>
      <w:r>
        <w:rPr>
          <w:rFonts w:hint="eastAsia" w:cs="Helvetica"/>
          <w:color w:val="000000" w:themeColor="text1"/>
          <w:kern w:val="0"/>
          <w:sz w:val="24"/>
          <w:szCs w:val="24"/>
          <w14:textFill>
            <w14:solidFill>
              <w14:schemeClr w14:val="tx1"/>
            </w14:solidFill>
          </w14:textFill>
        </w:rPr>
        <w:t>：</w:t>
      </w:r>
      <w:r>
        <w:rPr>
          <w:rFonts w:hint="eastAsia" w:cs="仿宋"/>
          <w:sz w:val="24"/>
          <w:szCs w:val="24"/>
        </w:rPr>
        <w:t>若标的物存在因曾涉及违法、违章和过户时按照政府部门要求整改等问题所产生的费用及需提前办理的各项手续，由买受人承担相应费用并完善上述手续；若标的物存在欠缴物业费、水费、电费及排污费等或存在的欠缴罚款、违约金、滞纳金等的情形，由买受人自行解决或承担相应费用；标的物移交时可能涉及的相关费用（搬运费、装卸费等）及相关安全责任均由买受人自行承</w:t>
      </w:r>
      <w:r>
        <w:rPr>
          <w:rFonts w:hint="eastAsia" w:cs="仿宋"/>
          <w:sz w:val="21"/>
          <w:szCs w:val="21"/>
        </w:rPr>
        <w:t>担</w:t>
      </w:r>
      <w:r>
        <w:rPr>
          <w:rFonts w:hint="eastAsia" w:cs="仿宋"/>
          <w:sz w:val="24"/>
          <w:szCs w:val="24"/>
        </w:rPr>
        <w:t>；未明确缴费义务人的欠费，也由买受人负担。</w:t>
      </w:r>
    </w:p>
    <w:p w14:paraId="38CBDE54">
      <w:pPr>
        <w:widowControl/>
        <w:spacing w:line="440" w:lineRule="exact"/>
        <w:ind w:firstLine="482"/>
        <w:rPr>
          <w:rFonts w:hint="eastAsia" w:cs="仿宋"/>
          <w:b/>
          <w:color w:val="000000" w:themeColor="text1"/>
          <w:kern w:val="0"/>
          <w:sz w:val="24"/>
          <w:szCs w:val="24"/>
          <w14:textFill>
            <w14:solidFill>
              <w14:schemeClr w14:val="tx1"/>
            </w14:solidFill>
          </w14:textFill>
        </w:rPr>
      </w:pPr>
      <w:r>
        <w:rPr>
          <w:rFonts w:hint="eastAsia" w:cs="仿宋"/>
          <w:b/>
          <w:color w:val="000000" w:themeColor="text1"/>
          <w:kern w:val="0"/>
          <w:sz w:val="24"/>
          <w:szCs w:val="24"/>
          <w:lang w:eastAsia="zh-Hans"/>
          <w14:textFill>
            <w14:solidFill>
              <w14:schemeClr w14:val="tx1"/>
            </w14:solidFill>
          </w14:textFill>
        </w:rPr>
        <w:t>九、</w:t>
      </w:r>
      <w:r>
        <w:rPr>
          <w:rFonts w:hint="eastAsia" w:cs="仿宋"/>
          <w:b/>
          <w:color w:val="000000" w:themeColor="text1"/>
          <w:kern w:val="0"/>
          <w:sz w:val="24"/>
          <w:szCs w:val="24"/>
          <w14:textFill>
            <w14:solidFill>
              <w14:schemeClr w14:val="tx1"/>
            </w14:solidFill>
          </w14:textFill>
        </w:rPr>
        <w:t>特别提醒</w:t>
      </w:r>
    </w:p>
    <w:p w14:paraId="001D1F0D">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1、关于拍卖时应注意的问题及瑕疵情况：</w:t>
      </w:r>
    </w:p>
    <w:p w14:paraId="783CE3BA">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1）郑重声明：本次拍卖标的物以现状带瑕疵（含显性、隐性瑕疵）进行拍卖，并以现状为准进行交付，竞买人注意并在拍卖前详细了解该标的情况、现状和瑕疵，然后再参加竞拍。未标明的瑕疵由买受人自行承担，请各竞买人自行了解。</w:t>
      </w:r>
    </w:p>
    <w:p w14:paraId="52F944A4">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（2）</w:t>
      </w:r>
      <w:r>
        <w:rPr>
          <w:rFonts w:hint="eastAsia" w:cs="仿宋"/>
          <w:b/>
          <w:color w:val="000000" w:themeColor="text1"/>
          <w:kern w:val="0"/>
          <w:sz w:val="24"/>
          <w:szCs w:val="24"/>
          <w14:textFill>
            <w14:solidFill>
              <w14:schemeClr w14:val="tx1"/>
            </w14:solidFill>
          </w14:textFill>
        </w:rPr>
        <w:t>本次竞买公告所披露的各种情况说明</w:t>
      </w:r>
      <w:r>
        <w:rPr>
          <w:rFonts w:hint="eastAsia" w:cs="仿宋"/>
          <w:b/>
          <w:bCs/>
          <w:color w:val="000000" w:themeColor="text1"/>
          <w:kern w:val="0"/>
          <w:sz w:val="24"/>
          <w:szCs w:val="24"/>
          <w14:textFill>
            <w14:solidFill>
              <w14:schemeClr w14:val="tx1"/>
            </w14:solidFill>
          </w14:textFill>
        </w:rPr>
        <w:t>（包括不限于评估报告、视频照片及数据等）</w:t>
      </w:r>
      <w:r>
        <w:rPr>
          <w:rFonts w:hint="eastAsia" w:cs="仿宋"/>
          <w:b/>
          <w:color w:val="000000" w:themeColor="text1"/>
          <w:kern w:val="0"/>
          <w:sz w:val="24"/>
          <w:szCs w:val="24"/>
          <w14:textFill>
            <w14:solidFill>
              <w14:schemeClr w14:val="tx1"/>
            </w14:solidFill>
          </w14:textFill>
        </w:rPr>
        <w:t>和瑕疵（含显性、隐性瑕疵）仅供参考，</w:t>
      </w:r>
      <w:r>
        <w:rPr>
          <w:rFonts w:hint="eastAsia" w:cs="仿宋"/>
          <w:color w:val="000000" w:themeColor="text1"/>
          <w:kern w:val="0"/>
          <w:sz w:val="24"/>
          <w:szCs w:val="24"/>
          <w14:textFill>
            <w14:solidFill>
              <w14:schemeClr w14:val="tx1"/>
            </w14:solidFill>
          </w14:textFill>
        </w:rPr>
        <w:t>不能作为竞买人判断、权衡价值的最终依据，重庆凯尔特机械制造有限公司管理人和拍卖公司不能保证该标的不存在其它缺陷，诸如本公告列举但可能并未穷尽的涉及到标的物的各种瑕疵情况、各种欠税、欠费以及其他的相关费用或者其他的各种不利情况和负担、不利影响等。竞买人务必于拍卖日前亲自对该拍卖标的物的法律及自然现状进行深入而全面地了解，包括亲自查验拍卖标的物、向相关管理部门了解标的现状或聘请专家鉴定。竞买人一旦完成报名手续，即表明对该标的的现状已作全面了解，法院、管理人和拍卖公司不承担对上述拍卖标的物的一切已知和其他可能存在未知的瑕疵及缺陷的任何担保责任。</w:t>
      </w:r>
    </w:p>
    <w:p w14:paraId="3FCB295C">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（3）已知优先购买权人由管理人通知，未接到通知的，本公示</w:t>
      </w:r>
      <w:r>
        <w:rPr>
          <w:rFonts w:hint="eastAsia" w:cs="仿宋"/>
          <w:bCs/>
          <w:color w:val="000000" w:themeColor="text1"/>
          <w:kern w:val="0"/>
          <w:sz w:val="24"/>
          <w:szCs w:val="24"/>
          <w14:textFill>
            <w14:solidFill>
              <w14:schemeClr w14:val="tx1"/>
            </w14:solidFill>
          </w14:textFill>
        </w:rPr>
        <w:t>满5日视为已经通知。</w:t>
      </w:r>
    </w:p>
    <w:p w14:paraId="6FFE89D5">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bCs/>
          <w:color w:val="000000" w:themeColor="text1"/>
          <w:kern w:val="0"/>
          <w:sz w:val="24"/>
          <w:szCs w:val="24"/>
          <w14:textFill>
            <w14:solidFill>
              <w14:schemeClr w14:val="tx1"/>
            </w14:solidFill>
          </w14:textFill>
        </w:rPr>
        <w:t>（4）对上述标的物的权属有异议者，请于拍卖开始前3日与管理人联系。</w:t>
      </w:r>
    </w:p>
    <w:p w14:paraId="12FAA14D">
      <w:pPr>
        <w:pStyle w:val="7"/>
        <w:spacing w:before="0" w:beforeAutospacing="0" w:after="0" w:afterAutospacing="0" w:line="440" w:lineRule="exact"/>
        <w:ind w:firstLine="480"/>
        <w:rPr>
          <w:rFonts w:hint="eastAsia" w:cs="仿宋"/>
          <w:color w:val="000000" w:themeColor="text1"/>
          <w:szCs w:val="24"/>
          <w14:textFill>
            <w14:solidFill>
              <w14:schemeClr w14:val="tx1"/>
            </w14:solidFill>
          </w14:textFill>
        </w:rPr>
      </w:pPr>
      <w:r>
        <w:rPr>
          <w:rFonts w:hint="eastAsia" w:cs="仿宋"/>
          <w:bCs/>
          <w:color w:val="000000" w:themeColor="text1"/>
          <w:szCs w:val="24"/>
          <w14:textFill>
            <w14:solidFill>
              <w14:schemeClr w14:val="tx1"/>
            </w14:solidFill>
          </w14:textFill>
        </w:rPr>
        <w:t>2、</w:t>
      </w:r>
      <w:r>
        <w:rPr>
          <w:rFonts w:hint="eastAsia" w:cs="仿宋"/>
          <w:color w:val="000000"/>
        </w:rPr>
        <w:t>因标的为破产财产性质，标的成交后，管理人</w:t>
      </w:r>
      <w:r>
        <w:rPr>
          <w:rFonts w:hint="eastAsia" w:cs="仿宋"/>
          <w:color w:val="000000"/>
          <w:lang w:val="en-US" w:eastAsia="zh-CN"/>
        </w:rPr>
        <w:t>不承诺</w:t>
      </w:r>
      <w:r>
        <w:rPr>
          <w:rFonts w:hint="eastAsia" w:cs="仿宋"/>
          <w:color w:val="000000"/>
        </w:rPr>
        <w:t>提供发票。</w:t>
      </w:r>
    </w:p>
    <w:p w14:paraId="340AB042">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bCs/>
          <w:color w:val="000000" w:themeColor="text1"/>
          <w:kern w:val="0"/>
          <w:sz w:val="24"/>
          <w:szCs w:val="24"/>
          <w14:textFill>
            <w14:solidFill>
              <w14:schemeClr w14:val="tx1"/>
            </w14:solidFill>
          </w14:textFill>
        </w:rPr>
        <w:t>3、参加竞买的人应当遵守《竞买公告》《竞买须知》等规定，不得阻扰其他竞买人竞拍，不得操纵、垄断竞拍价格，严禁竞买人恶意串标，上述行为一经发现，将取消其竞买资格，并追究相关的法律责任。</w:t>
      </w:r>
    </w:p>
    <w:p w14:paraId="1918B10A">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bCs/>
          <w:color w:val="000000" w:themeColor="text1"/>
          <w:kern w:val="0"/>
          <w:sz w:val="24"/>
          <w:szCs w:val="24"/>
          <w14:textFill>
            <w14:solidFill>
              <w14:schemeClr w14:val="tx1"/>
            </w14:solidFill>
          </w14:textFill>
        </w:rPr>
        <w:t>4、管理人可依法定事由暂缓拍卖、中止拍卖或撤回拍卖。</w:t>
      </w:r>
    </w:p>
    <w:p w14:paraId="634C9709">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竞买人在拍卖竞价前请务必仔细阅读管理人及拍卖机构发布的《竞买公告》《竞买须知》等材料所披露的内容，进行实地看样、调查标的物信息（如过户要求等）、了解竞买资质、竞价规则、尾款支付等内容。如违反相关约定，您的保证金可能会被划扣并产生其他法律责任，请理性参拍。</w:t>
      </w:r>
    </w:p>
    <w:p w14:paraId="0C4B1C4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5、如无特别说明，本《竞买公告》中的“日”为自然日。 </w:t>
      </w:r>
    </w:p>
    <w:p w14:paraId="38886167">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本公告未尽事宜，请拨打有关电话咨询。</w:t>
      </w:r>
    </w:p>
    <w:p w14:paraId="630D7A31">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咨询电话&amp;自助预约：</w:t>
      </w:r>
    </w:p>
    <w:p w14:paraId="17159879">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重庆光大佳拍拍卖有限公司：400-8336773 郭老师15123440300</w:t>
      </w:r>
    </w:p>
    <w:p w14:paraId="3287184C">
      <w:pPr>
        <w:widowControl/>
        <w:spacing w:line="440" w:lineRule="exact"/>
        <w:ind w:right="720" w:firstLine="480"/>
        <w:rPr>
          <w:rFonts w:hint="eastAsia" w:cs="仿宋"/>
          <w:color w:val="000000"/>
          <w:sz w:val="24"/>
          <w:szCs w:val="24"/>
        </w:rPr>
      </w:pPr>
      <w:r>
        <w:rPr>
          <w:rFonts w:hint="eastAsia" w:cs="仿宋"/>
          <w:color w:val="000000"/>
          <w:sz w:val="24"/>
          <w:szCs w:val="24"/>
        </w:rPr>
        <w:t>淘宝技术咨询电话：400-822-2870</w:t>
      </w:r>
    </w:p>
    <w:p w14:paraId="03BBFA3F">
      <w:pPr>
        <w:widowControl/>
        <w:spacing w:line="440" w:lineRule="exact"/>
        <w:ind w:right="720" w:firstLine="3360" w:firstLineChars="140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重庆凯尔特机械制造有限公司管理人</w:t>
      </w:r>
    </w:p>
    <w:p w14:paraId="5D7C062C">
      <w:pPr>
        <w:tabs>
          <w:tab w:val="left" w:pos="5205"/>
        </w:tabs>
        <w:spacing w:line="440" w:lineRule="exact"/>
        <w:ind w:firstLine="4800" w:firstLineChars="200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2025年</w:t>
      </w:r>
      <w:r>
        <w:rPr>
          <w:rFonts w:hint="eastAsia" w:cs="仿宋"/>
          <w:color w:val="000000" w:themeColor="text1"/>
          <w:kern w:val="0"/>
          <w:sz w:val="24"/>
          <w:szCs w:val="24"/>
          <w:lang w:val="en-US" w:eastAsia="zh-CN"/>
          <w14:textFill>
            <w14:solidFill>
              <w14:schemeClr w14:val="tx1"/>
            </w14:solidFill>
          </w14:textFill>
        </w:rPr>
        <w:t>11</w:t>
      </w:r>
      <w:r>
        <w:rPr>
          <w:rFonts w:hint="eastAsia" w:cs="仿宋"/>
          <w:color w:val="000000" w:themeColor="text1"/>
          <w:kern w:val="0"/>
          <w:sz w:val="24"/>
          <w:szCs w:val="24"/>
          <w14:textFill>
            <w14:solidFill>
              <w14:schemeClr w14:val="tx1"/>
            </w14:solidFill>
          </w14:textFill>
        </w:rPr>
        <w:t>月</w:t>
      </w:r>
      <w:r>
        <w:rPr>
          <w:rFonts w:hint="eastAsia" w:cs="仿宋"/>
          <w:color w:val="000000" w:themeColor="text1"/>
          <w:kern w:val="0"/>
          <w:sz w:val="24"/>
          <w:szCs w:val="24"/>
          <w:lang w:val="en-US" w:eastAsia="zh-CN"/>
          <w14:textFill>
            <w14:solidFill>
              <w14:schemeClr w14:val="tx1"/>
            </w14:solidFill>
          </w14:textFill>
        </w:rPr>
        <w:t>27</w:t>
      </w:r>
      <w:r>
        <w:rPr>
          <w:rFonts w:hint="eastAsia" w:cs="仿宋"/>
          <w:color w:val="000000" w:themeColor="text1"/>
          <w:kern w:val="0"/>
          <w:sz w:val="24"/>
          <w:szCs w:val="24"/>
          <w14:textFill>
            <w14:solidFill>
              <w14:schemeClr w14:val="tx1"/>
            </w14:solidFill>
          </w14:textFill>
        </w:rPr>
        <w:t>日</w:t>
      </w:r>
    </w:p>
    <w:p w14:paraId="7A05A42B">
      <w:pPr>
        <w:tabs>
          <w:tab w:val="left" w:pos="5205"/>
        </w:tabs>
        <w:spacing w:line="440" w:lineRule="exact"/>
        <w:ind w:right="1680" w:firstLine="723"/>
        <w:rPr>
          <w:rFonts w:hint="eastAsia" w:cs="仿宋"/>
          <w:b/>
          <w:bCs/>
          <w:sz w:val="36"/>
          <w:szCs w:val="36"/>
        </w:rPr>
      </w:pPr>
    </w:p>
    <w:p w14:paraId="4577EBD3">
      <w:pPr>
        <w:tabs>
          <w:tab w:val="left" w:pos="5205"/>
        </w:tabs>
        <w:spacing w:line="440" w:lineRule="exact"/>
        <w:ind w:right="1680" w:firstLine="2409" w:firstLineChars="1000"/>
        <w:rPr>
          <w:rFonts w:hint="eastAsia" w:cs="仿宋"/>
          <w:b/>
          <w:bCs/>
          <w:sz w:val="36"/>
          <w:szCs w:val="36"/>
        </w:rPr>
      </w:pPr>
      <w:r>
        <w:rPr>
          <w:rFonts w:hint="eastAsia" w:cs="仿宋"/>
          <w:b/>
          <w:bCs/>
          <w:sz w:val="24"/>
          <w:szCs w:val="24"/>
        </w:rPr>
        <w:t xml:space="preserve">      </w:t>
      </w:r>
      <w:r>
        <w:rPr>
          <w:rFonts w:hint="eastAsia" w:cs="仿宋"/>
          <w:b/>
          <w:bCs/>
          <w:sz w:val="36"/>
          <w:szCs w:val="36"/>
        </w:rPr>
        <w:t>竞买须知</w:t>
      </w:r>
    </w:p>
    <w:p w14:paraId="249ECE34">
      <w:pPr>
        <w:tabs>
          <w:tab w:val="left" w:pos="5205"/>
        </w:tabs>
        <w:spacing w:line="440" w:lineRule="exact"/>
        <w:ind w:right="1680" w:firstLine="3614" w:firstLineChars="1000"/>
        <w:rPr>
          <w:rFonts w:hint="eastAsia" w:cs="仿宋"/>
          <w:b/>
          <w:bCs/>
          <w:sz w:val="36"/>
          <w:szCs w:val="36"/>
        </w:rPr>
      </w:pPr>
    </w:p>
    <w:p w14:paraId="7B595E7A">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重庆凯尔特机械制造有限公司管理人（以下简称“管理人”）将于</w:t>
      </w:r>
      <w:r>
        <w:rPr>
          <w:rFonts w:hint="eastAsia" w:cs="仿宋"/>
          <w:b/>
          <w:color w:val="000000" w:themeColor="text1"/>
          <w:kern w:val="0"/>
          <w:sz w:val="24"/>
          <w:szCs w:val="24"/>
          <w14:textFill>
            <w14:solidFill>
              <w14:schemeClr w14:val="tx1"/>
            </w14:solidFill>
          </w14:textFill>
        </w:rPr>
        <w:t>2025年</w:t>
      </w:r>
      <w:r>
        <w:rPr>
          <w:rFonts w:hint="eastAsia" w:cs="仿宋"/>
          <w:b/>
          <w:color w:val="000000" w:themeColor="text1"/>
          <w:kern w:val="0"/>
          <w:sz w:val="24"/>
          <w:szCs w:val="24"/>
          <w:lang w:val="en-US" w:eastAsia="zh-CN"/>
          <w14:textFill>
            <w14:solidFill>
              <w14:schemeClr w14:val="tx1"/>
            </w14:solidFill>
          </w14:textFill>
        </w:rPr>
        <w:t>12</w:t>
      </w:r>
      <w:r>
        <w:rPr>
          <w:rFonts w:hint="eastAsia" w:cs="仿宋"/>
          <w:b/>
          <w:color w:val="000000" w:themeColor="text1"/>
          <w:kern w:val="0"/>
          <w:sz w:val="24"/>
          <w:szCs w:val="24"/>
          <w14:textFill>
            <w14:solidFill>
              <w14:schemeClr w14:val="tx1"/>
            </w14:solidFill>
          </w14:textFill>
        </w:rPr>
        <w:t>月</w:t>
      </w:r>
      <w:r>
        <w:rPr>
          <w:rFonts w:hint="eastAsia" w:cs="仿宋"/>
          <w:b/>
          <w:color w:val="000000" w:themeColor="text1"/>
          <w:kern w:val="0"/>
          <w:sz w:val="24"/>
          <w:szCs w:val="24"/>
          <w:lang w:val="en-US" w:eastAsia="zh-CN"/>
          <w14:textFill>
            <w14:solidFill>
              <w14:schemeClr w14:val="tx1"/>
            </w14:solidFill>
          </w14:textFill>
        </w:rPr>
        <w:t>8</w:t>
      </w:r>
      <w:r>
        <w:rPr>
          <w:rFonts w:hint="eastAsia" w:cs="仿宋"/>
          <w:b/>
          <w:color w:val="000000" w:themeColor="text1"/>
          <w:kern w:val="0"/>
          <w:sz w:val="24"/>
          <w:szCs w:val="24"/>
          <w14:textFill>
            <w14:solidFill>
              <w14:schemeClr w14:val="tx1"/>
            </w14:solidFill>
          </w14:textFill>
        </w:rPr>
        <w:t>日10时至2025年</w:t>
      </w:r>
      <w:r>
        <w:rPr>
          <w:rFonts w:hint="eastAsia" w:cs="仿宋"/>
          <w:b/>
          <w:color w:val="000000" w:themeColor="text1"/>
          <w:kern w:val="0"/>
          <w:sz w:val="24"/>
          <w:szCs w:val="24"/>
          <w:lang w:val="en-US" w:eastAsia="zh-CN"/>
          <w14:textFill>
            <w14:solidFill>
              <w14:schemeClr w14:val="tx1"/>
            </w14:solidFill>
          </w14:textFill>
        </w:rPr>
        <w:t>12</w:t>
      </w:r>
      <w:r>
        <w:rPr>
          <w:rFonts w:hint="eastAsia" w:cs="仿宋"/>
          <w:b/>
          <w:color w:val="000000" w:themeColor="text1"/>
          <w:kern w:val="0"/>
          <w:sz w:val="24"/>
          <w:szCs w:val="24"/>
          <w14:textFill>
            <w14:solidFill>
              <w14:schemeClr w14:val="tx1"/>
            </w14:solidFill>
          </w14:textFill>
        </w:rPr>
        <w:t>月</w:t>
      </w:r>
      <w:r>
        <w:rPr>
          <w:rFonts w:hint="eastAsia" w:cs="仿宋"/>
          <w:b/>
          <w:color w:val="000000" w:themeColor="text1"/>
          <w:kern w:val="0"/>
          <w:sz w:val="24"/>
          <w:szCs w:val="24"/>
          <w:lang w:val="en-US" w:eastAsia="zh-CN"/>
          <w14:textFill>
            <w14:solidFill>
              <w14:schemeClr w14:val="tx1"/>
            </w14:solidFill>
          </w14:textFill>
        </w:rPr>
        <w:t>9</w:t>
      </w:r>
      <w:r>
        <w:rPr>
          <w:rFonts w:hint="eastAsia" w:cs="仿宋"/>
          <w:b/>
          <w:color w:val="000000" w:themeColor="text1"/>
          <w:kern w:val="0"/>
          <w:sz w:val="24"/>
          <w:szCs w:val="24"/>
          <w14:textFill>
            <w14:solidFill>
              <w14:schemeClr w14:val="tx1"/>
            </w14:solidFill>
          </w14:textFill>
        </w:rPr>
        <w:t>日10时止</w:t>
      </w:r>
      <w:r>
        <w:rPr>
          <w:rFonts w:hint="eastAsia" w:cs="仿宋"/>
          <w:color w:val="000000" w:themeColor="text1"/>
          <w:kern w:val="0"/>
          <w:sz w:val="24"/>
          <w:szCs w:val="24"/>
          <w14:textFill>
            <w14:solidFill>
              <w14:schemeClr w14:val="tx1"/>
            </w14:solidFill>
          </w14:textFill>
        </w:rPr>
        <w:t>（延时除外）在淘宝网阿里拍卖平台上（委托单位：重庆凯尔特机械制造有限公司管理人，监督单位：重庆市北碚区人民法院，网址：https://susong.taobao.com）进行公开破产财产拍卖活动。</w:t>
      </w:r>
    </w:p>
    <w:p w14:paraId="2E8A7A5D">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现就网上拍卖有关事宜敬告各位竞买人：</w:t>
      </w:r>
    </w:p>
    <w:p w14:paraId="118507FF">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一、本《竞买须知》根据《中华人民共和国民事诉讼法》《最高人民法院关于人民法院网络司法拍卖若干问题的规定》等相关法律规定所制订，竞买人应认真仔细阅读，了解本须知的全部内容。</w:t>
      </w:r>
    </w:p>
    <w:p w14:paraId="37907CAE">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二、本次拍卖活动遵循“公开、公平、公正、诚实守信”的原则，拍卖活动具备法律效力。参加本次拍卖活动的当事人和竞买人必须遵守本须知的各项条款，并对自己的行为承担法律责任。</w:t>
      </w:r>
    </w:p>
    <w:p w14:paraId="3D0BFE25">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三、凡具备完全民事行为能力的公民、法人和其他组织均可参加竞买，若买受人不具备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1021B09B">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竞买人可委托代理人（具备完全民事行为能力的自然人）进行，但须在竞买开始前向拍卖公司办理委托手续；竞买成功后，竞买人（法定代表人、其他组织的负责人）须与委托代理人一同到拍卖公司办理交接手续。如委托手续不全，竞买活动认定为委托代理人的个人行为。因不符合条件参加竞买的，由竞买人自行承担相应的法律责任。</w:t>
      </w:r>
    </w:p>
    <w:p w14:paraId="7780D1A5">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四、本次拍卖活动设置延时出价功能，在拍卖活动结束前，每最后5分钟如果有竞买人出价，就自动延迟5分钟。</w:t>
      </w:r>
    </w:p>
    <w:p w14:paraId="23F78EA5">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五、本次拍卖是经法定公告期和展示期后才举行，就拍卖标的物已知及可能存在的瑕疵已在本次拍卖资料中作了详尽的说明。对拍卖标的物所作的说明和提供的资料、图片等，仅供竞买人参考，不构成对标的物的任何承诺、保证。所以请竞买人在拍卖前必须仔细审查拍卖标的物，调查是否存在瑕疵，认真研究查看所竞买标的物的实际情况，并请亲临展示现场，实地看样。未看样的竞买人视为对本标的实物现状的确认，慎重决定竞买行为，竞买人完成报名手续，即视为已完全了解并认可标的物的现状和一切已知及未知的瑕疵，并以其独立判断决定自愿以现状竞买本标的。</w:t>
      </w:r>
    </w:p>
    <w:p w14:paraId="6B281267">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对拍卖标的能否办理过户手续以及办理时间等情况，请竞买人在竞买前自行到相关职能部门咨询确认，因标的物现状及存在瑕疵等原因不能或者延迟办理过户手续造成的费用增加等情况后果自负，管理人不作能否过户及办理时间的任何承诺。</w:t>
      </w:r>
    </w:p>
    <w:p w14:paraId="7B56D7AD">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六、拍卖成交后买受人未按拍卖公告规定的期限交付完毕拍卖成交款、淘宝平台软件服务费和拍卖服务费用或因买受人资格问题导致无法过户的，管理人将重新挂拍。重新拍卖时，原买受人不得参加竞买。原买受人交纳的保证金不予退还，依次用于支付拍卖产生的费用损失、弥补重新拍卖价款低于原拍卖价款的差价、冲抵破产人的债务以及与拍卖财产相关的破产人的债务。原买受人交纳的保证金不足以弥补重新拍卖价款低于原拍卖价款的差价、拍卖产生的费用的，可以责令原买受人补交，拒绝补交的，管理人可向悔拍人追索。</w:t>
      </w:r>
    </w:p>
    <w:p w14:paraId="4D9CF52B">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七、买受人付款后应及时与管理人联系，并办理过户和交付手续，逾期不办理的应支付由此产生的费用，并承担本标的物可能发生的损毁、灭失等后果。</w:t>
      </w:r>
    </w:p>
    <w:p w14:paraId="19764D10">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八、本次拍卖活动计价货币为人民币，拍卖时的起拍价、成交价均不含买受人在拍卖标的物交割、过户时所发生的全部费用和税费。</w:t>
      </w:r>
    </w:p>
    <w:p w14:paraId="6A771B81">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九、买受人应自行办理标的相关户名变更手续。</w:t>
      </w:r>
    </w:p>
    <w:p w14:paraId="766702A5">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十、竞买人应当遵守拍卖须知的规定，不得阻挠其他竞买人竞拍，不得操纵、垄断竞拍价格，严禁竞买人恶意串标，上述行为一经发现，将取消其竞买资格，并追究相关的法律责任。</w:t>
      </w:r>
    </w:p>
    <w:p w14:paraId="68DD6B86">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十一、管理人有权依法定事由暂缓拍卖、中止拍卖或撤回拍卖。</w:t>
      </w:r>
    </w:p>
    <w:p w14:paraId="1172EFFD">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十二、凡发现拍卖中有违规行为，可如实举报。</w:t>
      </w:r>
    </w:p>
    <w:p w14:paraId="016D7D81">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 xml:space="preserve">特别提醒：竞买人在拍卖竞价前请务必再仔细阅读管理人发布的《竞买公告》《竞买须知》等材料所披露的内容，了解标的情况、竞价规则、交款方式、法律责任。 </w:t>
      </w:r>
    </w:p>
    <w:p w14:paraId="60746101">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咨询电话&amp;自助预约：</w:t>
      </w:r>
    </w:p>
    <w:p w14:paraId="6BBA4478">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重庆光大佳拍拍卖有限公司：400-8336773 郭老师15123440300</w:t>
      </w:r>
    </w:p>
    <w:p w14:paraId="63E1A47B">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淘宝技术咨询电话：400-822-2870</w:t>
      </w:r>
    </w:p>
    <w:p w14:paraId="626FEA4F">
      <w:pPr>
        <w:widowControl/>
        <w:spacing w:line="440" w:lineRule="exact"/>
        <w:ind w:right="810" w:firstLine="2880" w:firstLineChars="120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重庆凯尔特机械制造有限公司管理人</w:t>
      </w:r>
    </w:p>
    <w:p w14:paraId="7A7CBA8D">
      <w:pPr>
        <w:widowControl/>
        <w:spacing w:line="440" w:lineRule="exact"/>
        <w:ind w:right="810" w:firstLine="480"/>
        <w:rPr>
          <w:rFonts w:hint="default" w:cs="仿宋"/>
          <w:color w:val="000000" w:themeColor="text1"/>
          <w:kern w:val="0"/>
          <w:sz w:val="24"/>
          <w:szCs w:val="24"/>
          <w:lang w:val="en-US"/>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2050" w:h="16920"/>
          <w:pgMar w:top="400" w:right="1807" w:bottom="1288" w:left="1807" w:header="0" w:footer="1135" w:gutter="0"/>
          <w:cols w:space="720" w:num="1"/>
        </w:sectPr>
      </w:pPr>
      <w:r>
        <w:rPr>
          <w:rFonts w:hint="eastAsia" w:cs="仿宋"/>
          <w:color w:val="000000" w:themeColor="text1"/>
          <w:kern w:val="0"/>
          <w:sz w:val="24"/>
          <w:szCs w:val="24"/>
          <w14:textFill>
            <w14:solidFill>
              <w14:schemeClr w14:val="tx1"/>
            </w14:solidFill>
          </w14:textFill>
        </w:rPr>
        <w:t xml:space="preserve">                              2025年</w:t>
      </w:r>
      <w:r>
        <w:rPr>
          <w:rFonts w:hint="eastAsia" w:cs="仿宋"/>
          <w:color w:val="000000" w:themeColor="text1"/>
          <w:kern w:val="0"/>
          <w:sz w:val="24"/>
          <w:szCs w:val="24"/>
          <w:lang w:val="en-US" w:eastAsia="zh-CN"/>
          <w14:textFill>
            <w14:solidFill>
              <w14:schemeClr w14:val="tx1"/>
            </w14:solidFill>
          </w14:textFill>
        </w:rPr>
        <w:t>11</w:t>
      </w:r>
      <w:r>
        <w:rPr>
          <w:rFonts w:hint="eastAsia" w:cs="仿宋"/>
          <w:color w:val="000000" w:themeColor="text1"/>
          <w:kern w:val="0"/>
          <w:sz w:val="24"/>
          <w:szCs w:val="24"/>
          <w14:textFill>
            <w14:solidFill>
              <w14:schemeClr w14:val="tx1"/>
            </w14:solidFill>
          </w14:textFill>
        </w:rPr>
        <w:t>月</w:t>
      </w:r>
      <w:bookmarkStart w:id="0" w:name="bookmark21"/>
      <w:bookmarkEnd w:id="0"/>
      <w:r>
        <w:rPr>
          <w:rFonts w:hint="eastAsia" w:cs="仿宋"/>
          <w:color w:val="000000" w:themeColor="text1"/>
          <w:kern w:val="0"/>
          <w:sz w:val="24"/>
          <w:szCs w:val="24"/>
          <w:lang w:val="en-US" w:eastAsia="zh-CN"/>
          <w14:textFill>
            <w14:solidFill>
              <w14:schemeClr w14:val="tx1"/>
            </w14:solidFill>
          </w14:textFill>
        </w:rPr>
        <w:t>27日</w:t>
      </w:r>
    </w:p>
    <w:p w14:paraId="1E0DBBF8">
      <w:pPr>
        <w:spacing w:line="440" w:lineRule="exact"/>
        <w:ind w:firstLine="0" w:firstLineChars="0"/>
        <w:rPr>
          <w:rFonts w:hint="eastAsia" w:cs="仿宋"/>
          <w:b/>
          <w:bCs/>
          <w:color w:val="000000"/>
          <w:highlight w:val="yellow"/>
        </w:rPr>
      </w:pPr>
      <w:bookmarkStart w:id="1" w:name="bookmark22"/>
      <w:bookmarkEnd w:id="1"/>
    </w:p>
    <w:sectPr>
      <w:headerReference r:id="rId13" w:type="first"/>
      <w:footerReference r:id="rId16" w:type="first"/>
      <w:headerReference r:id="rId11" w:type="default"/>
      <w:footerReference r:id="rId14" w:type="default"/>
      <w:headerReference r:id="rId12" w:type="even"/>
      <w:footerReference r:id="rId15" w:type="even"/>
      <w:pgSz w:w="11906" w:h="16838"/>
      <w:pgMar w:top="1440" w:right="1800" w:bottom="1440" w:left="1800" w:header="340" w:footer="992" w:gutter="0"/>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Arial Narrow">
    <w:panose1 w:val="020B0506020202030204"/>
    <w:charset w:val="00"/>
    <w:family w:val="swiss"/>
    <w:pitch w:val="default"/>
    <w:sig w:usb0="00000003" w:usb1="00000000" w:usb2="00000000" w:usb3="00000000" w:csb0="00000001" w:csb1="00000000"/>
  </w:font>
  <w:font w:name="Helvetica">
    <w:panose1 w:val="00000000000000000000"/>
    <w:charset w:val="00"/>
    <w:family w:val="swiss"/>
    <w:pitch w:val="default"/>
    <w:sig w:usb0="E00002FF" w:usb1="5000785B" w:usb2="00000000" w:usb3="00000000" w:csb0="2000019F" w:csb1="4F01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00000003" w:usb1="00000000" w:usb2="00000000" w:usb3="00000000" w:csb0="20000001"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759F01">
    <w:pPr>
      <w:spacing w:line="175" w:lineRule="auto"/>
      <w:ind w:left="4122" w:firstLine="320"/>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13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082282">
    <w:pPr>
      <w:pStyle w:val="5"/>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DC94E8">
    <w:pPr>
      <w:pStyle w:val="5"/>
      <w:ind w:firstLine="36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B97E0">
    <w:pPr>
      <w:pStyle w:val="5"/>
      <w:ind w:firstLine="360"/>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9055BBC">
                          <w:pPr>
                            <w:pStyle w:val="5"/>
                            <w:ind w:firstLine="360"/>
                            <w:rPr>
                              <w:rFonts w:hint="eastAsia"/>
                            </w:rP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29055BBC">
                    <w:pPr>
                      <w:pStyle w:val="5"/>
                      <w:ind w:firstLine="360"/>
                      <w:rPr>
                        <w:rFonts w:hint="eastAsia"/>
                      </w:rPr>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869BE">
    <w:pPr>
      <w:pStyle w:val="5"/>
      <w:ind w:firstLine="360"/>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06E68">
    <w:pPr>
      <w:pStyle w:val="5"/>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7F9E5">
    <w:pPr>
      <w:pStyle w:val="6"/>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00A158">
    <w:pPr>
      <w:pStyle w:val="6"/>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BC2AE9">
    <w:pPr>
      <w:pStyle w:val="6"/>
      <w:ind w:firstLine="360"/>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9DF8F3">
    <w:pPr>
      <w:pStyle w:val="6"/>
      <w:ind w:firstLine="0" w:firstLineChars="0"/>
      <w:rPr>
        <w:rFonts w:hint="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E6A15">
    <w:pPr>
      <w:pStyle w:val="6"/>
      <w:ind w:firstLine="360"/>
      <w:rPr>
        <w:rFonts w:hint="eastAsia"/>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C0964">
    <w:pPr>
      <w:pStyle w:val="6"/>
      <w:ind w:firstLine="360"/>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3F72C2"/>
    <w:multiLevelType w:val="singleLevel"/>
    <w:tmpl w:val="123F72C2"/>
    <w:lvl w:ilvl="0" w:tentative="0">
      <w:start w:val="2"/>
      <w:numFmt w:val="decimal"/>
      <w:suff w:val="nothing"/>
      <w:lvlText w:val="（%1）"/>
      <w:lvlJc w:val="left"/>
    </w:lvl>
  </w:abstractNum>
  <w:abstractNum w:abstractNumId="1">
    <w:nsid w:val="4EA9EABF"/>
    <w:multiLevelType w:val="singleLevel"/>
    <w:tmpl w:val="4EA9EAB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2"/>
  <w:embedSystemFonts/>
  <w:bordersDoNotSurroundHeader w:val="1"/>
  <w:bordersDoNotSurroundFooter w:val="1"/>
  <w:documentProtection w:enforcement="0"/>
  <w:defaultTabStop w:val="420"/>
  <w:drawingGridHorizontalSpacing w:val="140"/>
  <w:drawingGridVerticalSpacing w:val="38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JhMjZlNjRlMDJmYzRhYjE1Yjg1MTZkY2IzNWJlNWUifQ=="/>
  </w:docVars>
  <w:rsids>
    <w:rsidRoot w:val="1DD62725"/>
    <w:rsid w:val="00022A4D"/>
    <w:rsid w:val="000312F4"/>
    <w:rsid w:val="00067AC1"/>
    <w:rsid w:val="00197CA7"/>
    <w:rsid w:val="001A2968"/>
    <w:rsid w:val="001D2AC1"/>
    <w:rsid w:val="00247DE1"/>
    <w:rsid w:val="0025297C"/>
    <w:rsid w:val="00264E69"/>
    <w:rsid w:val="0027032F"/>
    <w:rsid w:val="00286E76"/>
    <w:rsid w:val="002D13C4"/>
    <w:rsid w:val="002E0750"/>
    <w:rsid w:val="0033030B"/>
    <w:rsid w:val="003550AC"/>
    <w:rsid w:val="003570D5"/>
    <w:rsid w:val="00385A66"/>
    <w:rsid w:val="003A1357"/>
    <w:rsid w:val="003B7DE8"/>
    <w:rsid w:val="004020EF"/>
    <w:rsid w:val="004032A1"/>
    <w:rsid w:val="004137ED"/>
    <w:rsid w:val="00426FD1"/>
    <w:rsid w:val="004839AA"/>
    <w:rsid w:val="00497058"/>
    <w:rsid w:val="004B46A0"/>
    <w:rsid w:val="004C051E"/>
    <w:rsid w:val="004C0D01"/>
    <w:rsid w:val="004F1AD4"/>
    <w:rsid w:val="00505B2C"/>
    <w:rsid w:val="00554605"/>
    <w:rsid w:val="005D7A31"/>
    <w:rsid w:val="00600745"/>
    <w:rsid w:val="00607B84"/>
    <w:rsid w:val="006B1B7A"/>
    <w:rsid w:val="006B31C3"/>
    <w:rsid w:val="006B6BF0"/>
    <w:rsid w:val="006E252C"/>
    <w:rsid w:val="006F6FCF"/>
    <w:rsid w:val="00747F57"/>
    <w:rsid w:val="0076109D"/>
    <w:rsid w:val="007A75BB"/>
    <w:rsid w:val="00854487"/>
    <w:rsid w:val="00886148"/>
    <w:rsid w:val="0089331D"/>
    <w:rsid w:val="008A364A"/>
    <w:rsid w:val="008C13BA"/>
    <w:rsid w:val="008C705A"/>
    <w:rsid w:val="009314E8"/>
    <w:rsid w:val="00965A64"/>
    <w:rsid w:val="009A5857"/>
    <w:rsid w:val="009C0E8A"/>
    <w:rsid w:val="009D7CC5"/>
    <w:rsid w:val="009E6400"/>
    <w:rsid w:val="009F743B"/>
    <w:rsid w:val="00AC096F"/>
    <w:rsid w:val="00AC7265"/>
    <w:rsid w:val="00AD0E9C"/>
    <w:rsid w:val="00AD7288"/>
    <w:rsid w:val="00AE409C"/>
    <w:rsid w:val="00AE4C48"/>
    <w:rsid w:val="00B04FCD"/>
    <w:rsid w:val="00B27A9E"/>
    <w:rsid w:val="00B503A1"/>
    <w:rsid w:val="00B71F65"/>
    <w:rsid w:val="00B81946"/>
    <w:rsid w:val="00BB0DC6"/>
    <w:rsid w:val="00BF126A"/>
    <w:rsid w:val="00C21E0D"/>
    <w:rsid w:val="00C371D7"/>
    <w:rsid w:val="00C76C69"/>
    <w:rsid w:val="00C77858"/>
    <w:rsid w:val="00D43CC9"/>
    <w:rsid w:val="00D61954"/>
    <w:rsid w:val="00D763FA"/>
    <w:rsid w:val="00DD1033"/>
    <w:rsid w:val="00DD2564"/>
    <w:rsid w:val="00DE5A4D"/>
    <w:rsid w:val="00E16CF5"/>
    <w:rsid w:val="00E16FE2"/>
    <w:rsid w:val="00E315FE"/>
    <w:rsid w:val="00E77BFB"/>
    <w:rsid w:val="00E824FB"/>
    <w:rsid w:val="00E82FCA"/>
    <w:rsid w:val="00E963AE"/>
    <w:rsid w:val="00ED2244"/>
    <w:rsid w:val="00EE2945"/>
    <w:rsid w:val="00EF7950"/>
    <w:rsid w:val="00F206B7"/>
    <w:rsid w:val="00F230C8"/>
    <w:rsid w:val="00F83E5F"/>
    <w:rsid w:val="00FA2221"/>
    <w:rsid w:val="00FD72DB"/>
    <w:rsid w:val="01001B5E"/>
    <w:rsid w:val="01101675"/>
    <w:rsid w:val="014F6641"/>
    <w:rsid w:val="01830099"/>
    <w:rsid w:val="018A58CB"/>
    <w:rsid w:val="018E7169"/>
    <w:rsid w:val="01A06E9D"/>
    <w:rsid w:val="01C0753F"/>
    <w:rsid w:val="01FF0067"/>
    <w:rsid w:val="026B3007"/>
    <w:rsid w:val="02781BC8"/>
    <w:rsid w:val="029C3B08"/>
    <w:rsid w:val="02AE7FC0"/>
    <w:rsid w:val="02ED1C6E"/>
    <w:rsid w:val="02FD614F"/>
    <w:rsid w:val="0341645D"/>
    <w:rsid w:val="034F0B7A"/>
    <w:rsid w:val="03595555"/>
    <w:rsid w:val="0371289F"/>
    <w:rsid w:val="037D56E7"/>
    <w:rsid w:val="038A1BB2"/>
    <w:rsid w:val="03CB2647"/>
    <w:rsid w:val="03E017D2"/>
    <w:rsid w:val="0405748B"/>
    <w:rsid w:val="04131BA8"/>
    <w:rsid w:val="0442423B"/>
    <w:rsid w:val="04C23706"/>
    <w:rsid w:val="04F512AE"/>
    <w:rsid w:val="04F63B35"/>
    <w:rsid w:val="054B5371"/>
    <w:rsid w:val="055E6E53"/>
    <w:rsid w:val="05976809"/>
    <w:rsid w:val="05E774BE"/>
    <w:rsid w:val="05E82BC0"/>
    <w:rsid w:val="06304C93"/>
    <w:rsid w:val="06A82B4A"/>
    <w:rsid w:val="06B34F7C"/>
    <w:rsid w:val="06C929F2"/>
    <w:rsid w:val="06E27EA0"/>
    <w:rsid w:val="06F21F49"/>
    <w:rsid w:val="074A1D85"/>
    <w:rsid w:val="075A189C"/>
    <w:rsid w:val="076F3599"/>
    <w:rsid w:val="07832BA1"/>
    <w:rsid w:val="08760957"/>
    <w:rsid w:val="088C0B52"/>
    <w:rsid w:val="08DF02AB"/>
    <w:rsid w:val="091D16F2"/>
    <w:rsid w:val="09336848"/>
    <w:rsid w:val="093F343F"/>
    <w:rsid w:val="095567BF"/>
    <w:rsid w:val="0958005D"/>
    <w:rsid w:val="09644C54"/>
    <w:rsid w:val="09CB6A81"/>
    <w:rsid w:val="09D73678"/>
    <w:rsid w:val="09FE6E56"/>
    <w:rsid w:val="0A03621B"/>
    <w:rsid w:val="0A120903"/>
    <w:rsid w:val="0A20501F"/>
    <w:rsid w:val="0A2E773B"/>
    <w:rsid w:val="0A3B59B5"/>
    <w:rsid w:val="0A410AF1"/>
    <w:rsid w:val="0A9006DB"/>
    <w:rsid w:val="0AA7129C"/>
    <w:rsid w:val="0AAF1EFF"/>
    <w:rsid w:val="0AE55920"/>
    <w:rsid w:val="0AF8773E"/>
    <w:rsid w:val="0BA63302"/>
    <w:rsid w:val="0BA8707A"/>
    <w:rsid w:val="0BDF05C2"/>
    <w:rsid w:val="0BEB6F66"/>
    <w:rsid w:val="0C0B7609"/>
    <w:rsid w:val="0C25691C"/>
    <w:rsid w:val="0C525237"/>
    <w:rsid w:val="0C8C699B"/>
    <w:rsid w:val="0CAC0DEC"/>
    <w:rsid w:val="0CD17EAA"/>
    <w:rsid w:val="0D4252AC"/>
    <w:rsid w:val="0DA168BA"/>
    <w:rsid w:val="0DDA0424"/>
    <w:rsid w:val="0DEA1BCB"/>
    <w:rsid w:val="0DED6896"/>
    <w:rsid w:val="0E1924B1"/>
    <w:rsid w:val="0E1C78AB"/>
    <w:rsid w:val="0E2350DD"/>
    <w:rsid w:val="0E664FCA"/>
    <w:rsid w:val="0E76520D"/>
    <w:rsid w:val="0E813BB2"/>
    <w:rsid w:val="0EE26884"/>
    <w:rsid w:val="0F242EBB"/>
    <w:rsid w:val="0F5D461F"/>
    <w:rsid w:val="0F707EAE"/>
    <w:rsid w:val="0FBD6E6C"/>
    <w:rsid w:val="10044A9B"/>
    <w:rsid w:val="102E1B18"/>
    <w:rsid w:val="109B3C1F"/>
    <w:rsid w:val="10BB15FD"/>
    <w:rsid w:val="10CA7A92"/>
    <w:rsid w:val="11407D54"/>
    <w:rsid w:val="11477335"/>
    <w:rsid w:val="114A0BD3"/>
    <w:rsid w:val="11962B50"/>
    <w:rsid w:val="11C049F1"/>
    <w:rsid w:val="123A29F6"/>
    <w:rsid w:val="126161D4"/>
    <w:rsid w:val="127C519E"/>
    <w:rsid w:val="127F665A"/>
    <w:rsid w:val="128227EB"/>
    <w:rsid w:val="12F50D75"/>
    <w:rsid w:val="1300779B"/>
    <w:rsid w:val="13090836"/>
    <w:rsid w:val="135F4D2E"/>
    <w:rsid w:val="136046DE"/>
    <w:rsid w:val="137368C9"/>
    <w:rsid w:val="13AF2F6F"/>
    <w:rsid w:val="14072DAB"/>
    <w:rsid w:val="143516C6"/>
    <w:rsid w:val="143D585F"/>
    <w:rsid w:val="148A7AAA"/>
    <w:rsid w:val="14B65F88"/>
    <w:rsid w:val="14D013EF"/>
    <w:rsid w:val="14DA401C"/>
    <w:rsid w:val="152754B3"/>
    <w:rsid w:val="15431BC1"/>
    <w:rsid w:val="15A46B04"/>
    <w:rsid w:val="15DB629E"/>
    <w:rsid w:val="15F630D7"/>
    <w:rsid w:val="16225C7A"/>
    <w:rsid w:val="162639BD"/>
    <w:rsid w:val="162B09F7"/>
    <w:rsid w:val="165247B2"/>
    <w:rsid w:val="166242C9"/>
    <w:rsid w:val="1675655A"/>
    <w:rsid w:val="16775FC6"/>
    <w:rsid w:val="167C4F45"/>
    <w:rsid w:val="169B7533"/>
    <w:rsid w:val="16BE1E47"/>
    <w:rsid w:val="16D57191"/>
    <w:rsid w:val="16E64EFA"/>
    <w:rsid w:val="170D6125"/>
    <w:rsid w:val="17321EED"/>
    <w:rsid w:val="17565926"/>
    <w:rsid w:val="1759391E"/>
    <w:rsid w:val="176F3141"/>
    <w:rsid w:val="17B53901"/>
    <w:rsid w:val="17C214C3"/>
    <w:rsid w:val="17E07B9B"/>
    <w:rsid w:val="17EFC9AB"/>
    <w:rsid w:val="18090EA0"/>
    <w:rsid w:val="181318E9"/>
    <w:rsid w:val="18187335"/>
    <w:rsid w:val="184E71FB"/>
    <w:rsid w:val="18694035"/>
    <w:rsid w:val="18B427A7"/>
    <w:rsid w:val="18BA03EC"/>
    <w:rsid w:val="18DC1D35"/>
    <w:rsid w:val="18E15979"/>
    <w:rsid w:val="18F558C8"/>
    <w:rsid w:val="19377C8F"/>
    <w:rsid w:val="193A3718"/>
    <w:rsid w:val="19893A61"/>
    <w:rsid w:val="19AE61A3"/>
    <w:rsid w:val="19D83CDD"/>
    <w:rsid w:val="19DE635C"/>
    <w:rsid w:val="19EE2A43"/>
    <w:rsid w:val="19EF056A"/>
    <w:rsid w:val="1A253F8B"/>
    <w:rsid w:val="1A27385F"/>
    <w:rsid w:val="1A450189"/>
    <w:rsid w:val="1A5B79AD"/>
    <w:rsid w:val="1A864A2A"/>
    <w:rsid w:val="1A872550"/>
    <w:rsid w:val="1A9B24CF"/>
    <w:rsid w:val="1AB865A1"/>
    <w:rsid w:val="1AEF6A73"/>
    <w:rsid w:val="1BA23AE5"/>
    <w:rsid w:val="1BA64C58"/>
    <w:rsid w:val="1BA906A4"/>
    <w:rsid w:val="1BEA723A"/>
    <w:rsid w:val="1C4032FE"/>
    <w:rsid w:val="1C4050AC"/>
    <w:rsid w:val="1C5D5C5E"/>
    <w:rsid w:val="1CB33AD0"/>
    <w:rsid w:val="1CDA105D"/>
    <w:rsid w:val="1CFC5477"/>
    <w:rsid w:val="1D13456F"/>
    <w:rsid w:val="1D50131F"/>
    <w:rsid w:val="1D5F5A06"/>
    <w:rsid w:val="1DA04055"/>
    <w:rsid w:val="1DD62725"/>
    <w:rsid w:val="1DEA1774"/>
    <w:rsid w:val="1DF63C75"/>
    <w:rsid w:val="1E0A3BC4"/>
    <w:rsid w:val="1E1B08C9"/>
    <w:rsid w:val="1E2307E2"/>
    <w:rsid w:val="1E256308"/>
    <w:rsid w:val="1E7A2AF8"/>
    <w:rsid w:val="1E8131C0"/>
    <w:rsid w:val="1E92548C"/>
    <w:rsid w:val="1E9F430C"/>
    <w:rsid w:val="1EBC3110"/>
    <w:rsid w:val="1ED23E74"/>
    <w:rsid w:val="1F0C571A"/>
    <w:rsid w:val="1F1D7927"/>
    <w:rsid w:val="1F1F44D9"/>
    <w:rsid w:val="1F5C044F"/>
    <w:rsid w:val="1F841754"/>
    <w:rsid w:val="1F9F033C"/>
    <w:rsid w:val="1FD53D5E"/>
    <w:rsid w:val="1FE73E63"/>
    <w:rsid w:val="203B1E13"/>
    <w:rsid w:val="206C2914"/>
    <w:rsid w:val="20D61B3B"/>
    <w:rsid w:val="210466A8"/>
    <w:rsid w:val="21557AFB"/>
    <w:rsid w:val="219A0DBB"/>
    <w:rsid w:val="219D05E0"/>
    <w:rsid w:val="21BA145D"/>
    <w:rsid w:val="21FC7CC7"/>
    <w:rsid w:val="22835CF3"/>
    <w:rsid w:val="22C3204C"/>
    <w:rsid w:val="22D30A28"/>
    <w:rsid w:val="22DB78DD"/>
    <w:rsid w:val="23405992"/>
    <w:rsid w:val="235E5C65"/>
    <w:rsid w:val="237F4F9E"/>
    <w:rsid w:val="23E9366C"/>
    <w:rsid w:val="240C6A0D"/>
    <w:rsid w:val="24480FA2"/>
    <w:rsid w:val="24973CD7"/>
    <w:rsid w:val="24AC1531"/>
    <w:rsid w:val="24FF3D57"/>
    <w:rsid w:val="25162E4E"/>
    <w:rsid w:val="253909CD"/>
    <w:rsid w:val="25695674"/>
    <w:rsid w:val="256E0241"/>
    <w:rsid w:val="25B82157"/>
    <w:rsid w:val="25D56865"/>
    <w:rsid w:val="26064C71"/>
    <w:rsid w:val="2617062E"/>
    <w:rsid w:val="262B46D7"/>
    <w:rsid w:val="26522191"/>
    <w:rsid w:val="267E6EFD"/>
    <w:rsid w:val="26B741BD"/>
    <w:rsid w:val="26EA00EF"/>
    <w:rsid w:val="26EA27E4"/>
    <w:rsid w:val="2753038A"/>
    <w:rsid w:val="27767BD4"/>
    <w:rsid w:val="27A04C51"/>
    <w:rsid w:val="27B150B0"/>
    <w:rsid w:val="27FF7BCA"/>
    <w:rsid w:val="285E0D94"/>
    <w:rsid w:val="286E4C66"/>
    <w:rsid w:val="28B71D5E"/>
    <w:rsid w:val="28ED1885"/>
    <w:rsid w:val="29514455"/>
    <w:rsid w:val="29E17ECF"/>
    <w:rsid w:val="2A04407E"/>
    <w:rsid w:val="2A047719"/>
    <w:rsid w:val="2A88659C"/>
    <w:rsid w:val="2AB4113F"/>
    <w:rsid w:val="2B177920"/>
    <w:rsid w:val="2B1C6CE5"/>
    <w:rsid w:val="2BC05085"/>
    <w:rsid w:val="2BCE4483"/>
    <w:rsid w:val="2BD33BE5"/>
    <w:rsid w:val="2BD4443B"/>
    <w:rsid w:val="2C1A3224"/>
    <w:rsid w:val="2C351E0C"/>
    <w:rsid w:val="2C4E5709"/>
    <w:rsid w:val="2C622E1D"/>
    <w:rsid w:val="2C6C77F8"/>
    <w:rsid w:val="2CF36F58"/>
    <w:rsid w:val="2D1A79A6"/>
    <w:rsid w:val="2D746964"/>
    <w:rsid w:val="2D7D7F0E"/>
    <w:rsid w:val="2DB72CF5"/>
    <w:rsid w:val="2DD43AA7"/>
    <w:rsid w:val="2DF31F7F"/>
    <w:rsid w:val="2DF67CC1"/>
    <w:rsid w:val="2E143AD7"/>
    <w:rsid w:val="2E580034"/>
    <w:rsid w:val="2E84720F"/>
    <w:rsid w:val="2E89643F"/>
    <w:rsid w:val="2E8C4181"/>
    <w:rsid w:val="2F1E302B"/>
    <w:rsid w:val="2F37233F"/>
    <w:rsid w:val="2F391C13"/>
    <w:rsid w:val="2F5F5BD2"/>
    <w:rsid w:val="2F94153F"/>
    <w:rsid w:val="2F972DDE"/>
    <w:rsid w:val="2F996B56"/>
    <w:rsid w:val="2FAB75A7"/>
    <w:rsid w:val="2FBA2AA4"/>
    <w:rsid w:val="2FE8554C"/>
    <w:rsid w:val="301937F3"/>
    <w:rsid w:val="30562C99"/>
    <w:rsid w:val="30662EDC"/>
    <w:rsid w:val="30E20088"/>
    <w:rsid w:val="30E6401D"/>
    <w:rsid w:val="314E571E"/>
    <w:rsid w:val="31D9592F"/>
    <w:rsid w:val="31EA18EB"/>
    <w:rsid w:val="31F7554C"/>
    <w:rsid w:val="324E00CB"/>
    <w:rsid w:val="32847649"/>
    <w:rsid w:val="32935ADE"/>
    <w:rsid w:val="330207B5"/>
    <w:rsid w:val="330E33B7"/>
    <w:rsid w:val="335C1D97"/>
    <w:rsid w:val="336851BD"/>
    <w:rsid w:val="337C6572"/>
    <w:rsid w:val="33AA1331"/>
    <w:rsid w:val="34012F1B"/>
    <w:rsid w:val="34144E8B"/>
    <w:rsid w:val="342D3D10"/>
    <w:rsid w:val="3445105A"/>
    <w:rsid w:val="345449AB"/>
    <w:rsid w:val="346A6D13"/>
    <w:rsid w:val="34A76274"/>
    <w:rsid w:val="34AC2E87"/>
    <w:rsid w:val="34FA5577"/>
    <w:rsid w:val="353E3A81"/>
    <w:rsid w:val="355754E9"/>
    <w:rsid w:val="35675000"/>
    <w:rsid w:val="3578720D"/>
    <w:rsid w:val="359F479A"/>
    <w:rsid w:val="35BC534C"/>
    <w:rsid w:val="362872B0"/>
    <w:rsid w:val="364041CF"/>
    <w:rsid w:val="36DB7A54"/>
    <w:rsid w:val="3770315A"/>
    <w:rsid w:val="378424C2"/>
    <w:rsid w:val="378E2D18"/>
    <w:rsid w:val="37991DE9"/>
    <w:rsid w:val="37C329C2"/>
    <w:rsid w:val="37CE1367"/>
    <w:rsid w:val="37CF580A"/>
    <w:rsid w:val="37D84F86"/>
    <w:rsid w:val="37F012DD"/>
    <w:rsid w:val="3825367C"/>
    <w:rsid w:val="386D5023"/>
    <w:rsid w:val="387D3BA5"/>
    <w:rsid w:val="38D429AD"/>
    <w:rsid w:val="38D8249D"/>
    <w:rsid w:val="38D97FC3"/>
    <w:rsid w:val="394E275F"/>
    <w:rsid w:val="396B1563"/>
    <w:rsid w:val="39B12CEE"/>
    <w:rsid w:val="39C12F31"/>
    <w:rsid w:val="39F01A68"/>
    <w:rsid w:val="39F94DC1"/>
    <w:rsid w:val="3A371445"/>
    <w:rsid w:val="3A43603C"/>
    <w:rsid w:val="3A4A1178"/>
    <w:rsid w:val="3A775CE5"/>
    <w:rsid w:val="3AE55345"/>
    <w:rsid w:val="3B1517BD"/>
    <w:rsid w:val="3B163750"/>
    <w:rsid w:val="3B2714BA"/>
    <w:rsid w:val="3BC92571"/>
    <w:rsid w:val="3BF53366"/>
    <w:rsid w:val="3C0A6853"/>
    <w:rsid w:val="3C0C6D32"/>
    <w:rsid w:val="3C2C4218"/>
    <w:rsid w:val="3C7626F9"/>
    <w:rsid w:val="3CA01523"/>
    <w:rsid w:val="3CC50F8A"/>
    <w:rsid w:val="3CED04E1"/>
    <w:rsid w:val="3D2C725B"/>
    <w:rsid w:val="3D3D3216"/>
    <w:rsid w:val="3D4A5933"/>
    <w:rsid w:val="3DC15BF5"/>
    <w:rsid w:val="3DD3675A"/>
    <w:rsid w:val="3DDA6CB7"/>
    <w:rsid w:val="3E10092B"/>
    <w:rsid w:val="3E330175"/>
    <w:rsid w:val="3E3A1504"/>
    <w:rsid w:val="3E500D27"/>
    <w:rsid w:val="3E61143D"/>
    <w:rsid w:val="3E6D7B2B"/>
    <w:rsid w:val="3ECF60F0"/>
    <w:rsid w:val="3F0D09C6"/>
    <w:rsid w:val="3F4F2DBF"/>
    <w:rsid w:val="3FC4377B"/>
    <w:rsid w:val="3FDB6D16"/>
    <w:rsid w:val="3FFF0C57"/>
    <w:rsid w:val="401D2E8B"/>
    <w:rsid w:val="40316936"/>
    <w:rsid w:val="403A3A3D"/>
    <w:rsid w:val="40610FCA"/>
    <w:rsid w:val="40624D42"/>
    <w:rsid w:val="40644F5E"/>
    <w:rsid w:val="40822062"/>
    <w:rsid w:val="410F4922"/>
    <w:rsid w:val="41820117"/>
    <w:rsid w:val="41A73354"/>
    <w:rsid w:val="41AC736C"/>
    <w:rsid w:val="41B11ADD"/>
    <w:rsid w:val="42701998"/>
    <w:rsid w:val="42CD0B98"/>
    <w:rsid w:val="43056584"/>
    <w:rsid w:val="43140575"/>
    <w:rsid w:val="43A37B4B"/>
    <w:rsid w:val="43B12268"/>
    <w:rsid w:val="43CC70A2"/>
    <w:rsid w:val="43EC14F2"/>
    <w:rsid w:val="440E3217"/>
    <w:rsid w:val="44226CC2"/>
    <w:rsid w:val="44753296"/>
    <w:rsid w:val="448654A3"/>
    <w:rsid w:val="44BF09B5"/>
    <w:rsid w:val="44C33761"/>
    <w:rsid w:val="44CB735A"/>
    <w:rsid w:val="44D34460"/>
    <w:rsid w:val="44F640F2"/>
    <w:rsid w:val="450571E8"/>
    <w:rsid w:val="454D5FC1"/>
    <w:rsid w:val="45A71B75"/>
    <w:rsid w:val="45DB2C7F"/>
    <w:rsid w:val="45EF0E26"/>
    <w:rsid w:val="4674757D"/>
    <w:rsid w:val="46FF5F5D"/>
    <w:rsid w:val="473C009B"/>
    <w:rsid w:val="47573126"/>
    <w:rsid w:val="475A6773"/>
    <w:rsid w:val="475C073D"/>
    <w:rsid w:val="477261B2"/>
    <w:rsid w:val="47D26C51"/>
    <w:rsid w:val="48082673"/>
    <w:rsid w:val="481334F1"/>
    <w:rsid w:val="48284AC3"/>
    <w:rsid w:val="48474F49"/>
    <w:rsid w:val="485D29BF"/>
    <w:rsid w:val="490F292F"/>
    <w:rsid w:val="49366D6C"/>
    <w:rsid w:val="496D6C31"/>
    <w:rsid w:val="498C682C"/>
    <w:rsid w:val="49971F00"/>
    <w:rsid w:val="49CA4084"/>
    <w:rsid w:val="49DE7B2F"/>
    <w:rsid w:val="49F11610"/>
    <w:rsid w:val="4A080708"/>
    <w:rsid w:val="4A0B01F8"/>
    <w:rsid w:val="4A0D21C2"/>
    <w:rsid w:val="4A834537"/>
    <w:rsid w:val="4AB10DA0"/>
    <w:rsid w:val="4AB4263E"/>
    <w:rsid w:val="4AF01898"/>
    <w:rsid w:val="4B09298A"/>
    <w:rsid w:val="4B133808"/>
    <w:rsid w:val="4B3A2B43"/>
    <w:rsid w:val="4B4B6AFE"/>
    <w:rsid w:val="4B700C5B"/>
    <w:rsid w:val="4B7324F9"/>
    <w:rsid w:val="4B83098E"/>
    <w:rsid w:val="4B97406D"/>
    <w:rsid w:val="4BF278C2"/>
    <w:rsid w:val="4C0B2731"/>
    <w:rsid w:val="4C6A7458"/>
    <w:rsid w:val="4CC925AB"/>
    <w:rsid w:val="4CD46FC7"/>
    <w:rsid w:val="4CF3569F"/>
    <w:rsid w:val="4D1A0E7E"/>
    <w:rsid w:val="4D704F42"/>
    <w:rsid w:val="4DA16EA9"/>
    <w:rsid w:val="4DC1754C"/>
    <w:rsid w:val="4DF27705"/>
    <w:rsid w:val="4DF711BF"/>
    <w:rsid w:val="4E067654"/>
    <w:rsid w:val="4E235B10"/>
    <w:rsid w:val="4E2E110A"/>
    <w:rsid w:val="4E416C25"/>
    <w:rsid w:val="4E555EE6"/>
    <w:rsid w:val="4E755DFB"/>
    <w:rsid w:val="4E992277"/>
    <w:rsid w:val="4EE72FE2"/>
    <w:rsid w:val="4EEE25C2"/>
    <w:rsid w:val="4EFE032C"/>
    <w:rsid w:val="4F3124AF"/>
    <w:rsid w:val="4F367AC5"/>
    <w:rsid w:val="4F416B96"/>
    <w:rsid w:val="4F691C49"/>
    <w:rsid w:val="4F8128C0"/>
    <w:rsid w:val="4FD5108C"/>
    <w:rsid w:val="4FE236DD"/>
    <w:rsid w:val="4FE6773D"/>
    <w:rsid w:val="50242014"/>
    <w:rsid w:val="502A3C18"/>
    <w:rsid w:val="50412BC6"/>
    <w:rsid w:val="508036EE"/>
    <w:rsid w:val="508807F5"/>
    <w:rsid w:val="50974594"/>
    <w:rsid w:val="50C7131D"/>
    <w:rsid w:val="514E7348"/>
    <w:rsid w:val="517951A2"/>
    <w:rsid w:val="517D19DC"/>
    <w:rsid w:val="51DF2696"/>
    <w:rsid w:val="51E85568"/>
    <w:rsid w:val="529409FA"/>
    <w:rsid w:val="52AB2578"/>
    <w:rsid w:val="52F94502"/>
    <w:rsid w:val="52FB52AE"/>
    <w:rsid w:val="531D73A2"/>
    <w:rsid w:val="5322283B"/>
    <w:rsid w:val="53EE096F"/>
    <w:rsid w:val="5425712F"/>
    <w:rsid w:val="5435659E"/>
    <w:rsid w:val="54FF095A"/>
    <w:rsid w:val="55432F3C"/>
    <w:rsid w:val="55D43B94"/>
    <w:rsid w:val="566413BC"/>
    <w:rsid w:val="56644F18"/>
    <w:rsid w:val="56812732"/>
    <w:rsid w:val="56B23ED5"/>
    <w:rsid w:val="56EF512A"/>
    <w:rsid w:val="56F3629C"/>
    <w:rsid w:val="57234DD3"/>
    <w:rsid w:val="57342B3C"/>
    <w:rsid w:val="573945F7"/>
    <w:rsid w:val="573E1C0D"/>
    <w:rsid w:val="576C0528"/>
    <w:rsid w:val="57B123DF"/>
    <w:rsid w:val="57C32112"/>
    <w:rsid w:val="57E97DCB"/>
    <w:rsid w:val="57FB18AC"/>
    <w:rsid w:val="58B85D3A"/>
    <w:rsid w:val="58F52086"/>
    <w:rsid w:val="58FA6008"/>
    <w:rsid w:val="590738DC"/>
    <w:rsid w:val="59C4289D"/>
    <w:rsid w:val="5A421A14"/>
    <w:rsid w:val="5A5534F6"/>
    <w:rsid w:val="5A8B5169"/>
    <w:rsid w:val="5A932B72"/>
    <w:rsid w:val="5AB02E22"/>
    <w:rsid w:val="5AB521E6"/>
    <w:rsid w:val="5AD76600"/>
    <w:rsid w:val="5B1A473F"/>
    <w:rsid w:val="5B81031A"/>
    <w:rsid w:val="5B955B74"/>
    <w:rsid w:val="5BB701E0"/>
    <w:rsid w:val="5BD927E0"/>
    <w:rsid w:val="5BE75033"/>
    <w:rsid w:val="5C0827EA"/>
    <w:rsid w:val="5C412946"/>
    <w:rsid w:val="5C50666A"/>
    <w:rsid w:val="5C5617A7"/>
    <w:rsid w:val="5C9D1184"/>
    <w:rsid w:val="5CB32755"/>
    <w:rsid w:val="5CED54B9"/>
    <w:rsid w:val="5D6B3030"/>
    <w:rsid w:val="5D8D2FA6"/>
    <w:rsid w:val="5DAD189A"/>
    <w:rsid w:val="5DB255F2"/>
    <w:rsid w:val="5E0B036F"/>
    <w:rsid w:val="5E0C4813"/>
    <w:rsid w:val="5E2558D5"/>
    <w:rsid w:val="5E4B4366"/>
    <w:rsid w:val="5E543AC4"/>
    <w:rsid w:val="5E850121"/>
    <w:rsid w:val="5EAC56AE"/>
    <w:rsid w:val="5EAE7678"/>
    <w:rsid w:val="5EC24ED2"/>
    <w:rsid w:val="5F0C7229"/>
    <w:rsid w:val="5F2B2C9E"/>
    <w:rsid w:val="5F3879A8"/>
    <w:rsid w:val="5F5C70D4"/>
    <w:rsid w:val="5F9525E6"/>
    <w:rsid w:val="5FD72BFF"/>
    <w:rsid w:val="5FE5531C"/>
    <w:rsid w:val="5FE926EA"/>
    <w:rsid w:val="60066961"/>
    <w:rsid w:val="601C4AB5"/>
    <w:rsid w:val="609300C1"/>
    <w:rsid w:val="60D5684F"/>
    <w:rsid w:val="60F17CF0"/>
    <w:rsid w:val="61167757"/>
    <w:rsid w:val="614147D4"/>
    <w:rsid w:val="61A74809"/>
    <w:rsid w:val="61C64CD9"/>
    <w:rsid w:val="61D27B22"/>
    <w:rsid w:val="61E33ADD"/>
    <w:rsid w:val="61F16ABA"/>
    <w:rsid w:val="621974FF"/>
    <w:rsid w:val="6220263B"/>
    <w:rsid w:val="62620EA5"/>
    <w:rsid w:val="6280132C"/>
    <w:rsid w:val="62A14285"/>
    <w:rsid w:val="62AF7E63"/>
    <w:rsid w:val="634026FE"/>
    <w:rsid w:val="63416D0D"/>
    <w:rsid w:val="635602DE"/>
    <w:rsid w:val="63AA6397"/>
    <w:rsid w:val="63B82D47"/>
    <w:rsid w:val="63D555A1"/>
    <w:rsid w:val="63DA0F0F"/>
    <w:rsid w:val="6424218B"/>
    <w:rsid w:val="642A59F3"/>
    <w:rsid w:val="642E6BDA"/>
    <w:rsid w:val="64306D81"/>
    <w:rsid w:val="646A0AE9"/>
    <w:rsid w:val="64A357A5"/>
    <w:rsid w:val="64BA1992"/>
    <w:rsid w:val="64FE6C4B"/>
    <w:rsid w:val="651144BD"/>
    <w:rsid w:val="65291426"/>
    <w:rsid w:val="6530528B"/>
    <w:rsid w:val="65527BDD"/>
    <w:rsid w:val="657824D0"/>
    <w:rsid w:val="65DB27F2"/>
    <w:rsid w:val="663C1A0D"/>
    <w:rsid w:val="669058B5"/>
    <w:rsid w:val="6692162D"/>
    <w:rsid w:val="669473E5"/>
    <w:rsid w:val="66AC7689"/>
    <w:rsid w:val="66B9305E"/>
    <w:rsid w:val="66DE3888"/>
    <w:rsid w:val="670F0ED0"/>
    <w:rsid w:val="672D1422"/>
    <w:rsid w:val="6739419F"/>
    <w:rsid w:val="67472418"/>
    <w:rsid w:val="67A764DE"/>
    <w:rsid w:val="67AE06E9"/>
    <w:rsid w:val="67DD0FCE"/>
    <w:rsid w:val="681C38A5"/>
    <w:rsid w:val="684245D9"/>
    <w:rsid w:val="6873768F"/>
    <w:rsid w:val="68B910F3"/>
    <w:rsid w:val="692D388F"/>
    <w:rsid w:val="69382960"/>
    <w:rsid w:val="69845BA5"/>
    <w:rsid w:val="69A71894"/>
    <w:rsid w:val="69BE2739"/>
    <w:rsid w:val="69D837FB"/>
    <w:rsid w:val="69FF4456"/>
    <w:rsid w:val="6A1D3904"/>
    <w:rsid w:val="6A5512F0"/>
    <w:rsid w:val="6A570BC4"/>
    <w:rsid w:val="6A7D2BFD"/>
    <w:rsid w:val="6A935974"/>
    <w:rsid w:val="6A9516EC"/>
    <w:rsid w:val="6A9E67F3"/>
    <w:rsid w:val="6AA96691"/>
    <w:rsid w:val="6ABF6769"/>
    <w:rsid w:val="6B170353"/>
    <w:rsid w:val="6B8C6F93"/>
    <w:rsid w:val="6B8D3128"/>
    <w:rsid w:val="6B9A16B0"/>
    <w:rsid w:val="6BA51E03"/>
    <w:rsid w:val="6BAA2E6F"/>
    <w:rsid w:val="6BCC55E2"/>
    <w:rsid w:val="6BDF1EF2"/>
    <w:rsid w:val="6BE73E97"/>
    <w:rsid w:val="6C1536FC"/>
    <w:rsid w:val="6C3E450D"/>
    <w:rsid w:val="6C47110C"/>
    <w:rsid w:val="6C4E5FF7"/>
    <w:rsid w:val="6C555685"/>
    <w:rsid w:val="6C5D448C"/>
    <w:rsid w:val="6C626383"/>
    <w:rsid w:val="6C7041BF"/>
    <w:rsid w:val="6C861C34"/>
    <w:rsid w:val="6CD40BF2"/>
    <w:rsid w:val="6D2154B9"/>
    <w:rsid w:val="6D65184A"/>
    <w:rsid w:val="6DCC7B1B"/>
    <w:rsid w:val="6E0F7A08"/>
    <w:rsid w:val="6E1F5E9D"/>
    <w:rsid w:val="6E217E67"/>
    <w:rsid w:val="6E386F5E"/>
    <w:rsid w:val="6E49116B"/>
    <w:rsid w:val="6E611929"/>
    <w:rsid w:val="6E91666F"/>
    <w:rsid w:val="6EA85EA1"/>
    <w:rsid w:val="6EED7D49"/>
    <w:rsid w:val="6F1928EC"/>
    <w:rsid w:val="6F4C5333"/>
    <w:rsid w:val="6F8B1310"/>
    <w:rsid w:val="6F984159"/>
    <w:rsid w:val="6FB22D40"/>
    <w:rsid w:val="6FBE7937"/>
    <w:rsid w:val="6FE729EA"/>
    <w:rsid w:val="701F1605"/>
    <w:rsid w:val="70457711"/>
    <w:rsid w:val="704A4D27"/>
    <w:rsid w:val="70657DB3"/>
    <w:rsid w:val="7084648B"/>
    <w:rsid w:val="70877D29"/>
    <w:rsid w:val="7089584F"/>
    <w:rsid w:val="708C533F"/>
    <w:rsid w:val="70EA72FC"/>
    <w:rsid w:val="711C66C3"/>
    <w:rsid w:val="71394F2A"/>
    <w:rsid w:val="714B6FA9"/>
    <w:rsid w:val="716360A0"/>
    <w:rsid w:val="718A7AD1"/>
    <w:rsid w:val="71E2790D"/>
    <w:rsid w:val="71F413EE"/>
    <w:rsid w:val="71FFDC69"/>
    <w:rsid w:val="720F68F1"/>
    <w:rsid w:val="7218332F"/>
    <w:rsid w:val="72343EE1"/>
    <w:rsid w:val="72503445"/>
    <w:rsid w:val="72A9667D"/>
    <w:rsid w:val="73117D7E"/>
    <w:rsid w:val="731C29AB"/>
    <w:rsid w:val="732F143C"/>
    <w:rsid w:val="733046A8"/>
    <w:rsid w:val="734168B5"/>
    <w:rsid w:val="7358775B"/>
    <w:rsid w:val="736C3D6A"/>
    <w:rsid w:val="739509AF"/>
    <w:rsid w:val="73B95549"/>
    <w:rsid w:val="74222496"/>
    <w:rsid w:val="742F0365"/>
    <w:rsid w:val="74530C56"/>
    <w:rsid w:val="74C337C7"/>
    <w:rsid w:val="74D95FC0"/>
    <w:rsid w:val="74EF373F"/>
    <w:rsid w:val="74F87447"/>
    <w:rsid w:val="75041948"/>
    <w:rsid w:val="751C4F54"/>
    <w:rsid w:val="751D0C5C"/>
    <w:rsid w:val="7541494A"/>
    <w:rsid w:val="75790588"/>
    <w:rsid w:val="75894543"/>
    <w:rsid w:val="75A153E9"/>
    <w:rsid w:val="75AA6994"/>
    <w:rsid w:val="75CD2682"/>
    <w:rsid w:val="75D2260E"/>
    <w:rsid w:val="75DA25BD"/>
    <w:rsid w:val="75EB48B6"/>
    <w:rsid w:val="75F45E61"/>
    <w:rsid w:val="75F75951"/>
    <w:rsid w:val="75FC6AC3"/>
    <w:rsid w:val="763C3CB7"/>
    <w:rsid w:val="764B35A7"/>
    <w:rsid w:val="765B5EE0"/>
    <w:rsid w:val="766A7ED1"/>
    <w:rsid w:val="7685321B"/>
    <w:rsid w:val="768A2321"/>
    <w:rsid w:val="76A07D97"/>
    <w:rsid w:val="76AE436A"/>
    <w:rsid w:val="76AF6FC0"/>
    <w:rsid w:val="76DB2B7D"/>
    <w:rsid w:val="76EF4BCC"/>
    <w:rsid w:val="771147F0"/>
    <w:rsid w:val="775FFD7E"/>
    <w:rsid w:val="77A47413"/>
    <w:rsid w:val="77A85155"/>
    <w:rsid w:val="78034139"/>
    <w:rsid w:val="782C7B34"/>
    <w:rsid w:val="786A27A3"/>
    <w:rsid w:val="78767001"/>
    <w:rsid w:val="788C2381"/>
    <w:rsid w:val="78E24696"/>
    <w:rsid w:val="78E33F6B"/>
    <w:rsid w:val="790F2EE8"/>
    <w:rsid w:val="79206F6D"/>
    <w:rsid w:val="79556C16"/>
    <w:rsid w:val="797057FE"/>
    <w:rsid w:val="799314ED"/>
    <w:rsid w:val="799C2A97"/>
    <w:rsid w:val="79BC6C95"/>
    <w:rsid w:val="79C1605A"/>
    <w:rsid w:val="7A291E51"/>
    <w:rsid w:val="7A492165"/>
    <w:rsid w:val="7AAD2A82"/>
    <w:rsid w:val="7AC35E02"/>
    <w:rsid w:val="7AC36E58"/>
    <w:rsid w:val="7AC53928"/>
    <w:rsid w:val="7B1B5C3E"/>
    <w:rsid w:val="7B1D3764"/>
    <w:rsid w:val="7B536B25"/>
    <w:rsid w:val="7B5C2D88"/>
    <w:rsid w:val="7BDD1145"/>
    <w:rsid w:val="7BFB1064"/>
    <w:rsid w:val="7BFE17E7"/>
    <w:rsid w:val="7C492337"/>
    <w:rsid w:val="7C885555"/>
    <w:rsid w:val="7C923CDE"/>
    <w:rsid w:val="7CDC13FD"/>
    <w:rsid w:val="7CFE75C5"/>
    <w:rsid w:val="7D0D7808"/>
    <w:rsid w:val="7D1D5C9D"/>
    <w:rsid w:val="7D3A1013"/>
    <w:rsid w:val="7D513B99"/>
    <w:rsid w:val="7D9F2B56"/>
    <w:rsid w:val="7E105802"/>
    <w:rsid w:val="7E233AB0"/>
    <w:rsid w:val="7E633B84"/>
    <w:rsid w:val="7E8B4E88"/>
    <w:rsid w:val="7E8D6E52"/>
    <w:rsid w:val="7E906943"/>
    <w:rsid w:val="7EB50157"/>
    <w:rsid w:val="7EC07781"/>
    <w:rsid w:val="7EEA1BAF"/>
    <w:rsid w:val="7EEA6053"/>
    <w:rsid w:val="7F007624"/>
    <w:rsid w:val="7F144E7E"/>
    <w:rsid w:val="7F1C1F84"/>
    <w:rsid w:val="7F413799"/>
    <w:rsid w:val="7F5A27FC"/>
    <w:rsid w:val="7F7F9977"/>
    <w:rsid w:val="7FFA0518"/>
    <w:rsid w:val="AEF7D2FC"/>
    <w:rsid w:val="BDFB8532"/>
    <w:rsid w:val="CFF97651"/>
    <w:rsid w:val="D5EFBED6"/>
    <w:rsid w:val="FC7FB427"/>
    <w:rsid w:val="FE577BA1"/>
    <w:rsid w:val="FF9B7461"/>
    <w:rsid w:val="FFFD9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40" w:lineRule="exact"/>
      <w:ind w:firstLine="560" w:firstLineChars="200"/>
    </w:pPr>
    <w:rPr>
      <w:rFonts w:ascii="仿宋" w:hAnsi="仿宋" w:eastAsia="仿宋" w:cstheme="minorEastAsia"/>
      <w:kern w:val="2"/>
      <w:sz w:val="28"/>
      <w:szCs w:val="28"/>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style>
  <w:style w:type="paragraph" w:styleId="3">
    <w:name w:val="Date"/>
    <w:basedOn w:val="1"/>
    <w:next w:val="1"/>
    <w:link w:val="15"/>
    <w:autoRedefine/>
    <w:qFormat/>
    <w:uiPriority w:val="0"/>
    <w:pPr>
      <w:ind w:left="100" w:leftChars="2500"/>
    </w:pPr>
  </w:style>
  <w:style w:type="paragraph" w:styleId="4">
    <w:name w:val="Balloon Text"/>
    <w:basedOn w:val="1"/>
    <w:link w:val="18"/>
    <w:qFormat/>
    <w:uiPriority w:val="0"/>
    <w:pPr>
      <w:spacing w:line="240" w:lineRule="auto"/>
    </w:pPr>
    <w:rPr>
      <w:sz w:val="18"/>
      <w:szCs w:val="18"/>
    </w:rPr>
  </w:style>
  <w:style w:type="paragraph" w:styleId="5">
    <w:name w:val="footer"/>
    <w:basedOn w:val="1"/>
    <w:autoRedefine/>
    <w:qFormat/>
    <w:uiPriority w:val="0"/>
    <w:pPr>
      <w:tabs>
        <w:tab w:val="center" w:pos="4153"/>
        <w:tab w:val="right" w:pos="8306"/>
      </w:tabs>
      <w:snapToGrid w:val="0"/>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autoRedefine/>
    <w:qFormat/>
    <w:uiPriority w:val="0"/>
    <w:pPr>
      <w:spacing w:before="100" w:beforeAutospacing="1" w:after="100" w:afterAutospacing="1"/>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autoRedefine/>
    <w:qFormat/>
    <w:uiPriority w:val="22"/>
    <w:rPr>
      <w:b/>
      <w:bCs/>
    </w:rPr>
  </w:style>
  <w:style w:type="paragraph" w:customStyle="1" w:styleId="12">
    <w:name w:val="Table Text"/>
    <w:basedOn w:val="1"/>
    <w:autoRedefine/>
    <w:semiHidden/>
    <w:qFormat/>
    <w:uiPriority w:val="0"/>
    <w:rPr>
      <w:rFonts w:ascii="宋体" w:hAnsi="宋体" w:eastAsia="宋体" w:cs="宋体"/>
      <w:sz w:val="24"/>
      <w:szCs w:val="24"/>
      <w:lang w:eastAsia="en-US"/>
    </w:rPr>
  </w:style>
  <w:style w:type="table" w:customStyle="1" w:styleId="13">
    <w:name w:val="Table Normal"/>
    <w:autoRedefine/>
    <w:semiHidden/>
    <w:unhideWhenUsed/>
    <w:qFormat/>
    <w:uiPriority w:val="0"/>
    <w:tblPr>
      <w:tblCellMar>
        <w:top w:w="0" w:type="dxa"/>
        <w:left w:w="0" w:type="dxa"/>
        <w:bottom w:w="0" w:type="dxa"/>
        <w:right w:w="0" w:type="dxa"/>
      </w:tblCellMar>
    </w:tblPr>
  </w:style>
  <w:style w:type="paragraph" w:styleId="14">
    <w:name w:val="List Paragraph"/>
    <w:basedOn w:val="1"/>
    <w:autoRedefine/>
    <w:unhideWhenUsed/>
    <w:qFormat/>
    <w:uiPriority w:val="99"/>
    <w:pPr>
      <w:ind w:firstLine="420"/>
    </w:pPr>
  </w:style>
  <w:style w:type="character" w:customStyle="1" w:styleId="15">
    <w:name w:val="日期 字符"/>
    <w:basedOn w:val="10"/>
    <w:link w:val="3"/>
    <w:autoRedefine/>
    <w:qFormat/>
    <w:uiPriority w:val="0"/>
    <w:rPr>
      <w:rFonts w:ascii="仿宋" w:hAnsi="仿宋" w:eastAsia="仿宋" w:cstheme="minorEastAsia"/>
      <w:kern w:val="2"/>
      <w:sz w:val="28"/>
      <w:szCs w:val="28"/>
    </w:rPr>
  </w:style>
  <w:style w:type="character" w:customStyle="1" w:styleId="16">
    <w:name w:val="font71"/>
    <w:basedOn w:val="10"/>
    <w:qFormat/>
    <w:uiPriority w:val="0"/>
    <w:rPr>
      <w:rFonts w:hint="eastAsia" w:ascii="宋体" w:hAnsi="宋体" w:eastAsia="宋体" w:cs="宋体"/>
      <w:color w:val="000000"/>
      <w:sz w:val="18"/>
      <w:szCs w:val="18"/>
      <w:u w:val="none"/>
    </w:rPr>
  </w:style>
  <w:style w:type="character" w:customStyle="1" w:styleId="17">
    <w:name w:val="font21"/>
    <w:basedOn w:val="10"/>
    <w:qFormat/>
    <w:uiPriority w:val="0"/>
    <w:rPr>
      <w:rFonts w:hint="default" w:ascii="Arial Narrow" w:hAnsi="Arial Narrow" w:eastAsia="Arial Narrow" w:cs="Arial Narrow"/>
      <w:color w:val="000000"/>
      <w:sz w:val="18"/>
      <w:szCs w:val="18"/>
      <w:u w:val="none"/>
    </w:rPr>
  </w:style>
  <w:style w:type="character" w:customStyle="1" w:styleId="18">
    <w:name w:val="批注框文本 字符"/>
    <w:basedOn w:val="10"/>
    <w:link w:val="4"/>
    <w:qFormat/>
    <w:uiPriority w:val="0"/>
    <w:rPr>
      <w:rFonts w:ascii="仿宋" w:hAnsi="仿宋" w:eastAsia="仿宋" w:cstheme="minorEastAsia"/>
      <w:kern w:val="2"/>
      <w:sz w:val="18"/>
      <w:szCs w:val="18"/>
    </w:rPr>
  </w:style>
  <w:style w:type="paragraph" w:customStyle="1" w:styleId="19">
    <w:name w:val="Revision"/>
    <w:hidden/>
    <w:unhideWhenUsed/>
    <w:qFormat/>
    <w:uiPriority w:val="99"/>
    <w:rPr>
      <w:rFonts w:ascii="仿宋" w:hAnsi="仿宋" w:eastAsia="仿宋" w:cstheme="minorEastAsia"/>
      <w:kern w:val="2"/>
      <w:sz w:val="28"/>
      <w:szCs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9967</Words>
  <Characters>10950</Characters>
  <Lines>442</Lines>
  <Paragraphs>395</Paragraphs>
  <TotalTime>97</TotalTime>
  <ScaleCrop>false</ScaleCrop>
  <LinksUpToDate>false</LinksUpToDate>
  <CharactersWithSpaces>11000</CharactersWithSpaces>
  <Application>WPS Office_12.1.23540.23540_F1E327BC-269C-435d-A152-05C5408002CA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2025-09-08T07:00:00Z</dcterms:created>
  <dc:creator>王丽君</dc:creator>
  <cp:lastModifiedBy>戴晓月</cp:lastModifiedBy>
  <cp:lastPrinted>2023-11-19T04:35:00Z</cp:lastPrinted>
  <dcterms:modified xsi:type="dcterms:W3CDTF">2025-11-27T10:24:47Z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2052-12.1.23540.23540</vt:lpwstr>
  </property>
  <property fmtid="{D5CDD505-2E9C-101B-9397-08002B2CF9AE}" pid="3" name="ICV">
    <vt:lpwstr>9E7FA80BE2FB4331B7FEB868219BE98B_43</vt:lpwstr>
  </property>
  <property fmtid="{D5CDD505-2E9C-101B-9397-08002B2CF9AE}" pid="4" name="KSOTemplateDocerSaveRecord">
    <vt:lpwstr>eyJoZGlkIjoiYWVlMTZhZWVmYTdmNjA1MTgwYTI4NWNlNDdjZGNhNDYiLCJ1c2VySWQiOiIxMjExNTg2MjEyIn0=</vt:lpwstr>
  </property>
</Properties>
</file>