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E8C9E1">
      <w:pPr>
        <w:spacing w:before="156" w:beforeLines="50" w:after="156" w:afterLines="50"/>
        <w:jc w:val="center"/>
        <w:rPr>
          <w:rFonts w:ascii="仿宋" w:hAnsi="仿宋" w:eastAsia="仿宋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bCs/>
          <w:sz w:val="44"/>
          <w:szCs w:val="44"/>
        </w:rPr>
        <w:t>移交清单</w:t>
      </w:r>
    </w:p>
    <w:p w14:paraId="458609C3">
      <w:pPr>
        <w:spacing w:line="5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一、公司基本情况</w:t>
      </w:r>
    </w:p>
    <w:p w14:paraId="715A3628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（一）你公司营业执照、印章、章程、资质、证书、档案及与公司基本情况有关的资料及相关信息。</w:t>
      </w:r>
    </w:p>
    <w:p w14:paraId="198022F4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（二）你公司财务资料、设备、合同及相关信息。</w:t>
      </w:r>
    </w:p>
    <w:p w14:paraId="7B491F5B">
      <w:pPr>
        <w:spacing w:line="5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二、资产情况</w:t>
      </w:r>
    </w:p>
    <w:p w14:paraId="3F44DCF8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（一）出资情况</w:t>
      </w:r>
    </w:p>
    <w:p w14:paraId="04259D70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与你公司股东出资有关的认缴、实缴、抽逃出资、股权质押凭证及其他相关资料、信息。</w:t>
      </w:r>
    </w:p>
    <w:p w14:paraId="35649568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（二）银行账户</w:t>
      </w:r>
    </w:p>
    <w:p w14:paraId="066914FD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所有资金转入本案管理人专用账户，并将上述银行账户的有关开户许可资料、银行卡、存折、密码及其他相关资料、信息。</w:t>
      </w:r>
    </w:p>
    <w:p w14:paraId="791FF7E7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（三）不动产</w:t>
      </w:r>
    </w:p>
    <w:p w14:paraId="198E5BDB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你公司不动产包括但不限于土地、房屋、厂房、在建工程及其他建筑物、构筑物等，并提供有关产权证书、购买资料、建设资料及其他相关资料、信息。</w:t>
      </w:r>
    </w:p>
    <w:p w14:paraId="299F645A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（四）机动车</w:t>
      </w:r>
    </w:p>
    <w:p w14:paraId="397D4F51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机动车，并提供有关产权证书、购买资料及其他相关资料、信息。</w:t>
      </w:r>
    </w:p>
    <w:p w14:paraId="0E163E0C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（五）生产设备</w:t>
      </w:r>
    </w:p>
    <w:p w14:paraId="4518D3E8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生产设备，并提供有关产权证书、购买资料及其他相关资料、信息。</w:t>
      </w:r>
    </w:p>
    <w:p w14:paraId="288AE52A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（六）库存货品、原材料</w:t>
      </w:r>
    </w:p>
    <w:p w14:paraId="0B5367BC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库存货品、原材料</w:t>
      </w:r>
      <w:r>
        <w:rPr>
          <w:rFonts w:hint="eastAsia" w:ascii="仿宋" w:hAnsi="仿宋" w:eastAsia="仿宋"/>
          <w:kern w:val="0"/>
          <w:sz w:val="28"/>
          <w:szCs w:val="28"/>
        </w:rPr>
        <w:t>，并提供有关生产资料、合格证书、使用说明及其他相关资料、信息。</w:t>
      </w:r>
    </w:p>
    <w:p w14:paraId="4EC5B82D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（七）办公设备</w:t>
      </w:r>
    </w:p>
    <w:p w14:paraId="59AC78F0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办公设备</w:t>
      </w:r>
      <w:r>
        <w:rPr>
          <w:rFonts w:hint="eastAsia" w:ascii="仿宋" w:hAnsi="仿宋" w:eastAsia="仿宋"/>
          <w:kern w:val="0"/>
          <w:sz w:val="28"/>
          <w:szCs w:val="28"/>
        </w:rPr>
        <w:t>，并提供有关产权证书、购买资料及其他相关资料、信息。</w:t>
      </w:r>
    </w:p>
    <w:p w14:paraId="178FCFF2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（八）被他人占有财产</w:t>
      </w:r>
    </w:p>
    <w:p w14:paraId="67F9814B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你公司上述被他人占有的有关产权证书、购买资料、租赁合同、借用合同及其他相关资料、信息。</w:t>
      </w:r>
    </w:p>
    <w:p w14:paraId="4A670618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（九）被抵押、质押、查封的资产</w:t>
      </w:r>
    </w:p>
    <w:p w14:paraId="645D5784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你公司被抵押、质押、查封的资产的有关产权证书、购买资料及其他相关资料、信息。</w:t>
      </w:r>
    </w:p>
    <w:p w14:paraId="67A5EB5D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（十）占有的他人财产</w:t>
      </w:r>
    </w:p>
    <w:p w14:paraId="6A5B0841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你公司占有他人的财产，并提供有关产权证书、购买资料、租赁合同、借用合同及其他相关资料、信息。</w:t>
      </w:r>
    </w:p>
    <w:p w14:paraId="43F0AF2C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（十一）隐匿、转移财产</w:t>
      </w:r>
    </w:p>
    <w:p w14:paraId="2A6F9DE9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与上述隐匿、转移、侵占公司财产的有关资料和信息。</w:t>
      </w:r>
    </w:p>
    <w:p w14:paraId="297EA1F5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（十二）对外投资</w:t>
      </w:r>
    </w:p>
    <w:p w14:paraId="4564C2C4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1.</w:t>
      </w:r>
      <w:r>
        <w:rPr>
          <w:rFonts w:hint="eastAsia" w:ascii="仿宋" w:hAnsi="仿宋" w:eastAsia="仿宋"/>
          <w:kern w:val="0"/>
          <w:sz w:val="28"/>
          <w:szCs w:val="28"/>
        </w:rPr>
        <w:t>分公司</w:t>
      </w:r>
    </w:p>
    <w:p w14:paraId="0814AAC9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（1）分公司动产、不动产、生产设备、库存货品、原材料、无形资产及相关证书、信息。</w:t>
      </w:r>
    </w:p>
    <w:p w14:paraId="3A185615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（2）分公司的营业执照、印章、章程、资质、证书及与公司基本情况有关的资料及相关信息。</w:t>
      </w:r>
    </w:p>
    <w:p w14:paraId="20A12124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（3）分公司财务资料、设备、合同及相关信息。</w:t>
      </w:r>
    </w:p>
    <w:p w14:paraId="62073E03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2</w:t>
      </w:r>
      <w:r>
        <w:rPr>
          <w:rFonts w:ascii="仿宋" w:hAnsi="仿宋" w:eastAsia="仿宋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子公司</w:t>
      </w:r>
    </w:p>
    <w:p w14:paraId="2E28AC0F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</w:t>
      </w:r>
      <w:r>
        <w:rPr>
          <w:rFonts w:ascii="仿宋" w:hAnsi="仿宋" w:eastAsia="仿宋"/>
          <w:kern w:val="0"/>
          <w:sz w:val="28"/>
          <w:szCs w:val="28"/>
        </w:rPr>
        <w:t>1</w:t>
      </w:r>
      <w:r>
        <w:rPr>
          <w:rFonts w:hint="eastAsia" w:ascii="仿宋" w:hAnsi="仿宋" w:eastAsia="仿宋"/>
          <w:kern w:val="0"/>
          <w:sz w:val="28"/>
          <w:szCs w:val="28"/>
        </w:rPr>
        <w:t>）子公司名下财产包括动产、不动产、生产设备、库存货品、原材料、无形资产等及其相关证书、信息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。</w:t>
      </w:r>
    </w:p>
    <w:p w14:paraId="1A618080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（2）子公司的营业执照、印章、章程、资质、证书及与公司基本情况有关的资料、信息。</w:t>
      </w:r>
    </w:p>
    <w:p w14:paraId="4CAE91DA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（3）子公司财务资料、设备、合同及相关信息。</w:t>
      </w:r>
    </w:p>
    <w:p w14:paraId="33577FD2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3</w:t>
      </w:r>
      <w:r>
        <w:rPr>
          <w:rFonts w:ascii="仿宋" w:hAnsi="仿宋" w:eastAsia="仿宋"/>
          <w:kern w:val="0"/>
          <w:sz w:val="28"/>
          <w:szCs w:val="28"/>
        </w:rPr>
        <w:t>.</w:t>
      </w:r>
      <w:r>
        <w:rPr>
          <w:rFonts w:hint="eastAsia" w:ascii="仿宋" w:hAnsi="仿宋" w:eastAsia="仿宋"/>
          <w:kern w:val="0"/>
          <w:sz w:val="28"/>
          <w:szCs w:val="28"/>
        </w:rPr>
        <w:t>间接投资、关联公司</w:t>
      </w:r>
    </w:p>
    <w:p w14:paraId="21B4E0B4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与间接投资公司、关联公司的相关资料、信息。</w:t>
      </w:r>
    </w:p>
    <w:p w14:paraId="22E2601D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（十三）其他动产、不动产、无形资产</w:t>
      </w:r>
    </w:p>
    <w:p w14:paraId="5CC9D7EE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其他</w:t>
      </w:r>
      <w:r>
        <w:rPr>
          <w:rFonts w:hint="eastAsia" w:ascii="仿宋" w:hAnsi="仿宋" w:eastAsia="仿宋"/>
          <w:sz w:val="28"/>
          <w:szCs w:val="28"/>
        </w:rPr>
        <w:t>动产、不动产、无形资产</w:t>
      </w:r>
      <w:r>
        <w:rPr>
          <w:rFonts w:hint="eastAsia" w:ascii="仿宋" w:hAnsi="仿宋" w:eastAsia="仿宋"/>
          <w:kern w:val="0"/>
          <w:sz w:val="28"/>
          <w:szCs w:val="28"/>
        </w:rPr>
        <w:t>，并提供有关产权证书、购买资料及其他相关资料、信息。</w:t>
      </w:r>
    </w:p>
    <w:p w14:paraId="70F26D0B">
      <w:pPr>
        <w:spacing w:line="5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三、债权情况</w:t>
      </w:r>
    </w:p>
    <w:p w14:paraId="1F4E3B74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（一）借款</w:t>
      </w:r>
      <w:bookmarkStart w:id="0" w:name="_Hlk83889283"/>
      <w:r>
        <w:rPr>
          <w:rFonts w:hint="eastAsia" w:ascii="仿宋" w:hAnsi="仿宋" w:eastAsia="仿宋"/>
          <w:sz w:val="28"/>
          <w:szCs w:val="28"/>
        </w:rPr>
        <w:t>债权</w:t>
      </w:r>
      <w:bookmarkEnd w:id="0"/>
    </w:p>
    <w:p w14:paraId="4A80D30B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与上述借款有关的借款合同、借条、转账凭证、收据、律师函、催收记录、裁判文书、执行文书、对方财产线索及其他有关资料、信息。</w:t>
      </w:r>
    </w:p>
    <w:p w14:paraId="70D509EC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（二）货款债权</w:t>
      </w:r>
    </w:p>
    <w:p w14:paraId="17641A23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与上述货款有关的买卖合同、订货单、出货单、验收单、调拨单、欠条、律师函、催收记录、裁判文书、执行文书、对方财产线索及其他有关资料、信息。</w:t>
      </w:r>
    </w:p>
    <w:p w14:paraId="218C1B73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（三）未履行完毕合同、订单债权</w:t>
      </w:r>
    </w:p>
    <w:p w14:paraId="5BF28589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与上述未履行合同有关的合同、订货单、出货单、验收单、调拨单、欠条、律师函、催收记录、裁判文书、执行文书、对方财产线索及其他有关资料、信息。</w:t>
      </w:r>
    </w:p>
    <w:p w14:paraId="3A660C6E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（四）已放弃债权</w:t>
      </w:r>
    </w:p>
    <w:p w14:paraId="6A4E568B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与上述已放弃的债权有关的合同、订货单、出货单、验收单、调拨单、欠条、律师函、催收记录、裁判文书、执行文书、对方财产线索及其他有关资料、信息。</w:t>
      </w:r>
    </w:p>
    <w:p w14:paraId="7817EC6F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（五）其他债权</w:t>
      </w:r>
    </w:p>
    <w:p w14:paraId="7E6B9635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与上述货款有关的合同、订货单、出货单、验收单、调拨单、欠条、律师函、催收记录、裁判文书、执行文书、对方财产线索及其他有关资料、信息。</w:t>
      </w:r>
    </w:p>
    <w:p w14:paraId="2FADBC2B">
      <w:pPr>
        <w:spacing w:line="5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四、债务情况</w:t>
      </w:r>
    </w:p>
    <w:p w14:paraId="371898A9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（一）职工债务</w:t>
      </w:r>
    </w:p>
    <w:p w14:paraId="0E3F152A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本公司在职职工</w:t>
      </w:r>
      <w:r>
        <w:rPr>
          <w:rFonts w:hint="eastAsia" w:ascii="仿宋" w:hAnsi="仿宋" w:eastAsia="仿宋"/>
          <w:sz w:val="28"/>
          <w:szCs w:val="28"/>
        </w:rPr>
        <w:t>（含在岗和离岗但尚未解除劳动合同职工）有关的人事档案、花名册、工资支付表、社会保险、劳动合同</w:t>
      </w:r>
      <w:r>
        <w:rPr>
          <w:rFonts w:hint="eastAsia" w:ascii="仿宋" w:hAnsi="仿宋" w:eastAsia="仿宋"/>
          <w:kern w:val="0"/>
          <w:sz w:val="28"/>
          <w:szCs w:val="28"/>
        </w:rPr>
        <w:t>及其他有关资料、信息。</w:t>
      </w:r>
    </w:p>
    <w:p w14:paraId="1C37C646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（二）五险一金债务</w:t>
      </w:r>
    </w:p>
    <w:p w14:paraId="5BC06608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本公司与职工</w:t>
      </w:r>
      <w:r>
        <w:rPr>
          <w:rFonts w:hint="eastAsia" w:ascii="仿宋" w:hAnsi="仿宋" w:eastAsia="仿宋"/>
          <w:sz w:val="28"/>
          <w:szCs w:val="28"/>
        </w:rPr>
        <w:t>（含在岗和离岗但尚未解除劳动合同职工）有关的五险一金缴纳资料、拖欠五险一金费用和待遇的资料</w:t>
      </w:r>
      <w:r>
        <w:rPr>
          <w:rFonts w:hint="eastAsia" w:ascii="仿宋" w:hAnsi="仿宋" w:eastAsia="仿宋"/>
          <w:kern w:val="0"/>
          <w:sz w:val="28"/>
          <w:szCs w:val="28"/>
        </w:rPr>
        <w:t>及其他有关资料、信息。</w:t>
      </w:r>
    </w:p>
    <w:p w14:paraId="052B5CE0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（三）税费债务</w:t>
      </w:r>
    </w:p>
    <w:p w14:paraId="670C795E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与本公司税务账户、拖欠税款的资料及其他有关资料、信息。</w:t>
      </w:r>
    </w:p>
    <w:p w14:paraId="7B23E356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（四）政府费用</w:t>
      </w:r>
      <w:r>
        <w:rPr>
          <w:rFonts w:hint="eastAsia" w:ascii="仿宋" w:hAnsi="仿宋" w:eastAsia="仿宋"/>
          <w:sz w:val="28"/>
          <w:szCs w:val="28"/>
        </w:rPr>
        <w:t>债务</w:t>
      </w:r>
    </w:p>
    <w:p w14:paraId="38DBAA55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与本公司欠缴政府费用的资料及其他有关资料、信息。</w:t>
      </w:r>
    </w:p>
    <w:p w14:paraId="15934F65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（五）借款债务</w:t>
      </w:r>
    </w:p>
    <w:p w14:paraId="04BDAC8B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与上述借款有关的借款合同、借条、转账凭证、收据、律师函、催收记录、裁判文书、执行文书、对方财产线索及其他有关资料、信息。</w:t>
      </w:r>
    </w:p>
    <w:p w14:paraId="020732EA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（六）货款债务</w:t>
      </w:r>
    </w:p>
    <w:p w14:paraId="6AC7D92C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与上述货款有关的买卖合同、订货单、出货单、验收单、调拨单、欠条、律师函、催收记录、裁判文书、执行文书、对方财产线索及其他有关资料、信息。</w:t>
      </w:r>
    </w:p>
    <w:p w14:paraId="51C45296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（七）未履行完毕合同、订单债务</w:t>
      </w:r>
    </w:p>
    <w:p w14:paraId="2131220C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与上述未履行合同有关的合同、订货单、出货单、验收单、调拨单、欠条、律师函、催收记录、裁判文书、执行文书、对方财产线索及其他有关资料、信息。</w:t>
      </w:r>
    </w:p>
    <w:p w14:paraId="31C9F316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（八）恶意增加债务</w:t>
      </w:r>
    </w:p>
    <w:p w14:paraId="02E0A0F3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与上述恶意增加的债务有关的合同、订货单、出货单、验收单、调拨单、欠条、律师函、催收记录、裁判文书、执行文书、对方财产线索及其他有关资料、信息。</w:t>
      </w:r>
    </w:p>
    <w:p w14:paraId="1D29D186">
      <w:pPr>
        <w:spacing w:line="500" w:lineRule="exact"/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（九）其他债务</w:t>
      </w:r>
    </w:p>
    <w:p w14:paraId="1CD7D563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与上述其他债务有关的合同、订货单、出货单、验收单、调拨单、欠条、律师函、催收记录、裁判文书、执行文书、对方财产线索及其他有关资料、信息。</w:t>
      </w:r>
    </w:p>
    <w:p w14:paraId="48E86D40">
      <w:pPr>
        <w:spacing w:line="500" w:lineRule="exact"/>
        <w:ind w:firstLine="562" w:firstLineChars="200"/>
        <w:rPr>
          <w:rFonts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五、其他情况</w:t>
      </w:r>
    </w:p>
    <w:p w14:paraId="17B411CF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（一）未结诉讼、仲裁</w:t>
      </w:r>
    </w:p>
    <w:p w14:paraId="0FD50793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你公司未结诉讼、仲裁、劳动仲裁、行政复议、听证会及其他未完结的司法、行政案件有关的文书、证据、卷宗、办案人员联系方式及其他有关资料、信息。</w:t>
      </w:r>
    </w:p>
    <w:p w14:paraId="2F6012E7">
      <w:pPr>
        <w:spacing w:line="500" w:lineRule="exact"/>
        <w:ind w:firstLine="560" w:firstLineChars="200"/>
        <w:rPr>
          <w:rFonts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（二）其他</w:t>
      </w:r>
      <w:bookmarkStart w:id="1" w:name="_Hlk83889851"/>
      <w:r>
        <w:rPr>
          <w:rFonts w:hint="eastAsia" w:ascii="仿宋" w:hAnsi="仿宋" w:eastAsia="仿宋"/>
          <w:kern w:val="0"/>
          <w:sz w:val="28"/>
          <w:szCs w:val="28"/>
        </w:rPr>
        <w:t>补充提交的财产、资料</w:t>
      </w:r>
      <w:bookmarkEnd w:id="1"/>
    </w:p>
    <w:p w14:paraId="2E5DFC47">
      <w:pPr>
        <w:spacing w:line="50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与补充反映的情况有关财产、资料、信息。</w:t>
      </w:r>
    </w:p>
    <w:p w14:paraId="1C796260">
      <w:pPr>
        <w:spacing w:line="500" w:lineRule="exact"/>
        <w:ind w:firstLine="620" w:firstLineChars="200"/>
        <w:rPr>
          <w:rFonts w:hint="eastAsia" w:ascii="方正仿宋_GB2312" w:hAnsi="方正仿宋_GB2312" w:eastAsia="方正仿宋_GB2312" w:cs="方正仿宋_GB2312"/>
          <w:b w:val="0"/>
          <w:bCs w:val="0"/>
          <w:spacing w:val="-5"/>
          <w:sz w:val="32"/>
          <w:szCs w:val="32"/>
        </w:rPr>
      </w:pPr>
    </w:p>
    <w:p w14:paraId="291B18F0">
      <w:pPr>
        <w:spacing w:line="50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kern w:val="0"/>
          <w:sz w:val="28"/>
          <w:szCs w:val="28"/>
        </w:rPr>
        <w:t>如所列材料不存在应书面进行说明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；</w:t>
      </w:r>
      <w:r>
        <w:rPr>
          <w:rFonts w:hint="eastAsia" w:ascii="仿宋" w:hAnsi="仿宋" w:eastAsia="仿宋"/>
          <w:kern w:val="0"/>
          <w:sz w:val="28"/>
          <w:szCs w:val="28"/>
        </w:rPr>
        <w:t>如材料存在但未移交或无法移交的，请书面说明情况，并提供证据和线索给管理人。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>）</w:t>
      </w:r>
    </w:p>
    <w:p w14:paraId="5162C7CC">
      <w:pPr>
        <w:spacing w:line="50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</w:p>
    <w:p w14:paraId="6D5326D3">
      <w:pPr>
        <w:spacing w:line="50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</w:p>
    <w:p w14:paraId="4AFB7631">
      <w:pPr>
        <w:spacing w:line="50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</w:p>
    <w:p w14:paraId="1CF8A08F">
      <w:pPr>
        <w:spacing w:line="50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</w:p>
    <w:p w14:paraId="56A9AD1E">
      <w:pPr>
        <w:spacing w:line="50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eastAsia="zh-CN"/>
        </w:rPr>
      </w:pPr>
      <w:bookmarkStart w:id="2" w:name="_GoBack"/>
      <w:bookmarkEnd w:id="2"/>
    </w:p>
    <w:p w14:paraId="162AD29B">
      <w:pPr>
        <w:spacing w:line="500" w:lineRule="exact"/>
        <w:ind w:firstLine="560" w:firstLineChars="200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 xml:space="preserve">                   广西源泉投资有限公司管理人</w:t>
      </w:r>
    </w:p>
    <w:p w14:paraId="6D8B59BF">
      <w:pPr>
        <w:spacing w:line="500" w:lineRule="exact"/>
        <w:ind w:firstLine="560" w:firstLineChars="200"/>
        <w:rPr>
          <w:rFonts w:hint="default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 xml:space="preserve">                        2025年11月19日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1" w:fontKey="{99ECC0AE-F5C2-4687-B5C8-4C52C23B5B5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53CBCF4-CB57-42CD-BF18-EAB0E452D78B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44C533A5-1BBD-4C2C-AE9A-88AFC89BFE0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65536149"/>
      <w:docPartObj>
        <w:docPartGallery w:val="autotext"/>
      </w:docPartObj>
    </w:sdtPr>
    <w:sdtEndPr>
      <w:rPr>
        <w:sz w:val="21"/>
        <w:szCs w:val="21"/>
      </w:rPr>
    </w:sdtEndPr>
    <w:sdtContent>
      <w:p w14:paraId="0581D81B">
        <w:pPr>
          <w:pStyle w:val="2"/>
        </w:pPr>
      </w:p>
      <w:p w14:paraId="466A20BD">
        <w:pPr>
          <w:pStyle w:val="2"/>
          <w:rPr>
            <w:sz w:val="10"/>
            <w:szCs w:val="10"/>
          </w:rPr>
        </w:pPr>
      </w:p>
      <w:p w14:paraId="7076DA22">
        <w:pPr>
          <w:pStyle w:val="2"/>
          <w:jc w:val="center"/>
          <w:rPr>
            <w:sz w:val="21"/>
            <w:szCs w:val="21"/>
          </w:rPr>
        </w:pPr>
        <w:r>
          <w:rPr>
            <w:sz w:val="21"/>
            <w:szCs w:val="21"/>
          </w:rPr>
          <w:fldChar w:fldCharType="begin"/>
        </w:r>
        <w:r>
          <w:rPr>
            <w:sz w:val="21"/>
            <w:szCs w:val="21"/>
          </w:rPr>
          <w:instrText xml:space="preserve">PAGE   \* MERGEFORMAT</w:instrText>
        </w:r>
        <w:r>
          <w:rPr>
            <w:sz w:val="21"/>
            <w:szCs w:val="21"/>
          </w:rPr>
          <w:fldChar w:fldCharType="separate"/>
        </w:r>
        <w:r>
          <w:rPr>
            <w:sz w:val="21"/>
            <w:szCs w:val="21"/>
            <w:lang w:val="zh-CN"/>
          </w:rPr>
          <w:t>2</w:t>
        </w:r>
        <w:r>
          <w:rPr>
            <w:sz w:val="21"/>
            <w:szCs w:val="21"/>
          </w:rPr>
          <w:fldChar w:fldCharType="end"/>
        </w:r>
      </w:p>
    </w:sdtContent>
  </w:sdt>
  <w:p w14:paraId="1A9B44A3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2BB798F">
    <w:pPr>
      <w:pStyle w:val="3"/>
      <w:pBdr>
        <w:bottom w:val="none" w:color="auto" w:sz="0" w:space="1"/>
      </w:pBdr>
      <w:jc w:val="left"/>
      <w:rPr>
        <w:sz w:val="10"/>
        <w:szCs w:val="10"/>
      </w:rPr>
    </w:pPr>
  </w:p>
  <w:p w14:paraId="0D3323B1">
    <w:pPr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3D8A"/>
    <w:rsid w:val="000842B5"/>
    <w:rsid w:val="000B5839"/>
    <w:rsid w:val="003306C9"/>
    <w:rsid w:val="00646D19"/>
    <w:rsid w:val="0066442A"/>
    <w:rsid w:val="00967D24"/>
    <w:rsid w:val="00A33D8A"/>
    <w:rsid w:val="00AD6C6A"/>
    <w:rsid w:val="00C8165E"/>
    <w:rsid w:val="00F42CFE"/>
    <w:rsid w:val="00FC2E1F"/>
    <w:rsid w:val="00FC5527"/>
    <w:rsid w:val="00FE36F2"/>
    <w:rsid w:val="012845F2"/>
    <w:rsid w:val="019F5D93"/>
    <w:rsid w:val="1789191E"/>
    <w:rsid w:val="230C2C88"/>
    <w:rsid w:val="5FB77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899b364b-7bb2-4e81-a107-816a545d892f</errorID>
      <errorWord>1．</errorWord>
      <group>L1_Format</group>
      <groupName>格式问题</groupName>
      <ability>L2_Ordinal</ability>
      <abilityName>序号格式</abilityName>
      <candidateList>
        <item>1.</item>
      </candidateList>
      <explain>中文书写环境建议使用国标要求书写序次语。根据标点符号用法（GB/T 15834—2011）序次语书写要求，通常第一层是带有顿号的汉字数字，如“一、”；第二层是带括号（全角）的汉字数字，如“（一）”；第三层是带下脚点（半角）的阿拉伯数字，如“1.”；第四层是带括号（全角）的阿拉伯数字，如“（1）”“1）”；其后可以按照书写者意愿输入带圈的阿拉伯数字或大小写拉丁字母，如“①”“ a.”。</explain>
      <paraID>4564C2C4</paraID>
      <start>0</start>
      <end>2</end>
      <status>modified</status>
      <modifiedWord>1.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0505497c-9cf9-4855-a8e6-309f4d7983d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2090</Words>
  <Characters>2093</Characters>
  <Lines>15</Lines>
  <Paragraphs>4</Paragraphs>
  <TotalTime>1</TotalTime>
  <ScaleCrop>false</ScaleCrop>
  <LinksUpToDate>false</LinksUpToDate>
  <CharactersWithSpaces>2093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2021-09-29T02:57:00Z</dcterms:created>
  <dc:creator>463635919@qq.com</dc:creator>
  <cp:lastModifiedBy>Mortifera</cp:lastModifiedBy>
  <dcterms:modified xsi:type="dcterms:W3CDTF">2025-11-19T09:45:39Z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eyJoZGlkIjoiN2JjNDgzMDY2NjE4YmE0YmQwMDQxYmM4NmMyOWViNjEiLCJ1c2VySWQiOiIyNDY2OTAxODMifQ==</vt:lpwstr>
  </property>
  <property fmtid="{D5CDD505-2E9C-101B-9397-08002B2CF9AE}" pid="3" name="KSOProductBuildVer">
    <vt:lpwstr>2052-12.1.0.23542</vt:lpwstr>
  </property>
  <property fmtid="{D5CDD505-2E9C-101B-9397-08002B2CF9AE}" pid="4" name="ICV">
    <vt:lpwstr>29ABE2EC26D2423B96EB306B926D8D9B_13</vt:lpwstr>
  </property>
</Properties>
</file>