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BA3989">
      <w:pPr>
        <w:pStyle w:val="19"/>
        <w:keepNext/>
        <w:keepLines/>
        <w:spacing w:line="440" w:lineRule="exact"/>
        <w:rPr>
          <w:rFonts w:ascii="Times New Roman" w:hAnsi="Times New Roman" w:cs="Times New Roman" w:eastAsiaTheme="minorEastAsia"/>
          <w:b/>
          <w:bCs/>
          <w:color w:val="auto"/>
          <w:sz w:val="32"/>
          <w:szCs w:val="32"/>
        </w:rPr>
      </w:pPr>
      <w:bookmarkStart w:id="0" w:name="bookmark2"/>
      <w:bookmarkStart w:id="1" w:name="bookmark0"/>
      <w:bookmarkStart w:id="2" w:name="bookmark1"/>
      <w:r>
        <w:rPr>
          <w:rFonts w:hint="eastAsia" w:ascii="Times New Roman" w:hAnsi="Times New Roman" w:cs="Times New Roman" w:eastAsiaTheme="minorEastAsia"/>
          <w:b/>
          <w:bCs/>
          <w:color w:val="auto"/>
          <w:sz w:val="32"/>
          <w:szCs w:val="32"/>
          <w:lang w:eastAsia="zh-CN"/>
        </w:rPr>
        <w:t>英维思（北京）国际信息咨询有限公司破产清算案</w:t>
      </w:r>
    </w:p>
    <w:p w14:paraId="133E211A">
      <w:pPr>
        <w:pStyle w:val="19"/>
        <w:keepNext/>
        <w:keepLines/>
        <w:spacing w:line="440" w:lineRule="exact"/>
        <w:rPr>
          <w:rFonts w:ascii="Times New Roman" w:hAnsi="Times New Roman" w:cs="Times New Roman" w:eastAsiaTheme="minorEastAsia"/>
          <w:b/>
          <w:bCs/>
          <w:color w:val="auto"/>
          <w:sz w:val="32"/>
          <w:szCs w:val="32"/>
          <w:lang w:val="en-US" w:eastAsia="zh-CN"/>
        </w:rPr>
      </w:pPr>
      <w:r>
        <w:rPr>
          <w:rFonts w:ascii="Times New Roman" w:hAnsi="Times New Roman" w:cs="Times New Roman" w:eastAsiaTheme="minorEastAsia"/>
          <w:b/>
          <w:bCs/>
          <w:color w:val="auto"/>
          <w:sz w:val="32"/>
          <w:szCs w:val="32"/>
        </w:rPr>
        <w:t>债权申报</w:t>
      </w:r>
      <w:bookmarkEnd w:id="0"/>
      <w:bookmarkEnd w:id="1"/>
      <w:bookmarkEnd w:id="2"/>
      <w:r>
        <w:rPr>
          <w:rFonts w:hint="eastAsia" w:ascii="Times New Roman" w:hAnsi="Times New Roman" w:cs="Times New Roman" w:eastAsiaTheme="minorEastAsia"/>
          <w:b/>
          <w:bCs/>
          <w:color w:val="auto"/>
          <w:sz w:val="32"/>
          <w:szCs w:val="32"/>
          <w:lang w:val="en-US" w:eastAsia="zh-CN"/>
        </w:rPr>
        <w:t>指南</w:t>
      </w:r>
      <w:r>
        <w:rPr>
          <w:rFonts w:ascii="Times New Roman" w:hAnsi="Times New Roman" w:cs="Times New Roman" w:eastAsiaTheme="minorEastAsia"/>
          <w:b/>
          <w:bCs/>
          <w:color w:val="auto"/>
          <w:sz w:val="32"/>
          <w:szCs w:val="32"/>
          <w:lang w:val="en-US" w:eastAsia="zh-CN"/>
        </w:rPr>
        <w:tab/>
      </w:r>
    </w:p>
    <w:p w14:paraId="51889E3D">
      <w:pPr>
        <w:pStyle w:val="15"/>
        <w:spacing w:before="120" w:beforeLines="50" w:after="120" w:afterLines="50" w:line="440" w:lineRule="exact"/>
        <w:ind w:firstLine="0"/>
        <w:rPr>
          <w:rFonts w:ascii="Times New Roman" w:hAnsi="Times New Roman" w:eastAsia="楷体" w:cs="Times New Roman"/>
          <w:color w:val="auto"/>
          <w:sz w:val="24"/>
          <w:szCs w:val="24"/>
          <w:lang w:val="en-US" w:eastAsia="zh-CN"/>
        </w:rPr>
      </w:pPr>
      <w:r>
        <w:rPr>
          <w:rFonts w:ascii="Times New Roman" w:hAnsi="Times New Roman" w:eastAsia="楷体" w:cs="Times New Roman"/>
          <w:b/>
          <w:bCs/>
          <w:color w:val="auto"/>
          <w:sz w:val="24"/>
          <w:szCs w:val="24"/>
          <w:lang w:val="en-US" w:eastAsia="zh-CN"/>
        </w:rPr>
        <w:t xml:space="preserve">尊敬的各位债权人：  </w:t>
      </w:r>
      <w:r>
        <w:rPr>
          <w:rFonts w:ascii="Times New Roman" w:hAnsi="Times New Roman" w:eastAsia="楷体" w:cs="Times New Roman"/>
          <w:color w:val="auto"/>
          <w:sz w:val="24"/>
          <w:szCs w:val="24"/>
          <w:lang w:val="en-US" w:eastAsia="zh-CN"/>
        </w:rPr>
        <w:t xml:space="preserve">                                 </w:t>
      </w:r>
    </w:p>
    <w:p w14:paraId="012B620E">
      <w:pPr>
        <w:pStyle w:val="15"/>
        <w:spacing w:line="440" w:lineRule="exact"/>
        <w:ind w:firstLine="480" w:firstLineChars="200"/>
        <w:jc w:val="both"/>
        <w:rPr>
          <w:rFonts w:ascii="Times New Roman" w:hAnsi="Times New Roman" w:eastAsia="PMingLiU" w:cs="Times New Roman"/>
          <w:color w:val="auto"/>
          <w:sz w:val="24"/>
          <w:szCs w:val="24"/>
        </w:rPr>
      </w:pPr>
      <w:r>
        <w:rPr>
          <w:rFonts w:ascii="Times New Roman" w:hAnsi="Times New Roman" w:eastAsia="楷体" w:cs="Times New Roman"/>
          <w:color w:val="auto"/>
          <w:sz w:val="24"/>
          <w:szCs w:val="24"/>
        </w:rPr>
        <w:t>202</w:t>
      </w:r>
      <w:r>
        <w:rPr>
          <w:rFonts w:hint="eastAsia" w:ascii="Times New Roman" w:hAnsi="Times New Roman" w:eastAsia="楷体" w:cs="Times New Roman"/>
          <w:color w:val="auto"/>
          <w:sz w:val="24"/>
          <w:szCs w:val="24"/>
          <w:lang w:val="en-US" w:eastAsia="zh-CN"/>
        </w:rPr>
        <w:t>5</w:t>
      </w:r>
      <w:r>
        <w:rPr>
          <w:rFonts w:hint="eastAsia" w:ascii="Times New Roman" w:hAnsi="Times New Roman" w:eastAsia="楷体" w:cs="Times New Roman"/>
          <w:color w:val="auto"/>
          <w:sz w:val="24"/>
          <w:szCs w:val="24"/>
        </w:rPr>
        <w:t>年</w:t>
      </w:r>
      <w:r>
        <w:rPr>
          <w:rFonts w:hint="eastAsia" w:ascii="Times New Roman" w:hAnsi="Times New Roman" w:eastAsia="楷体" w:cs="Times New Roman"/>
          <w:color w:val="auto"/>
          <w:sz w:val="24"/>
          <w:szCs w:val="24"/>
          <w:lang w:val="en-US" w:eastAsia="zh-CN"/>
        </w:rPr>
        <w:t>9</w:t>
      </w:r>
      <w:r>
        <w:rPr>
          <w:rFonts w:hint="eastAsia" w:ascii="Times New Roman" w:hAnsi="Times New Roman" w:eastAsia="楷体" w:cs="Times New Roman"/>
          <w:color w:val="auto"/>
          <w:sz w:val="24"/>
          <w:szCs w:val="24"/>
        </w:rPr>
        <w:t>月</w:t>
      </w:r>
      <w:r>
        <w:rPr>
          <w:rFonts w:hint="eastAsia" w:ascii="Times New Roman" w:hAnsi="Times New Roman" w:eastAsia="楷体" w:cs="Times New Roman"/>
          <w:color w:val="auto"/>
          <w:sz w:val="24"/>
          <w:szCs w:val="24"/>
          <w:lang w:val="en-US" w:eastAsia="zh-CN"/>
        </w:rPr>
        <w:t>28</w:t>
      </w:r>
      <w:r>
        <w:rPr>
          <w:rFonts w:hint="eastAsia" w:ascii="Times New Roman" w:hAnsi="Times New Roman" w:eastAsia="楷体" w:cs="Times New Roman"/>
          <w:color w:val="auto"/>
          <w:sz w:val="24"/>
          <w:szCs w:val="24"/>
        </w:rPr>
        <w:t>日，北京市第一中级人民法院（以下简称“北京一中院”）根据英维思</w:t>
      </w:r>
      <w:r>
        <w:rPr>
          <w:rFonts w:hint="eastAsia" w:ascii="Times New Roman" w:hAnsi="Times New Roman" w:eastAsia="楷体" w:cs="Times New Roman"/>
          <w:color w:val="auto"/>
          <w:sz w:val="24"/>
          <w:szCs w:val="24"/>
          <w:lang w:eastAsia="zh-CN"/>
        </w:rPr>
        <w:t>（</w:t>
      </w:r>
      <w:r>
        <w:rPr>
          <w:rFonts w:hint="eastAsia" w:ascii="Times New Roman" w:hAnsi="Times New Roman" w:eastAsia="楷体" w:cs="Times New Roman"/>
          <w:color w:val="auto"/>
          <w:sz w:val="24"/>
          <w:szCs w:val="24"/>
        </w:rPr>
        <w:t>北京</w:t>
      </w:r>
      <w:r>
        <w:rPr>
          <w:rFonts w:hint="eastAsia" w:ascii="Times New Roman" w:hAnsi="Times New Roman" w:eastAsia="楷体" w:cs="Times New Roman"/>
          <w:color w:val="auto"/>
          <w:sz w:val="24"/>
          <w:szCs w:val="24"/>
          <w:lang w:eastAsia="zh-CN"/>
        </w:rPr>
        <w:t>）</w:t>
      </w:r>
      <w:r>
        <w:rPr>
          <w:rFonts w:hint="eastAsia" w:ascii="Times New Roman" w:hAnsi="Times New Roman" w:eastAsia="楷体" w:cs="Times New Roman"/>
          <w:color w:val="auto"/>
          <w:sz w:val="24"/>
          <w:szCs w:val="24"/>
        </w:rPr>
        <w:t>国际信息咨询有限公司的申请，依法作出(2025)京01破申1342号《民事裁定书》，裁定受理英维思（北京）国际信息咨询有限公司（以下简称“</w:t>
      </w:r>
      <w:r>
        <w:rPr>
          <w:rFonts w:hint="eastAsia" w:ascii="Times New Roman" w:hAnsi="Times New Roman" w:eastAsia="楷体" w:cs="Times New Roman"/>
          <w:color w:val="auto"/>
          <w:sz w:val="24"/>
          <w:szCs w:val="24"/>
          <w:lang w:val="en-US" w:eastAsia="zh-CN"/>
        </w:rPr>
        <w:t>英维思公司</w:t>
      </w:r>
      <w:r>
        <w:rPr>
          <w:rFonts w:hint="eastAsia" w:ascii="Times New Roman" w:hAnsi="Times New Roman" w:eastAsia="楷体" w:cs="Times New Roman"/>
          <w:color w:val="auto"/>
          <w:sz w:val="24"/>
          <w:szCs w:val="24"/>
        </w:rPr>
        <w:t>”）破产清算一案，并于</w:t>
      </w:r>
      <w:r>
        <w:rPr>
          <w:rFonts w:hint="eastAsia" w:ascii="Times New Roman" w:hAnsi="Times New Roman" w:eastAsia="楷体" w:cs="Times New Roman"/>
          <w:color w:val="auto"/>
          <w:sz w:val="24"/>
          <w:szCs w:val="24"/>
          <w:lang w:val="en-US" w:eastAsia="zh-CN"/>
        </w:rPr>
        <w:t>2025年11月4日</w:t>
      </w:r>
      <w:r>
        <w:rPr>
          <w:rFonts w:hint="eastAsia" w:ascii="Times New Roman" w:hAnsi="Times New Roman" w:eastAsia="楷体" w:cs="Times New Roman"/>
          <w:color w:val="auto"/>
          <w:sz w:val="24"/>
          <w:szCs w:val="24"/>
        </w:rPr>
        <w:t>指定北京市天元律师事务所担任管理人。</w:t>
      </w:r>
    </w:p>
    <w:p w14:paraId="785D6908">
      <w:pPr>
        <w:pStyle w:val="15"/>
        <w:spacing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为明确债权申报的有关事项，帮助债权人顺利申报债权，现将债权申报材料及相关注意事项等说明如下，请您认真阅读，并按照要求提交债权申报材料。</w:t>
      </w:r>
    </w:p>
    <w:p w14:paraId="32934FB8">
      <w:pPr>
        <w:pStyle w:val="15"/>
        <w:spacing w:before="120" w:beforeLines="50" w:after="120" w:afterLines="50" w:line="440" w:lineRule="exact"/>
        <w:ind w:firstLine="482" w:firstLineChars="200"/>
        <w:jc w:val="both"/>
        <w:rPr>
          <w:rFonts w:ascii="Times New Roman" w:hAnsi="Times New Roman" w:eastAsia="楷体" w:cs="Times New Roman"/>
          <w:b/>
          <w:bCs/>
          <w:color w:val="auto"/>
          <w:sz w:val="24"/>
          <w:szCs w:val="24"/>
          <w:u w:val="single"/>
        </w:rPr>
      </w:pPr>
      <w:r>
        <w:rPr>
          <w:rFonts w:ascii="Times New Roman" w:hAnsi="Times New Roman" w:eastAsia="楷体" w:cs="Times New Roman"/>
          <w:b/>
          <w:bCs/>
          <w:color w:val="auto"/>
          <w:sz w:val="24"/>
          <w:szCs w:val="24"/>
          <w:u w:val="single"/>
        </w:rPr>
        <w:t>特别提示：</w:t>
      </w:r>
    </w:p>
    <w:p w14:paraId="586615F1">
      <w:pPr>
        <w:pStyle w:val="15"/>
        <w:numPr>
          <w:ilvl w:val="0"/>
          <w:numId w:val="1"/>
        </w:numPr>
        <w:spacing w:line="440" w:lineRule="exact"/>
        <w:ind w:left="0" w:firstLine="480" w:firstLineChars="200"/>
        <w:jc w:val="both"/>
        <w:rPr>
          <w:rFonts w:ascii="Times New Roman" w:hAnsi="Times New Roman" w:eastAsia="楷体" w:cs="Times New Roman"/>
          <w:color w:val="auto"/>
          <w:sz w:val="24"/>
          <w:szCs w:val="24"/>
          <w:lang w:eastAsia="zh-CN"/>
        </w:rPr>
      </w:pPr>
      <w:r>
        <w:rPr>
          <w:rFonts w:ascii="Times New Roman" w:hAnsi="Times New Roman" w:eastAsia="楷体" w:cs="Times New Roman"/>
          <w:color w:val="auto"/>
          <w:sz w:val="24"/>
          <w:szCs w:val="24"/>
          <w:lang w:eastAsia="zh-CN"/>
        </w:rPr>
        <w:t>管理人制作了相应债权申报文书样式，请各位债权人按照债权申报文书样式填写申报材料。</w:t>
      </w:r>
    </w:p>
    <w:p w14:paraId="5F649F0F">
      <w:pPr>
        <w:pStyle w:val="15"/>
        <w:numPr>
          <w:ilvl w:val="0"/>
          <w:numId w:val="1"/>
        </w:numPr>
        <w:spacing w:line="440" w:lineRule="exact"/>
        <w:ind w:left="0" w:firstLine="480" w:firstLineChars="200"/>
        <w:jc w:val="both"/>
        <w:rPr>
          <w:rFonts w:ascii="Times New Roman" w:hAnsi="Times New Roman" w:eastAsia="楷体" w:cs="Times New Roman"/>
          <w:color w:val="auto"/>
          <w:sz w:val="24"/>
          <w:szCs w:val="24"/>
          <w:lang w:eastAsia="zh-CN"/>
        </w:rPr>
      </w:pPr>
      <w:r>
        <w:rPr>
          <w:rFonts w:ascii="Times New Roman" w:hAnsi="Times New Roman" w:eastAsia="楷体" w:cs="Times New Roman"/>
          <w:color w:val="auto"/>
          <w:sz w:val="24"/>
          <w:szCs w:val="24"/>
          <w:lang w:eastAsia="zh-CN"/>
        </w:rPr>
        <w:t>债权申报截止日期为2</w:t>
      </w:r>
      <w:r>
        <w:rPr>
          <w:rFonts w:ascii="Times New Roman" w:hAnsi="Times New Roman" w:eastAsia="楷体" w:cs="Times New Roman"/>
          <w:color w:val="auto"/>
          <w:sz w:val="24"/>
          <w:szCs w:val="24"/>
        </w:rPr>
        <w:t>02</w:t>
      </w:r>
      <w:r>
        <w:rPr>
          <w:rFonts w:hint="eastAsia" w:ascii="Times New Roman" w:hAnsi="Times New Roman" w:cs="Times New Roman"/>
          <w:color w:val="auto"/>
          <w:sz w:val="24"/>
          <w:szCs w:val="24"/>
          <w:lang w:val="en-US" w:eastAsia="zh-CN"/>
        </w:rPr>
        <w:t>5</w:t>
      </w:r>
      <w:r>
        <w:rPr>
          <w:rFonts w:ascii="Times New Roman" w:hAnsi="Times New Roman" w:eastAsia="楷体" w:cs="Times New Roman"/>
          <w:color w:val="auto"/>
          <w:sz w:val="24"/>
          <w:szCs w:val="24"/>
        </w:rPr>
        <w:t>年</w:t>
      </w:r>
      <w:r>
        <w:rPr>
          <w:rFonts w:hint="eastAsia" w:ascii="Times New Roman" w:hAnsi="Times New Roman" w:cs="Times New Roman" w:eastAsiaTheme="minorEastAsia"/>
          <w:color w:val="auto"/>
          <w:sz w:val="24"/>
          <w:szCs w:val="24"/>
          <w:lang w:eastAsia="zh-CN"/>
        </w:rPr>
        <w:t>1</w:t>
      </w:r>
      <w:r>
        <w:rPr>
          <w:rFonts w:ascii="Times New Roman" w:hAnsi="Times New Roman" w:eastAsia="PMingLiU" w:cs="Times New Roman"/>
          <w:color w:val="auto"/>
          <w:sz w:val="24"/>
          <w:szCs w:val="24"/>
        </w:rPr>
        <w:t>2</w:t>
      </w:r>
      <w:r>
        <w:rPr>
          <w:rFonts w:ascii="Times New Roman" w:hAnsi="Times New Roman" w:eastAsia="楷体" w:cs="Times New Roman"/>
          <w:color w:val="auto"/>
          <w:sz w:val="24"/>
          <w:szCs w:val="24"/>
          <w:lang w:eastAsia="zh-CN"/>
        </w:rPr>
        <w:t>月</w:t>
      </w:r>
      <w:r>
        <w:rPr>
          <w:rFonts w:hint="eastAsia" w:ascii="Times New Roman" w:hAnsi="Times New Roman" w:eastAsia="楷体" w:cs="Times New Roman"/>
          <w:color w:val="auto"/>
          <w:sz w:val="24"/>
          <w:szCs w:val="24"/>
          <w:lang w:val="en-US" w:eastAsia="zh-CN"/>
        </w:rPr>
        <w:t>7</w:t>
      </w:r>
      <w:r>
        <w:rPr>
          <w:rFonts w:ascii="Times New Roman" w:hAnsi="Times New Roman" w:eastAsia="楷体" w:cs="Times New Roman"/>
          <w:color w:val="auto"/>
          <w:sz w:val="24"/>
          <w:szCs w:val="24"/>
          <w:lang w:eastAsia="zh-CN"/>
        </w:rPr>
        <w:t>日，请各位债权人在债权申报期内尽早申报，管理人将优先审核申报期内申报债权。</w:t>
      </w:r>
    </w:p>
    <w:p w14:paraId="5D95D5DB">
      <w:pPr>
        <w:pStyle w:val="15"/>
        <w:numPr>
          <w:ilvl w:val="0"/>
          <w:numId w:val="1"/>
        </w:numPr>
        <w:spacing w:line="440" w:lineRule="exact"/>
        <w:ind w:left="0" w:firstLine="480" w:firstLineChars="200"/>
        <w:jc w:val="both"/>
        <w:rPr>
          <w:rFonts w:ascii="Times New Roman" w:hAnsi="Times New Roman" w:eastAsia="楷体" w:cs="Times New Roman"/>
          <w:color w:val="auto"/>
          <w:sz w:val="24"/>
          <w:szCs w:val="24"/>
          <w:lang w:eastAsia="zh-CN"/>
        </w:rPr>
      </w:pPr>
      <w:r>
        <w:rPr>
          <w:rFonts w:ascii="Times New Roman" w:hAnsi="Times New Roman" w:eastAsia="楷体" w:cs="Times New Roman"/>
          <w:color w:val="auto"/>
          <w:sz w:val="24"/>
          <w:szCs w:val="24"/>
          <w:lang w:eastAsia="zh-CN"/>
        </w:rPr>
        <w:t>债权人申报的债权如附有利息的，利息应计至202</w:t>
      </w:r>
      <w:r>
        <w:rPr>
          <w:rFonts w:hint="eastAsia" w:ascii="Times New Roman" w:hAnsi="Times New Roman" w:cs="Times New Roman"/>
          <w:color w:val="auto"/>
          <w:sz w:val="24"/>
          <w:szCs w:val="24"/>
          <w:lang w:val="en-US" w:eastAsia="zh-CN"/>
        </w:rPr>
        <w:t>5</w:t>
      </w:r>
      <w:r>
        <w:rPr>
          <w:rFonts w:ascii="Times New Roman" w:hAnsi="Times New Roman" w:eastAsia="楷体" w:cs="Times New Roman"/>
          <w:color w:val="auto"/>
          <w:sz w:val="24"/>
          <w:szCs w:val="24"/>
          <w:lang w:eastAsia="zh-CN"/>
        </w:rPr>
        <w:t>年</w:t>
      </w:r>
      <w:r>
        <w:rPr>
          <w:rFonts w:hint="eastAsia" w:ascii="Times New Roman" w:hAnsi="Times New Roman" w:cs="Times New Roman"/>
          <w:color w:val="auto"/>
          <w:sz w:val="24"/>
          <w:szCs w:val="24"/>
          <w:lang w:val="en-US" w:eastAsia="zh-CN"/>
        </w:rPr>
        <w:t>9</w:t>
      </w:r>
      <w:r>
        <w:rPr>
          <w:rFonts w:ascii="Times New Roman" w:hAnsi="Times New Roman" w:eastAsia="楷体" w:cs="Times New Roman"/>
          <w:color w:val="auto"/>
          <w:sz w:val="24"/>
          <w:szCs w:val="24"/>
          <w:lang w:eastAsia="zh-CN"/>
        </w:rPr>
        <w:t>月</w:t>
      </w:r>
      <w:r>
        <w:rPr>
          <w:rFonts w:hint="eastAsia" w:ascii="Times New Roman" w:hAnsi="Times New Roman" w:cs="Times New Roman"/>
          <w:color w:val="auto"/>
          <w:sz w:val="24"/>
          <w:szCs w:val="24"/>
          <w:lang w:val="en-US" w:eastAsia="zh-CN"/>
        </w:rPr>
        <w:t>28</w:t>
      </w:r>
      <w:r>
        <w:rPr>
          <w:rFonts w:ascii="Times New Roman" w:hAnsi="Times New Roman" w:eastAsia="楷体" w:cs="Times New Roman"/>
          <w:color w:val="auto"/>
          <w:sz w:val="24"/>
          <w:szCs w:val="24"/>
          <w:lang w:eastAsia="zh-CN"/>
        </w:rPr>
        <w:t>日（含当日）</w:t>
      </w:r>
      <w:r>
        <w:rPr>
          <w:rFonts w:hint="eastAsia" w:cs="Times New Roman" w:asciiTheme="minorEastAsia" w:hAnsiTheme="minorEastAsia" w:eastAsiaTheme="minorEastAsia"/>
          <w:color w:val="auto"/>
          <w:sz w:val="24"/>
          <w:szCs w:val="24"/>
        </w:rPr>
        <w:t>。</w:t>
      </w:r>
    </w:p>
    <w:p w14:paraId="3236DA7E">
      <w:pPr>
        <w:pStyle w:val="15"/>
        <w:numPr>
          <w:ilvl w:val="0"/>
          <w:numId w:val="1"/>
        </w:numPr>
        <w:spacing w:line="440" w:lineRule="exact"/>
        <w:ind w:left="0" w:firstLine="480" w:firstLineChars="200"/>
        <w:jc w:val="both"/>
        <w:rPr>
          <w:rFonts w:ascii="Times New Roman" w:hAnsi="Times New Roman" w:eastAsia="楷体" w:cs="Times New Roman"/>
          <w:color w:val="auto"/>
          <w:sz w:val="24"/>
          <w:szCs w:val="24"/>
          <w:lang w:eastAsia="zh-CN"/>
        </w:rPr>
      </w:pPr>
      <w:r>
        <w:rPr>
          <w:rFonts w:hint="eastAsia" w:ascii="Times New Roman" w:hAnsi="Times New Roman" w:eastAsia="楷体" w:cs="Times New Roman"/>
          <w:color w:val="auto"/>
          <w:sz w:val="24"/>
          <w:szCs w:val="24"/>
          <w:lang w:val="en-US" w:eastAsia="zh-CN"/>
        </w:rPr>
        <w:t>英维思公司</w:t>
      </w:r>
      <w:r>
        <w:rPr>
          <w:rFonts w:ascii="Times New Roman" w:hAnsi="Times New Roman" w:eastAsia="楷体" w:cs="Times New Roman"/>
          <w:color w:val="auto"/>
          <w:sz w:val="24"/>
          <w:szCs w:val="24"/>
          <w:lang w:eastAsia="zh-CN"/>
        </w:rPr>
        <w:t>破产清算案第一次债权人会议定于202</w:t>
      </w:r>
      <w:r>
        <w:rPr>
          <w:rFonts w:hint="eastAsia" w:ascii="Times New Roman" w:hAnsi="Times New Roman" w:cs="Times New Roman" w:eastAsiaTheme="minorEastAsia"/>
          <w:color w:val="auto"/>
          <w:sz w:val="24"/>
          <w:szCs w:val="24"/>
          <w:lang w:val="en-US" w:eastAsia="zh-CN"/>
        </w:rPr>
        <w:t>5</w:t>
      </w:r>
      <w:r>
        <w:rPr>
          <w:rFonts w:ascii="Times New Roman" w:hAnsi="Times New Roman" w:eastAsia="楷体" w:cs="Times New Roman"/>
          <w:color w:val="auto"/>
          <w:sz w:val="24"/>
          <w:szCs w:val="24"/>
          <w:lang w:eastAsia="zh-CN"/>
        </w:rPr>
        <w:t>年</w:t>
      </w:r>
      <w:r>
        <w:rPr>
          <w:rFonts w:hint="eastAsia" w:ascii="Times New Roman" w:hAnsi="Times New Roman" w:eastAsia="楷体" w:cs="Times New Roman"/>
          <w:color w:val="auto"/>
          <w:sz w:val="24"/>
          <w:szCs w:val="24"/>
          <w:lang w:val="en-US" w:eastAsia="zh-CN"/>
        </w:rPr>
        <w:t>12</w:t>
      </w:r>
      <w:r>
        <w:rPr>
          <w:rFonts w:ascii="Times New Roman" w:hAnsi="Times New Roman" w:eastAsia="楷体" w:cs="Times New Roman"/>
          <w:color w:val="auto"/>
          <w:sz w:val="24"/>
          <w:szCs w:val="24"/>
          <w:lang w:eastAsia="zh-CN"/>
        </w:rPr>
        <w:t>月</w:t>
      </w:r>
      <w:r>
        <w:rPr>
          <w:rFonts w:hint="eastAsia" w:ascii="Times New Roman" w:hAnsi="Times New Roman" w:eastAsia="楷体" w:cs="Times New Roman"/>
          <w:color w:val="auto"/>
          <w:sz w:val="24"/>
          <w:szCs w:val="24"/>
          <w:lang w:val="en-US" w:eastAsia="zh-CN"/>
        </w:rPr>
        <w:t>11</w:t>
      </w:r>
      <w:r>
        <w:rPr>
          <w:rFonts w:ascii="Times New Roman" w:hAnsi="Times New Roman" w:eastAsia="楷体" w:cs="Times New Roman"/>
          <w:color w:val="auto"/>
          <w:sz w:val="24"/>
          <w:szCs w:val="24"/>
          <w:lang w:eastAsia="zh-CN"/>
        </w:rPr>
        <w:t>日</w:t>
      </w:r>
      <w:r>
        <w:rPr>
          <w:rFonts w:hint="eastAsia" w:ascii="Times New Roman" w:hAnsi="Times New Roman" w:eastAsia="楷体" w:cs="Times New Roman"/>
          <w:color w:val="auto"/>
          <w:sz w:val="24"/>
          <w:szCs w:val="24"/>
          <w:lang w:val="en-US" w:eastAsia="zh-CN"/>
        </w:rPr>
        <w:t>14</w:t>
      </w:r>
      <w:r>
        <w:rPr>
          <w:rFonts w:ascii="Times New Roman" w:hAnsi="Times New Roman" w:eastAsia="楷体" w:cs="Times New Roman"/>
          <w:color w:val="auto"/>
          <w:sz w:val="24"/>
          <w:szCs w:val="24"/>
          <w:lang w:eastAsia="zh-CN"/>
        </w:rPr>
        <w:t>时30分以</w:t>
      </w:r>
      <w:r>
        <w:rPr>
          <w:rFonts w:hint="eastAsia" w:ascii="Times New Roman" w:hAnsi="Times New Roman" w:eastAsia="楷体" w:cs="Times New Roman"/>
          <w:color w:val="auto"/>
          <w:sz w:val="24"/>
          <w:szCs w:val="24"/>
          <w:lang w:eastAsia="zh-CN"/>
        </w:rPr>
        <w:t>网络平台召开</w:t>
      </w:r>
      <w:r>
        <w:rPr>
          <w:rFonts w:ascii="Times New Roman" w:hAnsi="Times New Roman" w:eastAsia="楷体" w:cs="Times New Roman"/>
          <w:color w:val="auto"/>
          <w:sz w:val="24"/>
          <w:szCs w:val="24"/>
          <w:lang w:eastAsia="zh-CN"/>
        </w:rPr>
        <w:t>，请各位债权人准时参加。</w:t>
      </w:r>
    </w:p>
    <w:p w14:paraId="7D68D7A8">
      <w:pPr>
        <w:pStyle w:val="15"/>
        <w:numPr>
          <w:ilvl w:val="0"/>
          <w:numId w:val="2"/>
        </w:numPr>
        <w:spacing w:before="120" w:beforeLines="50" w:after="120" w:afterLines="50" w:line="440" w:lineRule="exact"/>
        <w:jc w:val="both"/>
        <w:rPr>
          <w:rFonts w:ascii="Times New Roman" w:hAnsi="Times New Roman" w:eastAsia="楷体" w:cs="Times New Roman"/>
          <w:b/>
          <w:bCs/>
          <w:color w:val="auto"/>
          <w:sz w:val="24"/>
          <w:szCs w:val="24"/>
          <w:lang w:val="en-US" w:eastAsia="zh-CN"/>
        </w:rPr>
      </w:pPr>
      <w:r>
        <w:rPr>
          <w:rFonts w:ascii="Times New Roman" w:hAnsi="Times New Roman" w:eastAsia="楷体" w:cs="Times New Roman"/>
          <w:b/>
          <w:bCs/>
          <w:color w:val="auto"/>
          <w:sz w:val="24"/>
          <w:szCs w:val="24"/>
          <w:lang w:eastAsia="zh-CN"/>
        </w:rPr>
        <w:t>债权申报</w:t>
      </w:r>
      <w:r>
        <w:rPr>
          <w:rFonts w:ascii="Times New Roman" w:hAnsi="Times New Roman" w:eastAsia="楷体" w:cs="Times New Roman"/>
          <w:b/>
          <w:bCs/>
          <w:color w:val="auto"/>
          <w:sz w:val="24"/>
          <w:szCs w:val="24"/>
          <w:lang w:val="en-US" w:eastAsia="zh-CN"/>
        </w:rPr>
        <w:t>主体</w:t>
      </w:r>
    </w:p>
    <w:p w14:paraId="3A26379A">
      <w:pPr>
        <w:pStyle w:val="15"/>
        <w:spacing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对</w:t>
      </w:r>
      <w:r>
        <w:rPr>
          <w:rFonts w:hint="eastAsia" w:ascii="Times New Roman" w:hAnsi="Times New Roman" w:eastAsia="楷体" w:cs="Times New Roman"/>
          <w:color w:val="auto"/>
          <w:sz w:val="24"/>
          <w:szCs w:val="24"/>
          <w:lang w:val="en-US" w:eastAsia="zh-CN"/>
        </w:rPr>
        <w:t>英维思公司</w:t>
      </w:r>
      <w:r>
        <w:rPr>
          <w:rFonts w:ascii="Times New Roman" w:hAnsi="Times New Roman" w:eastAsia="楷体" w:cs="Times New Roman"/>
          <w:color w:val="auto"/>
          <w:sz w:val="24"/>
          <w:szCs w:val="24"/>
        </w:rPr>
        <w:t>享有债权的自然人、法人或其他组织，均可向管理人申报债权。</w:t>
      </w:r>
    </w:p>
    <w:p w14:paraId="672FD440">
      <w:pPr>
        <w:pStyle w:val="15"/>
        <w:numPr>
          <w:ilvl w:val="0"/>
          <w:numId w:val="2"/>
        </w:numPr>
        <w:spacing w:before="120" w:beforeLines="50" w:after="120" w:afterLines="50" w:line="440" w:lineRule="exact"/>
        <w:jc w:val="both"/>
        <w:rPr>
          <w:rFonts w:ascii="Times New Roman" w:hAnsi="Times New Roman" w:eastAsia="楷体" w:cs="Times New Roman"/>
          <w:b/>
          <w:bCs/>
          <w:color w:val="auto"/>
          <w:sz w:val="24"/>
          <w:szCs w:val="24"/>
          <w:lang w:eastAsia="zh-CN"/>
        </w:rPr>
      </w:pPr>
      <w:r>
        <w:rPr>
          <w:rFonts w:ascii="Times New Roman" w:hAnsi="Times New Roman" w:eastAsia="楷体" w:cs="Times New Roman"/>
          <w:b/>
          <w:bCs/>
          <w:color w:val="auto"/>
          <w:sz w:val="24"/>
          <w:szCs w:val="24"/>
          <w:lang w:eastAsia="zh-CN"/>
        </w:rPr>
        <w:t>债权申报期限、申报时间及联系人</w:t>
      </w:r>
    </w:p>
    <w:p w14:paraId="30EE9C21">
      <w:pPr>
        <w:pStyle w:val="15"/>
        <w:spacing w:before="120" w:beforeLines="50" w:after="120" w:afterLines="50"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（一）债权申报截止时间：</w:t>
      </w:r>
      <w:r>
        <w:rPr>
          <w:rFonts w:hint="eastAsia" w:ascii="Times New Roman" w:hAnsi="Times New Roman" w:eastAsia="楷体" w:cs="Times New Roman"/>
          <w:color w:val="auto"/>
          <w:sz w:val="24"/>
          <w:szCs w:val="24"/>
        </w:rPr>
        <w:t>2025年12月7日</w:t>
      </w:r>
      <w:r>
        <w:rPr>
          <w:rFonts w:ascii="Times New Roman" w:hAnsi="Times New Roman" w:eastAsia="楷体" w:cs="Times New Roman"/>
          <w:color w:val="auto"/>
          <w:sz w:val="24"/>
          <w:szCs w:val="24"/>
        </w:rPr>
        <w:t>；</w:t>
      </w:r>
    </w:p>
    <w:p w14:paraId="4CE861A6">
      <w:pPr>
        <w:pStyle w:val="15"/>
        <w:spacing w:before="120" w:beforeLines="50" w:after="120" w:afterLines="50"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（二）债权申报咨询工作时间：工作日上午9:30-12:00, 下午 1</w:t>
      </w:r>
      <w:r>
        <w:rPr>
          <w:rFonts w:ascii="Times New Roman" w:hAnsi="Times New Roman" w:eastAsia="PMingLiU" w:cs="Times New Roman"/>
          <w:color w:val="auto"/>
          <w:sz w:val="24"/>
          <w:szCs w:val="24"/>
        </w:rPr>
        <w:t>3</w:t>
      </w:r>
      <w:r>
        <w:rPr>
          <w:rFonts w:ascii="Times New Roman" w:hAnsi="Times New Roman" w:eastAsia="楷体" w:cs="Times New Roman"/>
          <w:color w:val="auto"/>
          <w:sz w:val="24"/>
          <w:szCs w:val="24"/>
        </w:rPr>
        <w:t>:00-17:30；</w:t>
      </w:r>
    </w:p>
    <w:p w14:paraId="09F6F7F9">
      <w:pPr>
        <w:pStyle w:val="15"/>
        <w:spacing w:before="120" w:beforeLines="50" w:after="120" w:afterLines="50"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（三）债权申报联系人：</w:t>
      </w:r>
      <w:r>
        <w:rPr>
          <w:rFonts w:hint="eastAsia" w:ascii="Times New Roman" w:hAnsi="Times New Roman" w:eastAsia="楷体" w:cs="Times New Roman"/>
          <w:color w:val="auto"/>
          <w:sz w:val="24"/>
          <w:szCs w:val="24"/>
          <w:lang w:val="en-US" w:eastAsia="zh-CN"/>
        </w:rPr>
        <w:t>李明卉</w:t>
      </w:r>
      <w:r>
        <w:rPr>
          <w:rFonts w:hint="eastAsia" w:ascii="Times New Roman" w:hAnsi="Times New Roman" w:eastAsia="楷体" w:cs="Times New Roman"/>
          <w:color w:val="auto"/>
          <w:sz w:val="24"/>
          <w:szCs w:val="24"/>
        </w:rPr>
        <w:t>、</w:t>
      </w:r>
      <w:r>
        <w:rPr>
          <w:rFonts w:hint="eastAsia" w:ascii="Times New Roman" w:hAnsi="Times New Roman" w:eastAsia="楷体" w:cs="Times New Roman"/>
          <w:color w:val="auto"/>
          <w:sz w:val="24"/>
          <w:szCs w:val="24"/>
          <w:lang w:val="en-US" w:eastAsia="zh-CN"/>
        </w:rPr>
        <w:t>王雨露</w:t>
      </w:r>
      <w:r>
        <w:rPr>
          <w:rFonts w:hint="eastAsia" w:ascii="Times New Roman" w:hAnsi="Times New Roman" w:eastAsia="楷体" w:cs="Times New Roman"/>
          <w:color w:val="auto"/>
          <w:sz w:val="24"/>
          <w:szCs w:val="24"/>
        </w:rPr>
        <w:t>；</w:t>
      </w:r>
    </w:p>
    <w:p w14:paraId="6293B6B0">
      <w:pPr>
        <w:pStyle w:val="15"/>
        <w:spacing w:before="120" w:beforeLines="50" w:after="120" w:afterLines="50" w:line="440" w:lineRule="exact"/>
        <w:ind w:firstLine="480" w:firstLineChars="200"/>
        <w:jc w:val="both"/>
        <w:rPr>
          <w:rFonts w:ascii="Times New Roman" w:hAnsi="Times New Roman" w:eastAsia="楷体" w:cs="Times New Roman"/>
          <w:color w:val="auto"/>
          <w:sz w:val="24"/>
          <w:szCs w:val="24"/>
        </w:rPr>
      </w:pPr>
      <w:r>
        <w:rPr>
          <w:rFonts w:ascii="Times New Roman" w:hAnsi="Times New Roman" w:eastAsia="楷体" w:cs="Times New Roman"/>
          <w:color w:val="auto"/>
          <w:sz w:val="24"/>
          <w:szCs w:val="24"/>
        </w:rPr>
        <w:t>联系电话：</w:t>
      </w:r>
      <w:r>
        <w:rPr>
          <w:rFonts w:hint="eastAsia" w:ascii="Times New Roman" w:hAnsi="Times New Roman" w:eastAsia="楷体" w:cs="Times New Roman"/>
          <w:color w:val="auto"/>
          <w:sz w:val="24"/>
          <w:szCs w:val="24"/>
        </w:rPr>
        <w:t>联系电话：13811629457、15790708450；</w:t>
      </w:r>
    </w:p>
    <w:p w14:paraId="57D476B9">
      <w:pPr>
        <w:pStyle w:val="15"/>
        <w:spacing w:before="120" w:beforeLines="50" w:after="120" w:afterLines="50" w:line="440" w:lineRule="exact"/>
        <w:ind w:firstLine="480" w:firstLineChars="200"/>
        <w:jc w:val="both"/>
        <w:rPr>
          <w:rFonts w:hint="eastAsia" w:ascii="Times New Roman" w:hAnsi="Times New Roman" w:eastAsia="楷体" w:cs="Times New Roman"/>
          <w:color w:val="auto"/>
          <w:sz w:val="24"/>
          <w:szCs w:val="24"/>
          <w:lang w:eastAsia="zh-CN"/>
        </w:rPr>
      </w:pPr>
      <w:r>
        <w:rPr>
          <w:rFonts w:ascii="Times New Roman" w:hAnsi="Times New Roman" w:eastAsia="楷体" w:cs="Times New Roman"/>
          <w:color w:val="auto"/>
          <w:sz w:val="24"/>
          <w:szCs w:val="24"/>
        </w:rPr>
        <w:t>邮箱：</w:t>
      </w:r>
      <w:r>
        <w:rPr>
          <w:rFonts w:hint="eastAsia" w:ascii="Times New Roman" w:hAnsi="Times New Roman" w:eastAsia="楷体" w:cs="Times New Roman"/>
          <w:color w:val="auto"/>
          <w:sz w:val="24"/>
          <w:szCs w:val="24"/>
        </w:rPr>
        <w:t>liminghui@tylaw.com.cn、wangyulu@tylaw.com.cn</w:t>
      </w:r>
      <w:r>
        <w:rPr>
          <w:rFonts w:hint="eastAsia" w:ascii="Times New Roman" w:hAnsi="Times New Roman" w:eastAsia="楷体" w:cs="Times New Roman"/>
          <w:color w:val="auto"/>
          <w:sz w:val="24"/>
          <w:szCs w:val="24"/>
          <w:lang w:eastAsia="zh-CN"/>
        </w:rPr>
        <w:t>。</w:t>
      </w:r>
    </w:p>
    <w:p w14:paraId="6B9D8977">
      <w:pPr>
        <w:pStyle w:val="15"/>
        <w:spacing w:before="120" w:beforeLines="50" w:after="120" w:afterLines="50" w:line="440" w:lineRule="exact"/>
        <w:ind w:firstLine="480" w:firstLineChars="200"/>
        <w:jc w:val="both"/>
        <w:rPr>
          <w:rFonts w:ascii="Times New Roman" w:hAnsi="Times New Roman" w:eastAsia="PMingLiU" w:cs="Times New Roman"/>
          <w:color w:val="auto"/>
          <w:sz w:val="24"/>
          <w:szCs w:val="24"/>
        </w:rPr>
      </w:pPr>
    </w:p>
    <w:p w14:paraId="15AF7F3D">
      <w:pPr>
        <w:pStyle w:val="15"/>
        <w:numPr>
          <w:ilvl w:val="0"/>
          <w:numId w:val="2"/>
        </w:numPr>
        <w:spacing w:before="120" w:beforeLines="50" w:after="120" w:afterLines="50" w:line="440" w:lineRule="exact"/>
        <w:jc w:val="both"/>
        <w:rPr>
          <w:rFonts w:ascii="Times New Roman" w:hAnsi="Times New Roman" w:eastAsia="楷体" w:cs="Times New Roman"/>
          <w:b/>
          <w:bCs/>
          <w:color w:val="auto"/>
          <w:sz w:val="24"/>
          <w:szCs w:val="24"/>
          <w:lang w:eastAsia="zh-CN"/>
        </w:rPr>
      </w:pPr>
      <w:r>
        <w:rPr>
          <w:rFonts w:ascii="Times New Roman" w:hAnsi="Times New Roman" w:eastAsia="楷体" w:cs="Times New Roman"/>
          <w:b/>
          <w:bCs/>
          <w:color w:val="auto"/>
          <w:sz w:val="24"/>
          <w:szCs w:val="24"/>
          <w:lang w:eastAsia="zh-CN"/>
        </w:rPr>
        <w:t>债权申报方式</w:t>
      </w:r>
    </w:p>
    <w:p w14:paraId="4C300E13">
      <w:pPr>
        <w:pStyle w:val="15"/>
        <w:spacing w:line="440" w:lineRule="exact"/>
        <w:ind w:firstLine="580"/>
        <w:jc w:val="both"/>
        <w:rPr>
          <w:rFonts w:ascii="Times New Roman" w:hAnsi="Times New Roman" w:eastAsia="楷体" w:cs="Times New Roman"/>
          <w:b/>
          <w:bCs/>
          <w:color w:val="auto"/>
          <w:sz w:val="24"/>
          <w:szCs w:val="24"/>
        </w:rPr>
      </w:pPr>
      <w:r>
        <w:rPr>
          <w:rFonts w:ascii="Times New Roman" w:hAnsi="Times New Roman" w:eastAsia="楷体" w:cs="Times New Roman"/>
          <w:color w:val="auto"/>
          <w:sz w:val="24"/>
          <w:szCs w:val="24"/>
        </w:rPr>
        <w:t>债权人可以通过</w:t>
      </w:r>
      <w:r>
        <w:rPr>
          <w:rFonts w:ascii="Times New Roman" w:hAnsi="Times New Roman" w:eastAsia="楷体" w:cs="Times New Roman"/>
          <w:b/>
          <w:bCs/>
          <w:color w:val="auto"/>
          <w:sz w:val="24"/>
          <w:szCs w:val="24"/>
          <w:u w:val="single"/>
        </w:rPr>
        <w:t>邮寄申报的方式</w:t>
      </w:r>
      <w:r>
        <w:rPr>
          <w:rFonts w:ascii="Times New Roman" w:hAnsi="Times New Roman" w:eastAsia="楷体" w:cs="Times New Roman"/>
          <w:color w:val="auto"/>
          <w:sz w:val="24"/>
          <w:szCs w:val="24"/>
        </w:rPr>
        <w:t>向管理人申报债权</w:t>
      </w:r>
      <w:bookmarkStart w:id="3" w:name="_Hlk98357261"/>
      <w:r>
        <w:rPr>
          <w:rFonts w:ascii="Times New Roman" w:hAnsi="Times New Roman" w:eastAsia="楷体" w:cs="Times New Roman"/>
          <w:b w:val="0"/>
          <w:bCs w:val="0"/>
          <w:color w:val="auto"/>
          <w:sz w:val="24"/>
          <w:szCs w:val="24"/>
          <w:u w:val="none"/>
          <w:lang w:eastAsia="zh-CN"/>
        </w:rPr>
        <w:t>。</w:t>
      </w:r>
      <w:r>
        <w:rPr>
          <w:rFonts w:hint="eastAsia" w:ascii="Times New Roman" w:hAnsi="Times New Roman" w:eastAsia="楷体" w:cs="Times New Roman"/>
          <w:b/>
          <w:bCs/>
          <w:color w:val="auto"/>
          <w:sz w:val="24"/>
          <w:szCs w:val="24"/>
        </w:rPr>
        <w:t>请各位债权人</w:t>
      </w:r>
      <w:bookmarkEnd w:id="3"/>
      <w:r>
        <w:rPr>
          <w:rFonts w:ascii="Times New Roman" w:hAnsi="Times New Roman" w:eastAsia="楷体" w:cs="Times New Roman"/>
          <w:b/>
          <w:bCs/>
          <w:color w:val="auto"/>
          <w:sz w:val="24"/>
          <w:szCs w:val="24"/>
        </w:rPr>
        <w:t>按照管理人提供的债权申报文书样式进行填写，填写完毕后一式</w:t>
      </w:r>
      <w:r>
        <w:rPr>
          <w:rFonts w:hint="eastAsia" w:ascii="Times New Roman" w:hAnsi="Times New Roman" w:eastAsia="楷体" w:cs="Times New Roman"/>
          <w:b/>
          <w:bCs/>
          <w:color w:val="auto"/>
          <w:sz w:val="24"/>
          <w:szCs w:val="24"/>
        </w:rPr>
        <w:t>二</w:t>
      </w:r>
      <w:r>
        <w:rPr>
          <w:rFonts w:ascii="Times New Roman" w:hAnsi="Times New Roman" w:eastAsia="楷体" w:cs="Times New Roman"/>
          <w:b/>
          <w:bCs/>
          <w:color w:val="auto"/>
          <w:sz w:val="24"/>
          <w:szCs w:val="24"/>
        </w:rPr>
        <w:t>份邮寄给管理人。</w:t>
      </w:r>
    </w:p>
    <w:p w14:paraId="024B9359">
      <w:pPr>
        <w:pStyle w:val="15"/>
        <w:tabs>
          <w:tab w:val="left" w:pos="1063"/>
        </w:tabs>
        <w:spacing w:line="440" w:lineRule="exact"/>
        <w:ind w:firstLine="480" w:firstLineChars="200"/>
        <w:jc w:val="both"/>
        <w:rPr>
          <w:rFonts w:ascii="Times New Roman" w:hAnsi="Times New Roman" w:eastAsia="PMingLiU" w:cs="Times New Roman"/>
          <w:color w:val="auto"/>
          <w:sz w:val="24"/>
          <w:szCs w:val="24"/>
        </w:rPr>
      </w:pPr>
      <w:r>
        <w:rPr>
          <w:rFonts w:ascii="Times New Roman" w:hAnsi="Times New Roman" w:eastAsia="楷体" w:cs="Times New Roman"/>
          <w:color w:val="auto"/>
          <w:sz w:val="24"/>
          <w:szCs w:val="24"/>
        </w:rPr>
        <w:t>收件人：</w:t>
      </w:r>
      <w:r>
        <w:rPr>
          <w:rFonts w:hint="eastAsia" w:ascii="Times New Roman" w:hAnsi="Times New Roman" w:eastAsia="楷体" w:cs="Times New Roman"/>
          <w:color w:val="auto"/>
          <w:sz w:val="24"/>
          <w:szCs w:val="24"/>
        </w:rPr>
        <w:t>李明卉、王雨露；</w:t>
      </w:r>
    </w:p>
    <w:p w14:paraId="28605E9A">
      <w:pPr>
        <w:pStyle w:val="15"/>
        <w:tabs>
          <w:tab w:val="left" w:pos="1063"/>
        </w:tabs>
        <w:spacing w:line="440" w:lineRule="exact"/>
        <w:ind w:firstLine="480" w:firstLineChars="200"/>
        <w:jc w:val="both"/>
        <w:rPr>
          <w:rFonts w:ascii="Times New Roman" w:hAnsi="Times New Roman" w:eastAsia="PMingLiU" w:cs="Times New Roman"/>
          <w:color w:val="auto"/>
          <w:sz w:val="24"/>
          <w:szCs w:val="24"/>
        </w:rPr>
      </w:pPr>
      <w:r>
        <w:rPr>
          <w:rFonts w:ascii="Times New Roman" w:hAnsi="Times New Roman" w:eastAsia="楷体" w:cs="Times New Roman"/>
          <w:color w:val="auto"/>
          <w:sz w:val="24"/>
          <w:szCs w:val="24"/>
        </w:rPr>
        <w:t>联系电话：</w:t>
      </w:r>
      <w:bookmarkStart w:id="4" w:name="bookmark10"/>
      <w:r>
        <w:rPr>
          <w:rFonts w:hint="eastAsia" w:ascii="Times New Roman" w:hAnsi="Times New Roman" w:eastAsia="楷体" w:cs="Times New Roman"/>
          <w:color w:val="auto"/>
          <w:sz w:val="24"/>
          <w:szCs w:val="24"/>
        </w:rPr>
        <w:t>13811629457、15790708450</w:t>
      </w:r>
      <w:r>
        <w:rPr>
          <w:rFonts w:hint="eastAsia" w:cs="Times New Roman" w:asciiTheme="minorEastAsia" w:hAnsiTheme="minorEastAsia" w:eastAsiaTheme="minorEastAsia"/>
          <w:color w:val="auto"/>
          <w:sz w:val="24"/>
          <w:szCs w:val="24"/>
        </w:rPr>
        <w:t>；</w:t>
      </w:r>
    </w:p>
    <w:p w14:paraId="6D3C6895">
      <w:pPr>
        <w:pStyle w:val="15"/>
        <w:tabs>
          <w:tab w:val="left" w:pos="1063"/>
        </w:tabs>
        <w:spacing w:line="440" w:lineRule="exact"/>
        <w:ind w:firstLine="480" w:firstLineChars="200"/>
        <w:jc w:val="both"/>
        <w:rPr>
          <w:rFonts w:ascii="Times New Roman" w:hAnsi="Times New Roman" w:eastAsia="楷体" w:cs="Times New Roman"/>
          <w:color w:val="auto"/>
          <w:sz w:val="24"/>
          <w:szCs w:val="24"/>
        </w:rPr>
      </w:pPr>
      <w:r>
        <w:rPr>
          <w:rFonts w:hint="eastAsia" w:ascii="Times New Roman" w:hAnsi="Times New Roman" w:eastAsia="楷体" w:cs="Times New Roman"/>
          <w:color w:val="auto"/>
          <w:sz w:val="24"/>
          <w:szCs w:val="24"/>
        </w:rPr>
        <w:t>收件地址：北京市朝阳区针织路</w:t>
      </w:r>
      <w:r>
        <w:rPr>
          <w:rFonts w:ascii="Times New Roman" w:hAnsi="Times New Roman" w:eastAsia="楷体" w:cs="Times New Roman"/>
          <w:color w:val="auto"/>
          <w:sz w:val="24"/>
          <w:szCs w:val="24"/>
        </w:rPr>
        <w:t>23</w:t>
      </w:r>
      <w:r>
        <w:rPr>
          <w:rFonts w:hint="eastAsia" w:ascii="Times New Roman" w:hAnsi="Times New Roman" w:eastAsia="楷体" w:cs="Times New Roman"/>
          <w:color w:val="auto"/>
          <w:sz w:val="24"/>
          <w:szCs w:val="24"/>
        </w:rPr>
        <w:t>号国寿金融中心</w:t>
      </w:r>
      <w:r>
        <w:rPr>
          <w:rFonts w:ascii="Times New Roman" w:hAnsi="Times New Roman" w:eastAsia="楷体" w:cs="Times New Roman"/>
          <w:color w:val="auto"/>
          <w:sz w:val="24"/>
          <w:szCs w:val="24"/>
        </w:rPr>
        <w:t>20-21</w:t>
      </w:r>
      <w:r>
        <w:rPr>
          <w:rFonts w:hint="eastAsia" w:ascii="Times New Roman" w:hAnsi="Times New Roman" w:eastAsia="楷体" w:cs="Times New Roman"/>
          <w:color w:val="auto"/>
          <w:sz w:val="24"/>
          <w:szCs w:val="24"/>
        </w:rPr>
        <w:t>层。</w:t>
      </w:r>
    </w:p>
    <w:p w14:paraId="141A064D">
      <w:pPr>
        <w:pStyle w:val="15"/>
        <w:tabs>
          <w:tab w:val="left" w:pos="1063"/>
        </w:tabs>
        <w:spacing w:line="440" w:lineRule="exact"/>
        <w:ind w:firstLine="480" w:firstLineChars="200"/>
        <w:jc w:val="both"/>
        <w:rPr>
          <w:rFonts w:ascii="Times New Roman" w:hAnsi="Times New Roman" w:eastAsia="PMingLiU" w:cs="Times New Roman"/>
          <w:color w:val="auto"/>
          <w:sz w:val="24"/>
          <w:szCs w:val="24"/>
        </w:rPr>
      </w:pPr>
      <w:r>
        <w:rPr>
          <w:rFonts w:ascii="Times New Roman" w:hAnsi="Times New Roman" w:eastAsia="楷体" w:cs="Times New Roman"/>
          <w:color w:val="auto"/>
          <w:sz w:val="24"/>
          <w:szCs w:val="24"/>
        </w:rPr>
        <w:t>若管理人认为需要对某些申报材料进行核对，债权人应当按照管理人要求，及时提供原件以供核对。</w:t>
      </w:r>
    </w:p>
    <w:p w14:paraId="457085F9">
      <w:pPr>
        <w:pStyle w:val="15"/>
        <w:numPr>
          <w:ilvl w:val="0"/>
          <w:numId w:val="2"/>
        </w:numPr>
        <w:spacing w:before="120" w:beforeLines="50" w:after="120" w:afterLines="50" w:line="440" w:lineRule="exact"/>
        <w:jc w:val="both"/>
        <w:rPr>
          <w:rFonts w:ascii="Times New Roman" w:hAnsi="Times New Roman" w:eastAsia="楷体" w:cs="Times New Roman"/>
          <w:b/>
          <w:bCs/>
          <w:color w:val="auto"/>
          <w:sz w:val="24"/>
          <w:szCs w:val="24"/>
          <w:lang w:eastAsia="zh-CN"/>
        </w:rPr>
      </w:pPr>
      <w:r>
        <w:rPr>
          <w:rFonts w:ascii="Times New Roman" w:hAnsi="Times New Roman" w:eastAsia="楷体" w:cs="Times New Roman"/>
          <w:b/>
          <w:bCs/>
          <w:color w:val="auto"/>
          <w:sz w:val="24"/>
          <w:szCs w:val="24"/>
          <w:lang w:eastAsia="zh-CN"/>
        </w:rPr>
        <w:t>债权人应提交的材料及装订顺序的要求</w:t>
      </w:r>
    </w:p>
    <w:p w14:paraId="08D07EAC">
      <w:pPr>
        <w:pStyle w:val="15"/>
        <w:spacing w:line="440" w:lineRule="exact"/>
        <w:ind w:firstLine="580"/>
        <w:jc w:val="both"/>
        <w:rPr>
          <w:rFonts w:ascii="Times New Roman" w:hAnsi="Times New Roman" w:eastAsia="楷体" w:cs="Times New Roman"/>
          <w:bCs/>
          <w:color w:val="auto"/>
          <w:kern w:val="2"/>
          <w:sz w:val="24"/>
          <w:szCs w:val="24"/>
          <w:lang w:eastAsia="zh-CN" w:bidi="ar-SA"/>
        </w:rPr>
      </w:pPr>
      <w:r>
        <w:rPr>
          <w:rFonts w:ascii="Times New Roman" w:hAnsi="Times New Roman" w:eastAsia="楷体" w:cs="Times New Roman"/>
          <w:bCs/>
          <w:color w:val="auto"/>
          <w:kern w:val="2"/>
          <w:sz w:val="24"/>
          <w:szCs w:val="24"/>
          <w:lang w:eastAsia="zh-CN" w:bidi="ar-SA"/>
        </w:rPr>
        <w:t>债权人申报债权时，应提交如下三类申报材料，复印件材料用纸统一为A4型复印纸</w:t>
      </w:r>
      <w:r>
        <w:rPr>
          <w:rFonts w:ascii="Times New Roman" w:hAnsi="Times New Roman" w:eastAsia="楷体" w:cs="Times New Roman"/>
          <w:b/>
          <w:color w:val="auto"/>
          <w:kern w:val="2"/>
          <w:sz w:val="24"/>
          <w:szCs w:val="24"/>
          <w:lang w:eastAsia="zh-CN" w:bidi="ar-SA"/>
        </w:rPr>
        <w:t>（邮寄申报的需一式</w:t>
      </w:r>
      <w:r>
        <w:rPr>
          <w:rFonts w:hint="eastAsia" w:ascii="Times New Roman" w:hAnsi="Times New Roman" w:eastAsia="楷体" w:cs="Times New Roman"/>
          <w:b/>
          <w:color w:val="auto"/>
          <w:kern w:val="2"/>
          <w:sz w:val="24"/>
          <w:szCs w:val="24"/>
          <w:lang w:eastAsia="zh-CN" w:bidi="ar-SA"/>
        </w:rPr>
        <w:t>二</w:t>
      </w:r>
      <w:r>
        <w:rPr>
          <w:rFonts w:ascii="Times New Roman" w:hAnsi="Times New Roman" w:eastAsia="楷体" w:cs="Times New Roman"/>
          <w:b/>
          <w:color w:val="auto"/>
          <w:kern w:val="2"/>
          <w:sz w:val="24"/>
          <w:szCs w:val="24"/>
          <w:lang w:eastAsia="zh-CN" w:bidi="ar-SA"/>
        </w:rPr>
        <w:t>份）</w:t>
      </w:r>
      <w:r>
        <w:rPr>
          <w:rFonts w:ascii="Times New Roman" w:hAnsi="Times New Roman" w:eastAsia="楷体" w:cs="Times New Roman"/>
          <w:bCs/>
          <w:color w:val="auto"/>
          <w:kern w:val="2"/>
          <w:sz w:val="24"/>
          <w:szCs w:val="24"/>
          <w:lang w:eastAsia="zh-CN" w:bidi="ar-SA"/>
        </w:rPr>
        <w:t>。</w:t>
      </w:r>
    </w:p>
    <w:p w14:paraId="41983E76">
      <w:pPr>
        <w:pStyle w:val="15"/>
        <w:numPr>
          <w:ilvl w:val="255"/>
          <w:numId w:val="0"/>
        </w:numPr>
        <w:spacing w:before="120" w:beforeLines="50" w:after="120" w:afterLines="50" w:line="440" w:lineRule="exact"/>
        <w:ind w:firstLine="482" w:firstLineChars="200"/>
        <w:jc w:val="both"/>
        <w:rPr>
          <w:rFonts w:ascii="Times New Roman" w:hAnsi="Times New Roman" w:eastAsia="楷体" w:cs="Times New Roman"/>
          <w:bCs/>
          <w:color w:val="auto"/>
          <w:kern w:val="2"/>
          <w:lang w:eastAsia="zh-CN" w:bidi="ar-SA"/>
        </w:rPr>
      </w:pPr>
      <w:r>
        <w:rPr>
          <w:rFonts w:ascii="Times New Roman" w:hAnsi="Times New Roman" w:eastAsia="楷体" w:cs="Times New Roman"/>
          <w:b/>
          <w:bCs/>
          <w:color w:val="auto"/>
          <w:kern w:val="2"/>
          <w:sz w:val="24"/>
          <w:szCs w:val="24"/>
          <w:lang w:eastAsia="zh-CN" w:bidi="ar-SA"/>
        </w:rPr>
        <w:t>（一）《债权</w:t>
      </w:r>
      <w:r>
        <w:rPr>
          <w:rFonts w:ascii="Times New Roman" w:hAnsi="Times New Roman" w:eastAsia="楷体" w:cs="Times New Roman"/>
          <w:b/>
          <w:color w:val="auto"/>
          <w:kern w:val="2"/>
          <w:sz w:val="24"/>
          <w:szCs w:val="24"/>
          <w:lang w:eastAsia="zh-CN" w:bidi="ar-SA"/>
        </w:rPr>
        <w:t>申报文件清单》《债权申报表》</w:t>
      </w:r>
      <w:r>
        <w:rPr>
          <w:rFonts w:ascii="Times New Roman" w:hAnsi="Times New Roman" w:eastAsia="楷体" w:cs="Times New Roman"/>
          <w:bCs/>
          <w:color w:val="auto"/>
          <w:kern w:val="2"/>
          <w:sz w:val="24"/>
          <w:szCs w:val="24"/>
          <w:lang w:eastAsia="zh-CN" w:bidi="ar-SA"/>
        </w:rPr>
        <w:t>（请按照</w:t>
      </w:r>
      <w:r>
        <w:rPr>
          <w:rFonts w:hint="eastAsia" w:ascii="Times New Roman" w:hAnsi="Times New Roman" w:eastAsia="楷体" w:cs="Times New Roman"/>
          <w:bCs/>
          <w:color w:val="auto"/>
          <w:kern w:val="2"/>
          <w:sz w:val="24"/>
          <w:szCs w:val="24"/>
          <w:lang w:eastAsia="zh-CN" w:bidi="ar-SA"/>
        </w:rPr>
        <w:t>申报文书样式</w:t>
      </w:r>
      <w:r>
        <w:rPr>
          <w:rFonts w:ascii="Times New Roman" w:hAnsi="Times New Roman" w:eastAsia="楷体" w:cs="Times New Roman"/>
          <w:bCs/>
          <w:color w:val="auto"/>
          <w:kern w:val="2"/>
          <w:sz w:val="24"/>
          <w:szCs w:val="24"/>
          <w:lang w:eastAsia="zh-CN" w:bidi="ar-SA"/>
        </w:rPr>
        <w:t>填写，须提供原件，可加页）</w:t>
      </w:r>
    </w:p>
    <w:p w14:paraId="08A114A1">
      <w:pPr>
        <w:numPr>
          <w:ilvl w:val="0"/>
          <w:numId w:val="3"/>
        </w:numPr>
        <w:spacing w:line="440" w:lineRule="exact"/>
        <w:ind w:firstLine="480" w:firstLineChars="200"/>
        <w:jc w:val="both"/>
        <w:rPr>
          <w:rFonts w:eastAsia="楷体"/>
          <w:bCs/>
          <w:color w:val="auto"/>
          <w:kern w:val="2"/>
          <w:lang w:eastAsia="zh-CN" w:bidi="ar-SA"/>
        </w:rPr>
      </w:pPr>
      <w:r>
        <w:rPr>
          <w:rFonts w:eastAsia="楷体"/>
          <w:bCs/>
          <w:color w:val="auto"/>
          <w:kern w:val="2"/>
          <w:lang w:eastAsia="zh-CN" w:bidi="ar-SA"/>
        </w:rPr>
        <w:t>《债权申报文件清单》中按序填写提交的书面材料名称，并注明每份页数；</w:t>
      </w:r>
    </w:p>
    <w:p w14:paraId="0DEA675A">
      <w:pPr>
        <w:numPr>
          <w:ilvl w:val="0"/>
          <w:numId w:val="3"/>
        </w:numPr>
        <w:spacing w:line="440" w:lineRule="exact"/>
        <w:ind w:firstLine="480" w:firstLineChars="200"/>
        <w:jc w:val="both"/>
        <w:rPr>
          <w:rFonts w:eastAsia="楷体"/>
          <w:bCs/>
          <w:color w:val="auto"/>
          <w:kern w:val="2"/>
          <w:lang w:eastAsia="zh-CN" w:bidi="ar-SA"/>
        </w:rPr>
      </w:pPr>
      <w:r>
        <w:rPr>
          <w:rFonts w:eastAsia="楷体"/>
          <w:bCs/>
          <w:color w:val="auto"/>
          <w:kern w:val="2"/>
          <w:lang w:eastAsia="zh-CN" w:bidi="ar-SA"/>
        </w:rPr>
        <w:t>《债权申报表》需真实、准确、完整填写，填写债权申报人的基本信息、联系方式、申报债权金额、申报债权性质、是否存在担保以及诉讼、仲裁等情况；</w:t>
      </w:r>
    </w:p>
    <w:p w14:paraId="748BAD27">
      <w:pPr>
        <w:spacing w:line="440" w:lineRule="exact"/>
        <w:jc w:val="both"/>
        <w:rPr>
          <w:rFonts w:eastAsia="楷体"/>
          <w:b/>
          <w:color w:val="auto"/>
          <w:kern w:val="2"/>
          <w:u w:val="single"/>
          <w:lang w:eastAsia="zh-CN" w:bidi="ar-SA"/>
        </w:rPr>
      </w:pPr>
      <w:r>
        <w:rPr>
          <w:rFonts w:eastAsia="楷体"/>
          <w:bCs/>
          <w:color w:val="auto"/>
          <w:kern w:val="2"/>
          <w:lang w:eastAsia="zh-CN" w:bidi="ar-SA"/>
        </w:rPr>
        <w:t>须写明申报的债权金额、币种、性质、形成原因、经过、有无财产担保、利息计算过程等相关事项；根据《企业破产法》第四十六条第二款之规定，附利息的债权自破产申请受理时起停止计息。</w:t>
      </w:r>
      <w:r>
        <w:rPr>
          <w:rFonts w:eastAsia="楷体"/>
          <w:b/>
          <w:color w:val="auto"/>
          <w:kern w:val="2"/>
          <w:u w:val="single"/>
          <w:lang w:eastAsia="zh-CN" w:bidi="ar-SA"/>
        </w:rPr>
        <w:t>债权人申报的债权如附有利息的，利息应计至202</w:t>
      </w:r>
      <w:r>
        <w:rPr>
          <w:rFonts w:hint="eastAsia" w:eastAsia="楷体"/>
          <w:b/>
          <w:color w:val="auto"/>
          <w:kern w:val="2"/>
          <w:u w:val="single"/>
          <w:lang w:val="en-US" w:eastAsia="zh-CN" w:bidi="ar-SA"/>
        </w:rPr>
        <w:t>5</w:t>
      </w:r>
      <w:r>
        <w:rPr>
          <w:rFonts w:eastAsia="楷体"/>
          <w:b/>
          <w:color w:val="auto"/>
          <w:kern w:val="2"/>
          <w:u w:val="single"/>
          <w:lang w:eastAsia="zh-CN" w:bidi="ar-SA"/>
        </w:rPr>
        <w:t>年</w:t>
      </w:r>
      <w:r>
        <w:rPr>
          <w:rFonts w:hint="eastAsia" w:eastAsia="楷体"/>
          <w:b/>
          <w:color w:val="auto"/>
          <w:kern w:val="2"/>
          <w:u w:val="single"/>
          <w:lang w:val="en-US" w:eastAsia="zh-CN" w:bidi="ar-SA"/>
        </w:rPr>
        <w:t>9</w:t>
      </w:r>
      <w:r>
        <w:rPr>
          <w:rFonts w:eastAsia="楷体"/>
          <w:b/>
          <w:color w:val="auto"/>
          <w:kern w:val="2"/>
          <w:u w:val="single"/>
          <w:lang w:eastAsia="zh-CN" w:bidi="ar-SA"/>
        </w:rPr>
        <w:t>月</w:t>
      </w:r>
      <w:r>
        <w:rPr>
          <w:rFonts w:hint="eastAsia" w:eastAsia="楷体"/>
          <w:b/>
          <w:color w:val="auto"/>
          <w:kern w:val="2"/>
          <w:u w:val="single"/>
          <w:lang w:val="en-US" w:eastAsia="zh-CN" w:bidi="ar-SA"/>
        </w:rPr>
        <w:t>28</w:t>
      </w:r>
      <w:r>
        <w:rPr>
          <w:rFonts w:eastAsia="楷体"/>
          <w:b/>
          <w:color w:val="auto"/>
          <w:kern w:val="2"/>
          <w:u w:val="single"/>
          <w:lang w:eastAsia="zh-CN" w:bidi="ar-SA"/>
        </w:rPr>
        <w:t>日（含当日）；</w:t>
      </w:r>
    </w:p>
    <w:p w14:paraId="2D7E999F">
      <w:pPr>
        <w:numPr>
          <w:ilvl w:val="0"/>
          <w:numId w:val="3"/>
        </w:numPr>
        <w:spacing w:line="440" w:lineRule="exact"/>
        <w:ind w:firstLine="480" w:firstLineChars="200"/>
        <w:jc w:val="both"/>
        <w:rPr>
          <w:rFonts w:eastAsia="楷体"/>
          <w:b/>
          <w:color w:val="auto"/>
          <w:kern w:val="2"/>
          <w:lang w:eastAsia="zh-CN" w:bidi="ar-SA"/>
        </w:rPr>
      </w:pPr>
      <w:r>
        <w:rPr>
          <w:rFonts w:eastAsia="楷体"/>
          <w:bCs/>
          <w:color w:val="auto"/>
          <w:kern w:val="2"/>
          <w:lang w:eastAsia="zh-CN" w:bidi="ar-SA"/>
        </w:rPr>
        <w:t>机构债权人应在《债权申报文件清单》《债权申报表》上</w:t>
      </w:r>
      <w:r>
        <w:rPr>
          <w:rFonts w:eastAsia="楷体"/>
          <w:b/>
          <w:color w:val="auto"/>
          <w:kern w:val="2"/>
          <w:lang w:eastAsia="zh-CN" w:bidi="ar-SA"/>
        </w:rPr>
        <w:t>加盖机构债权人公章</w:t>
      </w:r>
      <w:r>
        <w:rPr>
          <w:rFonts w:hint="eastAsia" w:eastAsia="楷体"/>
          <w:b/>
          <w:color w:val="auto"/>
          <w:kern w:val="2"/>
          <w:lang w:eastAsia="zh-CN" w:bidi="ar-SA"/>
        </w:rPr>
        <w:t>、法定代表人/负责人签字或盖人名章</w:t>
      </w:r>
      <w:r>
        <w:rPr>
          <w:rFonts w:eastAsia="楷体"/>
          <w:b/>
          <w:color w:val="auto"/>
          <w:kern w:val="2"/>
          <w:lang w:eastAsia="zh-CN" w:bidi="ar-SA"/>
        </w:rPr>
        <w:t>，自然人债权人应由本人签字并捺印；</w:t>
      </w:r>
    </w:p>
    <w:p w14:paraId="6CD82454">
      <w:pPr>
        <w:numPr>
          <w:ilvl w:val="255"/>
          <w:numId w:val="0"/>
        </w:numPr>
        <w:spacing w:before="120" w:beforeLines="50" w:after="120" w:afterLines="50" w:line="440" w:lineRule="exact"/>
        <w:ind w:firstLine="482" w:firstLineChars="200"/>
        <w:jc w:val="both"/>
        <w:rPr>
          <w:rFonts w:eastAsia="楷体"/>
          <w:b/>
          <w:color w:val="auto"/>
          <w:kern w:val="2"/>
          <w:lang w:eastAsia="zh-CN" w:bidi="ar-SA"/>
        </w:rPr>
      </w:pPr>
      <w:r>
        <w:rPr>
          <w:rFonts w:eastAsia="楷体"/>
          <w:b/>
          <w:color w:val="auto"/>
          <w:kern w:val="2"/>
          <w:lang w:eastAsia="zh-CN" w:bidi="ar-SA"/>
        </w:rPr>
        <w:t>（二）申报人主体资格证明材料（机构债权人须加盖公章，自然人债权人应由本人签字并捺印）</w:t>
      </w:r>
    </w:p>
    <w:p w14:paraId="3AF693DE">
      <w:pPr>
        <w:numPr>
          <w:ilvl w:val="0"/>
          <w:numId w:val="4"/>
        </w:numPr>
        <w:spacing w:line="440" w:lineRule="exact"/>
        <w:ind w:left="0" w:firstLine="482" w:firstLineChars="200"/>
        <w:jc w:val="both"/>
        <w:rPr>
          <w:rFonts w:eastAsia="楷体"/>
          <w:b/>
          <w:bCs/>
          <w:color w:val="auto"/>
          <w:kern w:val="2"/>
          <w:lang w:eastAsia="zh-CN" w:bidi="ar-SA"/>
        </w:rPr>
      </w:pPr>
      <w:r>
        <w:rPr>
          <w:rFonts w:eastAsia="楷体"/>
          <w:b/>
          <w:bCs/>
          <w:color w:val="auto"/>
          <w:kern w:val="2"/>
          <w:lang w:eastAsia="zh-CN" w:bidi="ar-SA"/>
        </w:rPr>
        <w:t>机构债权人须提交的材料：</w:t>
      </w:r>
    </w:p>
    <w:p w14:paraId="20936E1D">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（1）有效的营业执照、事业单位和社团法人登记证书或其他合法证明书，均须提供复印件或扫描件；</w:t>
      </w:r>
    </w:p>
    <w:p w14:paraId="52F4066E">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（2）法定代表人（负责人）身份证明书（样式请参考</w:t>
      </w:r>
      <w:r>
        <w:rPr>
          <w:rFonts w:hint="eastAsia" w:eastAsia="楷体"/>
          <w:color w:val="auto"/>
          <w:kern w:val="2"/>
          <w:lang w:eastAsia="zh-CN" w:bidi="ar-SA"/>
        </w:rPr>
        <w:t>申报文书样式</w:t>
      </w:r>
      <w:r>
        <w:rPr>
          <w:rFonts w:eastAsia="楷体"/>
          <w:color w:val="auto"/>
          <w:kern w:val="2"/>
          <w:lang w:eastAsia="zh-CN" w:bidi="ar-SA"/>
        </w:rPr>
        <w:t>， “法定代表人（负责人）身份证明书”，须提供原件）；</w:t>
      </w:r>
    </w:p>
    <w:p w14:paraId="76A79721">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（3）法定代表人（负责人）身份证等个人有效证件的复印件。法定代表人（负责人）之外的人员申报的，应当提交：</w:t>
      </w:r>
    </w:p>
    <w:p w14:paraId="165DBFC8">
      <w:pPr>
        <w:numPr>
          <w:ilvl w:val="0"/>
          <w:numId w:val="5"/>
        </w:numPr>
        <w:spacing w:line="440" w:lineRule="exact"/>
        <w:ind w:left="0" w:firstLine="720" w:firstLineChars="300"/>
        <w:jc w:val="both"/>
        <w:rPr>
          <w:rFonts w:eastAsia="楷体"/>
          <w:color w:val="auto"/>
          <w:kern w:val="2"/>
          <w:lang w:eastAsia="zh-CN" w:bidi="ar-SA"/>
        </w:rPr>
      </w:pPr>
      <w:r>
        <w:rPr>
          <w:rFonts w:eastAsia="楷体"/>
          <w:color w:val="auto"/>
          <w:kern w:val="2"/>
          <w:lang w:eastAsia="zh-CN" w:bidi="ar-SA"/>
        </w:rPr>
        <w:t>机构的授权委托书（样式请参考</w:t>
      </w:r>
      <w:r>
        <w:rPr>
          <w:rFonts w:hint="eastAsia" w:eastAsia="楷体"/>
          <w:color w:val="auto"/>
          <w:kern w:val="2"/>
          <w:lang w:eastAsia="zh-CN" w:bidi="ar-SA"/>
        </w:rPr>
        <w:t>申报文书样式</w:t>
      </w:r>
      <w:r>
        <w:rPr>
          <w:rFonts w:eastAsia="楷体"/>
          <w:color w:val="auto"/>
          <w:kern w:val="2"/>
          <w:lang w:eastAsia="zh-CN" w:bidi="ar-SA"/>
        </w:rPr>
        <w:t>，“授权委托书”，须提供原件）；</w:t>
      </w:r>
    </w:p>
    <w:p w14:paraId="259319A0">
      <w:pPr>
        <w:numPr>
          <w:ilvl w:val="0"/>
          <w:numId w:val="5"/>
        </w:numPr>
        <w:spacing w:line="440" w:lineRule="exact"/>
        <w:ind w:left="0" w:firstLine="720" w:firstLineChars="300"/>
        <w:jc w:val="both"/>
        <w:rPr>
          <w:rFonts w:eastAsia="楷体"/>
          <w:b/>
          <w:bCs/>
          <w:color w:val="auto"/>
          <w:kern w:val="2"/>
          <w:u w:val="single"/>
          <w:lang w:eastAsia="zh-CN" w:bidi="ar-SA"/>
        </w:rPr>
      </w:pPr>
      <w:r>
        <w:rPr>
          <w:rFonts w:eastAsia="楷体"/>
          <w:color w:val="auto"/>
          <w:kern w:val="2"/>
          <w:lang w:eastAsia="zh-CN" w:bidi="ar-SA"/>
        </w:rPr>
        <w:t>代理人的身份证等个人有效证件（复印件或扫描件），代理人为律师的，请提交律师证（复印件或扫描件）、律师事务所指派函（须提供原件）。</w:t>
      </w:r>
    </w:p>
    <w:p w14:paraId="174ACAEC">
      <w:pPr>
        <w:spacing w:line="440" w:lineRule="exact"/>
        <w:ind w:firstLine="482" w:firstLineChars="200"/>
        <w:jc w:val="both"/>
        <w:rPr>
          <w:rFonts w:eastAsia="楷体"/>
          <w:b/>
          <w:bCs/>
          <w:color w:val="auto"/>
          <w:kern w:val="2"/>
          <w:u w:val="single"/>
          <w:lang w:eastAsia="zh-CN" w:bidi="ar-SA"/>
        </w:rPr>
      </w:pPr>
      <w:r>
        <w:rPr>
          <w:rFonts w:eastAsia="楷体"/>
          <w:b/>
          <w:bCs/>
          <w:color w:val="auto"/>
          <w:kern w:val="2"/>
          <w:u w:val="single"/>
          <w:lang w:eastAsia="zh-CN" w:bidi="ar-SA"/>
        </w:rPr>
        <w:t>如机构债权人与债务人发生债权债务后名称发生变更的，还应提交工商机关出具的名称变更证明（提供复印件加盖公司公章）。</w:t>
      </w:r>
    </w:p>
    <w:p w14:paraId="2B577143">
      <w:pPr>
        <w:numPr>
          <w:ilvl w:val="0"/>
          <w:numId w:val="4"/>
        </w:numPr>
        <w:spacing w:line="440" w:lineRule="exact"/>
        <w:ind w:left="0" w:firstLine="482" w:firstLineChars="200"/>
        <w:jc w:val="both"/>
        <w:rPr>
          <w:rFonts w:eastAsia="楷体"/>
          <w:color w:val="auto"/>
          <w:kern w:val="2"/>
          <w:lang w:eastAsia="zh-CN" w:bidi="ar-SA"/>
        </w:rPr>
      </w:pPr>
      <w:r>
        <w:rPr>
          <w:rFonts w:eastAsia="楷体"/>
          <w:b/>
          <w:bCs/>
          <w:color w:val="auto"/>
          <w:kern w:val="2"/>
          <w:lang w:eastAsia="zh-CN" w:bidi="ar-SA"/>
        </w:rPr>
        <w:t>债权人为自然人的，</w:t>
      </w:r>
      <w:r>
        <w:rPr>
          <w:rFonts w:eastAsia="楷体"/>
          <w:color w:val="auto"/>
          <w:kern w:val="2"/>
          <w:lang w:eastAsia="zh-CN" w:bidi="ar-SA"/>
        </w:rPr>
        <w:t>应提供债权人身份证等个人有效证件（复印件或扫描件）。债权人委托他人申报的，应当提交：</w:t>
      </w:r>
    </w:p>
    <w:p w14:paraId="54A0F3A7">
      <w:p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（1）债权人的授权委托书（样式请参考</w:t>
      </w:r>
      <w:r>
        <w:rPr>
          <w:rFonts w:hint="eastAsia" w:eastAsia="楷体"/>
          <w:color w:val="auto"/>
          <w:kern w:val="2"/>
          <w:lang w:eastAsia="zh-CN" w:bidi="ar-SA"/>
        </w:rPr>
        <w:t>申报文书样式</w:t>
      </w:r>
      <w:r>
        <w:rPr>
          <w:rFonts w:eastAsia="楷体"/>
          <w:color w:val="auto"/>
          <w:kern w:val="2"/>
          <w:lang w:eastAsia="zh-CN" w:bidi="ar-SA"/>
        </w:rPr>
        <w:t>， “授权委托书”，须提供原件）；</w:t>
      </w:r>
    </w:p>
    <w:p w14:paraId="3DB01F1E">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（2）代理人的身份证等个人有效证件（复印件或扫描件），代理人为律师的，请提交律师证（复印件或扫描件）、律师事务所的指派函（须提供原件）。</w:t>
      </w:r>
    </w:p>
    <w:p w14:paraId="28A68662">
      <w:pPr>
        <w:spacing w:before="120" w:beforeLines="50" w:after="120" w:afterLines="50" w:line="440" w:lineRule="exact"/>
        <w:ind w:firstLine="482" w:firstLineChars="200"/>
        <w:jc w:val="both"/>
        <w:rPr>
          <w:rFonts w:eastAsia="楷体"/>
          <w:b/>
          <w:bCs/>
          <w:color w:val="auto"/>
          <w:kern w:val="2"/>
          <w:lang w:eastAsia="zh-CN" w:bidi="ar-SA"/>
        </w:rPr>
      </w:pPr>
      <w:r>
        <w:rPr>
          <w:rFonts w:eastAsia="楷体"/>
          <w:b/>
          <w:bCs/>
          <w:color w:val="auto"/>
          <w:kern w:val="2"/>
          <w:lang w:eastAsia="zh-CN" w:bidi="ar-SA"/>
        </w:rPr>
        <w:t>（三）证明</w:t>
      </w:r>
      <w:r>
        <w:rPr>
          <w:rFonts w:eastAsia="楷体"/>
          <w:b/>
          <w:color w:val="auto"/>
          <w:kern w:val="2"/>
          <w:lang w:eastAsia="zh-CN" w:bidi="ar-SA"/>
        </w:rPr>
        <w:t>债权</w:t>
      </w:r>
      <w:r>
        <w:rPr>
          <w:rFonts w:eastAsia="楷体"/>
          <w:b/>
          <w:bCs/>
          <w:color w:val="auto"/>
          <w:kern w:val="2"/>
          <w:lang w:eastAsia="zh-CN" w:bidi="ar-SA"/>
        </w:rPr>
        <w:t>发生事实及其金额的材料</w:t>
      </w:r>
      <w:r>
        <w:rPr>
          <w:rFonts w:eastAsia="楷体"/>
          <w:b/>
          <w:color w:val="auto"/>
          <w:kern w:val="2"/>
          <w:lang w:eastAsia="zh-CN" w:bidi="ar-SA"/>
        </w:rPr>
        <w:t>（机构债权人须加盖公章，自然人债权人应由本人签字并捺印）</w:t>
      </w:r>
    </w:p>
    <w:p w14:paraId="177E3831">
      <w:pPr>
        <w:spacing w:line="440" w:lineRule="exact"/>
        <w:ind w:firstLine="480"/>
        <w:jc w:val="both"/>
        <w:rPr>
          <w:rFonts w:eastAsia="楷体"/>
          <w:bCs/>
          <w:color w:val="auto"/>
          <w:kern w:val="2"/>
          <w:lang w:eastAsia="zh-CN" w:bidi="ar-SA"/>
        </w:rPr>
      </w:pPr>
      <w:r>
        <w:rPr>
          <w:rFonts w:eastAsia="楷体"/>
          <w:bCs/>
          <w:color w:val="auto"/>
          <w:kern w:val="2"/>
          <w:lang w:eastAsia="zh-CN" w:bidi="ar-SA"/>
        </w:rPr>
        <w:t>债权人申报债权应提交</w:t>
      </w:r>
      <w:r>
        <w:rPr>
          <w:rFonts w:eastAsia="楷体"/>
          <w:b/>
          <w:bCs/>
          <w:color w:val="auto"/>
          <w:kern w:val="2"/>
          <w:lang w:eastAsia="zh-CN" w:bidi="ar-SA"/>
        </w:rPr>
        <w:t>能够证明债权成立</w:t>
      </w:r>
      <w:r>
        <w:rPr>
          <w:rFonts w:eastAsia="楷体"/>
          <w:bCs/>
          <w:color w:val="auto"/>
          <w:kern w:val="2"/>
          <w:lang w:eastAsia="zh-CN" w:bidi="ar-SA"/>
        </w:rPr>
        <w:t>的全部书面材料</w:t>
      </w:r>
      <w:r>
        <w:rPr>
          <w:rFonts w:eastAsia="楷体"/>
          <w:color w:val="auto"/>
          <w:kern w:val="2"/>
          <w:lang w:eastAsia="zh-CN" w:bidi="ar-SA"/>
        </w:rPr>
        <w:t>（复印件或扫描件）</w:t>
      </w:r>
      <w:r>
        <w:rPr>
          <w:rFonts w:eastAsia="楷体"/>
          <w:bCs/>
          <w:color w:val="auto"/>
          <w:kern w:val="2"/>
          <w:lang w:eastAsia="zh-CN" w:bidi="ar-SA"/>
        </w:rPr>
        <w:t>，包括但不限于：</w:t>
      </w:r>
    </w:p>
    <w:p w14:paraId="603E7A6D">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相关合同（包括但不限于借款合同，购销合同等）；</w:t>
      </w:r>
    </w:p>
    <w:p w14:paraId="57EBA481">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相关票据、划账单、汇款单、对账单、提货单、发货单、验收证明等履行凭证，有关债权形成的相关收据、进账单；</w:t>
      </w:r>
    </w:p>
    <w:p w14:paraId="0612BAD7">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债权如有担保的，还须提交抵押合同、质押合同、保证合同、担保物清单及相关的登记证件等担保材料；</w:t>
      </w:r>
    </w:p>
    <w:p w14:paraId="179672A5">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债权如涉及诉讼或仲裁，须提交诉讼、仲裁有关的文件。如果经过两级法院审理，一、二审法院的法律文书皆需提供；仲裁机关出具的生效法律文书应附上</w:t>
      </w:r>
      <w:r>
        <w:rPr>
          <w:rFonts w:eastAsia="楷体"/>
          <w:b/>
          <w:color w:val="auto"/>
          <w:kern w:val="2"/>
          <w:u w:val="single"/>
          <w:lang w:eastAsia="zh-CN" w:bidi="ar-SA"/>
        </w:rPr>
        <w:t>仲裁机关关于法律文书已经生效的函件或双方当事人已签收的送达回执以及证据材料</w:t>
      </w:r>
      <w:r>
        <w:rPr>
          <w:rFonts w:eastAsia="楷体"/>
          <w:color w:val="auto"/>
          <w:kern w:val="2"/>
          <w:lang w:eastAsia="zh-CN" w:bidi="ar-SA"/>
        </w:rPr>
        <w:t>（复印件或扫描件）。如已申请人民法院强制执行的，还须提交人民法院</w:t>
      </w:r>
      <w:r>
        <w:rPr>
          <w:rFonts w:eastAsia="楷体"/>
          <w:b/>
          <w:color w:val="auto"/>
          <w:kern w:val="2"/>
          <w:u w:val="single"/>
          <w:lang w:eastAsia="zh-CN" w:bidi="ar-SA"/>
        </w:rPr>
        <w:t>执行立案通知书、中止执行裁定书</w:t>
      </w:r>
      <w:r>
        <w:rPr>
          <w:rFonts w:eastAsia="楷体"/>
          <w:color w:val="auto"/>
          <w:kern w:val="2"/>
          <w:lang w:eastAsia="zh-CN" w:bidi="ar-SA"/>
        </w:rPr>
        <w:t>等相关文件（复印件或扫描件）；</w:t>
      </w:r>
    </w:p>
    <w:p w14:paraId="01B8E1B0">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申报人在诉讼或仲裁程序中申请财产保全的，须提交人民法院作出的保全裁定书等相关文件（复印件或扫描件）；</w:t>
      </w:r>
    </w:p>
    <w:p w14:paraId="2CB6C3D4">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能够证明债权发生、变更、存续，诉讼时效中止、中断、延长及债权金额的其他材料；</w:t>
      </w:r>
    </w:p>
    <w:p w14:paraId="7A8359E8">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债权如有偿还或其他抵债情形的，须提供偿债凭证、协议等。如该等偿债或以物抵债是由法院裁定认可的，须同时提交裁定书（复印件或扫描件）；</w:t>
      </w:r>
    </w:p>
    <w:p w14:paraId="1C1D0B79">
      <w:pPr>
        <w:numPr>
          <w:ilvl w:val="0"/>
          <w:numId w:val="6"/>
        </w:numPr>
        <w:spacing w:line="440" w:lineRule="exact"/>
        <w:ind w:firstLine="480" w:firstLineChars="200"/>
        <w:jc w:val="both"/>
        <w:rPr>
          <w:rFonts w:eastAsia="楷体"/>
          <w:b/>
          <w:color w:val="auto"/>
          <w:kern w:val="2"/>
          <w:lang w:eastAsia="zh-CN" w:bidi="ar-SA"/>
        </w:rPr>
      </w:pPr>
      <w:r>
        <w:rPr>
          <w:rFonts w:eastAsia="楷体"/>
          <w:bCs/>
          <w:color w:val="auto"/>
          <w:kern w:val="2"/>
          <w:u w:val="single"/>
          <w:lang w:eastAsia="zh-CN" w:bidi="ar-SA"/>
        </w:rPr>
        <w:t>申报人提交的《债权形成情况说明书》应当载明利息计算标准或另行提供利息计算表，说明利息的计算依据（应当明确指出合同约定利息或违约金涉及到的具体条款或法律文书涉及到的具体判项）、计算方法和计算结果，同时将期内利息与罚息、逾期利息、复利、滞纳金等其他费用分开计算；</w:t>
      </w:r>
      <w:r>
        <w:rPr>
          <w:rFonts w:eastAsia="楷体"/>
          <w:b/>
          <w:color w:val="auto"/>
          <w:kern w:val="2"/>
          <w:u w:val="single"/>
          <w:lang w:eastAsia="zh-CN" w:bidi="ar-SA"/>
        </w:rPr>
        <w:t>申报债权时未申报应付利息和违约金或申报金额及计算不明确的，视为放弃申报；</w:t>
      </w:r>
    </w:p>
    <w:p w14:paraId="214DF3E8">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债权人主张债权的相关证明材料，如催款、催款通知等；</w:t>
      </w:r>
    </w:p>
    <w:p w14:paraId="4692C1AE">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债权公证文书或相关公证文书；</w:t>
      </w:r>
    </w:p>
    <w:p w14:paraId="071D051C">
      <w:pPr>
        <w:numPr>
          <w:ilvl w:val="0"/>
          <w:numId w:val="6"/>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其他能够证明债权成立的依据。</w:t>
      </w:r>
    </w:p>
    <w:p w14:paraId="7F59AEED">
      <w:pPr>
        <w:numPr>
          <w:ilvl w:val="255"/>
          <w:numId w:val="0"/>
        </w:numPr>
        <w:spacing w:before="120" w:beforeLines="50" w:after="120" w:afterLines="50" w:line="440" w:lineRule="exact"/>
        <w:ind w:firstLine="482" w:firstLineChars="200"/>
        <w:jc w:val="both"/>
        <w:rPr>
          <w:rFonts w:eastAsia="楷体"/>
          <w:b/>
          <w:bCs/>
          <w:color w:val="auto"/>
          <w:kern w:val="2"/>
          <w:lang w:eastAsia="zh-CN" w:bidi="ar-SA"/>
        </w:rPr>
      </w:pPr>
      <w:r>
        <w:rPr>
          <w:rFonts w:eastAsia="楷体"/>
          <w:b/>
          <w:bCs/>
          <w:color w:val="auto"/>
          <w:kern w:val="2"/>
          <w:lang w:eastAsia="zh-CN" w:bidi="ar-SA"/>
        </w:rPr>
        <w:t>材料装订顺序要求：请按照《债权申报文件清单》所载的顺序装订成册，装订时加封面。</w:t>
      </w:r>
    </w:p>
    <w:p w14:paraId="2E98BD4C">
      <w:pPr>
        <w:pStyle w:val="15"/>
        <w:numPr>
          <w:ilvl w:val="0"/>
          <w:numId w:val="2"/>
        </w:numPr>
        <w:spacing w:before="120" w:beforeLines="50" w:after="120" w:afterLines="50" w:line="440" w:lineRule="exact"/>
        <w:jc w:val="both"/>
        <w:rPr>
          <w:rFonts w:ascii="Times New Roman" w:hAnsi="Times New Roman" w:eastAsia="楷体" w:cs="Times New Roman"/>
          <w:b/>
          <w:bCs/>
          <w:color w:val="auto"/>
          <w:sz w:val="24"/>
          <w:szCs w:val="24"/>
          <w:lang w:eastAsia="zh-CN"/>
        </w:rPr>
      </w:pPr>
      <w:r>
        <w:rPr>
          <w:rFonts w:ascii="Times New Roman" w:hAnsi="Times New Roman" w:eastAsia="楷体" w:cs="Times New Roman"/>
          <w:b/>
          <w:bCs/>
          <w:color w:val="auto"/>
          <w:sz w:val="24"/>
          <w:szCs w:val="24"/>
          <w:lang w:eastAsia="zh-CN"/>
        </w:rPr>
        <w:t>特别注意事项</w:t>
      </w:r>
    </w:p>
    <w:p w14:paraId="34A2E88C">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（一）债权人为机构的，</w:t>
      </w:r>
      <w:r>
        <w:rPr>
          <w:rFonts w:eastAsia="楷体"/>
          <w:b/>
          <w:bCs/>
          <w:color w:val="auto"/>
          <w:kern w:val="2"/>
          <w:lang w:eastAsia="zh-CN" w:bidi="ar-SA"/>
        </w:rPr>
        <w:t>应在所有复印件、原件上加盖公章，若证据材料较多，可在每册加盖骑缝章</w:t>
      </w:r>
      <w:r>
        <w:rPr>
          <w:rFonts w:eastAsia="楷体"/>
          <w:color w:val="auto"/>
          <w:kern w:val="2"/>
          <w:lang w:eastAsia="zh-CN" w:bidi="ar-SA"/>
        </w:rPr>
        <w:t>；债权人为自然人的，</w:t>
      </w:r>
      <w:r>
        <w:rPr>
          <w:rFonts w:eastAsia="楷体"/>
          <w:b/>
          <w:bCs/>
          <w:color w:val="auto"/>
          <w:kern w:val="2"/>
          <w:lang w:eastAsia="zh-CN" w:bidi="ar-SA"/>
        </w:rPr>
        <w:t>应在所有复印件、原件上签字并捺手印</w:t>
      </w:r>
      <w:r>
        <w:rPr>
          <w:rFonts w:eastAsia="楷体"/>
          <w:color w:val="auto"/>
          <w:kern w:val="2"/>
          <w:lang w:eastAsia="zh-CN" w:bidi="ar-SA"/>
        </w:rPr>
        <w:t>；</w:t>
      </w:r>
    </w:p>
    <w:p w14:paraId="68C017D3">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二）债权人及其委托代理人务必在债权申报材料中注明有效的联系方式，包括但不限于固定电话、手机电话、传真、邮寄地址及邮政编码等。管理人将相关文件邮寄到指定地址、通过传真发送至指定号码或以电子邮件方式发至指定邮箱均视为有效送达，烦请债权人正确填写通讯方式，避免产生相关文件无法送达的情形；</w:t>
      </w:r>
    </w:p>
    <w:p w14:paraId="2C5EF91B">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（三）债权人及其委托代理人提供的手机号码用于接收参加债权人会议的相关信息，债权人应保证提供的手机号码真实有效并保持畅通，否则一切不利后果由债权人自行承担；</w:t>
      </w:r>
    </w:p>
    <w:p w14:paraId="52875986">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（四）债权人申报的债权已经获得以及未来获得</w:t>
      </w:r>
      <w:r>
        <w:rPr>
          <w:rFonts w:hint="eastAsia" w:eastAsia="楷体"/>
          <w:color w:val="auto"/>
          <w:kern w:val="2"/>
          <w:lang w:val="en-US" w:eastAsia="zh-CN" w:bidi="ar-SA"/>
        </w:rPr>
        <w:t>英维思公司</w:t>
      </w:r>
      <w:r>
        <w:rPr>
          <w:rFonts w:eastAsia="楷体"/>
          <w:color w:val="auto"/>
          <w:kern w:val="2"/>
          <w:lang w:eastAsia="zh-CN" w:bidi="ar-SA"/>
        </w:rPr>
        <w:t>或者其他连带债务人清偿的，应及时告知管理人，隐瞒债权受偿情况将承担相应的法律责任；债权人另外对</w:t>
      </w:r>
      <w:r>
        <w:rPr>
          <w:rFonts w:hint="eastAsia" w:eastAsia="楷体"/>
          <w:color w:val="auto"/>
          <w:kern w:val="2"/>
          <w:lang w:val="en-US" w:eastAsia="zh-CN" w:bidi="ar-SA"/>
        </w:rPr>
        <w:t>英维思公司</w:t>
      </w:r>
      <w:r>
        <w:rPr>
          <w:rFonts w:eastAsia="楷体"/>
          <w:color w:val="auto"/>
          <w:kern w:val="2"/>
          <w:lang w:eastAsia="zh-CN" w:bidi="ar-SA"/>
        </w:rPr>
        <w:t>负有债务的，管理人将依法清收；</w:t>
      </w:r>
    </w:p>
    <w:p w14:paraId="2D8245EB">
      <w:pPr>
        <w:numPr>
          <w:ilvl w:val="255"/>
          <w:numId w:val="0"/>
        </w:numPr>
        <w:spacing w:line="440" w:lineRule="exact"/>
        <w:ind w:firstLine="480" w:firstLineChars="200"/>
        <w:jc w:val="both"/>
        <w:rPr>
          <w:rFonts w:eastAsia="楷体"/>
          <w:color w:val="auto"/>
          <w:kern w:val="2"/>
          <w:lang w:eastAsia="zh-CN" w:bidi="ar-SA"/>
        </w:rPr>
      </w:pPr>
      <w:r>
        <w:rPr>
          <w:rFonts w:eastAsia="楷体"/>
          <w:color w:val="auto"/>
          <w:kern w:val="2"/>
          <w:lang w:eastAsia="zh-CN" w:bidi="ar-SA"/>
        </w:rPr>
        <w:t>（五）为全体债</w:t>
      </w:r>
      <w:r>
        <w:rPr>
          <w:rFonts w:eastAsia="楷体"/>
          <w:bCs/>
          <w:color w:val="auto"/>
          <w:kern w:val="2"/>
          <w:lang w:eastAsia="zh-CN" w:bidi="ar-SA"/>
        </w:rPr>
        <w:t>权人利益考虑，管理人将通过全国企业破产重整案件信息网发布各项公告和通知(主页右上角搜索栏输入“</w:t>
      </w:r>
      <w:r>
        <w:rPr>
          <w:rFonts w:hint="eastAsia" w:eastAsia="楷体"/>
          <w:bCs/>
          <w:color w:val="auto"/>
          <w:kern w:val="2"/>
          <w:lang w:val="en-US" w:eastAsia="zh-CN" w:bidi="ar-SA"/>
        </w:rPr>
        <w:t>英维思公司</w:t>
      </w:r>
      <w:r>
        <w:rPr>
          <w:rFonts w:eastAsia="楷体"/>
          <w:bCs/>
          <w:color w:val="auto"/>
          <w:kern w:val="2"/>
          <w:lang w:eastAsia="zh-CN" w:bidi="ar-SA"/>
        </w:rPr>
        <w:t>”等关键词检索与本案有关的信息和文书)；</w:t>
      </w:r>
    </w:p>
    <w:p w14:paraId="79C112D9">
      <w:pPr>
        <w:numPr>
          <w:ilvl w:val="255"/>
          <w:numId w:val="0"/>
        </w:numPr>
        <w:spacing w:line="440" w:lineRule="exact"/>
        <w:ind w:firstLine="480" w:firstLineChars="200"/>
        <w:jc w:val="both"/>
        <w:rPr>
          <w:rFonts w:eastAsia="楷体"/>
          <w:bCs/>
          <w:color w:val="auto"/>
          <w:kern w:val="2"/>
          <w:lang w:eastAsia="zh-CN" w:bidi="ar-SA"/>
        </w:rPr>
      </w:pPr>
      <w:r>
        <w:rPr>
          <w:rFonts w:eastAsia="楷体"/>
          <w:color w:val="auto"/>
          <w:kern w:val="2"/>
          <w:lang w:eastAsia="zh-CN" w:bidi="ar-SA"/>
        </w:rPr>
        <w:t>（六）</w:t>
      </w:r>
      <w:r>
        <w:rPr>
          <w:rFonts w:eastAsia="楷体"/>
          <w:b/>
          <w:color w:val="auto"/>
          <w:kern w:val="2"/>
          <w:lang w:eastAsia="zh-CN" w:bidi="ar-SA"/>
        </w:rPr>
        <w:t>债权申报行为不构成对无效债权（包括但不限于已过诉讼时效的债权等）的重新有效确认。债权申报登记也不构成确权，不构成对无效债权(包括但不限于已过诉讼时效的债权等)重新有效的确认；</w:t>
      </w:r>
    </w:p>
    <w:p w14:paraId="7EFCFDCC">
      <w:pPr>
        <w:spacing w:line="440" w:lineRule="exact"/>
        <w:ind w:firstLine="480" w:firstLineChars="200"/>
        <w:jc w:val="both"/>
        <w:rPr>
          <w:rFonts w:eastAsia="楷体"/>
          <w:bCs/>
          <w:color w:val="auto"/>
          <w:kern w:val="2"/>
          <w:lang w:eastAsia="zh-CN" w:bidi="ar-SA"/>
        </w:rPr>
      </w:pPr>
      <w:r>
        <w:rPr>
          <w:rFonts w:eastAsia="楷体"/>
          <w:color w:val="auto"/>
          <w:kern w:val="2"/>
          <w:lang w:eastAsia="zh-CN" w:bidi="ar-SA"/>
        </w:rPr>
        <w:t>（七）</w:t>
      </w:r>
      <w:r>
        <w:rPr>
          <w:rFonts w:eastAsia="楷体"/>
          <w:bCs/>
          <w:color w:val="auto"/>
          <w:kern w:val="2"/>
          <w:lang w:eastAsia="zh-CN" w:bidi="ar-SA"/>
        </w:rPr>
        <w:t>债权人逾期进行债权申报的，</w:t>
      </w:r>
      <w:r>
        <w:rPr>
          <w:rFonts w:hint="eastAsia" w:eastAsia="楷体"/>
          <w:bCs/>
          <w:color w:val="auto"/>
          <w:kern w:val="2"/>
          <w:lang w:eastAsia="zh-CN" w:bidi="ar-SA"/>
        </w:rPr>
        <w:t>可以在破产财产分配方案提交债权人会议讨论前补充申报，但对此前已进行的分配无权要求补充分配，同时要承担为审查和确认补充申报债权所产生的费用。未依法申报债权的，不得依照《中华人民共和国企业破产法》规定的程序行使权利。</w:t>
      </w:r>
    </w:p>
    <w:p w14:paraId="4AA17BC3">
      <w:pPr>
        <w:spacing w:line="440" w:lineRule="exact"/>
        <w:ind w:firstLine="480" w:firstLineChars="200"/>
        <w:jc w:val="both"/>
        <w:rPr>
          <w:rFonts w:eastAsia="楷体"/>
          <w:bCs/>
          <w:color w:val="auto"/>
          <w:kern w:val="2"/>
          <w:lang w:eastAsia="zh-CN" w:bidi="ar-SA"/>
        </w:rPr>
      </w:pPr>
      <w:r>
        <w:rPr>
          <w:rFonts w:eastAsia="楷体"/>
          <w:color w:val="auto"/>
          <w:kern w:val="2"/>
          <w:lang w:eastAsia="zh-CN" w:bidi="ar-SA"/>
        </w:rPr>
        <w:t>（八）</w:t>
      </w:r>
      <w:r>
        <w:rPr>
          <w:rFonts w:eastAsia="楷体"/>
          <w:bCs/>
          <w:color w:val="auto"/>
          <w:kern w:val="2"/>
          <w:lang w:eastAsia="zh-CN" w:bidi="ar-SA"/>
        </w:rPr>
        <w:t>因分公司无法人资格，不能独立承担责任，因此</w:t>
      </w:r>
      <w:r>
        <w:rPr>
          <w:rFonts w:eastAsia="楷体"/>
          <w:b/>
          <w:color w:val="auto"/>
          <w:kern w:val="2"/>
          <w:lang w:eastAsia="zh-CN" w:bidi="ar-SA"/>
        </w:rPr>
        <w:t>总公司与分公司应当以总公司名义合并申报债权，不得分开单独申报</w:t>
      </w:r>
      <w:r>
        <w:rPr>
          <w:rFonts w:eastAsia="楷体"/>
          <w:bCs/>
          <w:color w:val="auto"/>
          <w:kern w:val="2"/>
          <w:lang w:eastAsia="zh-CN" w:bidi="ar-SA"/>
        </w:rPr>
        <w:t>，否则管理人将不予接受申报；</w:t>
      </w:r>
    </w:p>
    <w:p w14:paraId="3015BD09">
      <w:pPr>
        <w:spacing w:line="440" w:lineRule="exact"/>
        <w:ind w:left="480"/>
        <w:jc w:val="both"/>
        <w:rPr>
          <w:rFonts w:eastAsia="楷体"/>
          <w:bCs/>
          <w:color w:val="auto"/>
          <w:kern w:val="2"/>
          <w:lang w:eastAsia="zh-CN" w:bidi="ar-SA"/>
        </w:rPr>
      </w:pPr>
      <w:r>
        <w:rPr>
          <w:rFonts w:eastAsia="楷体"/>
          <w:color w:val="auto"/>
          <w:kern w:val="2"/>
          <w:lang w:eastAsia="zh-CN" w:bidi="ar-SA"/>
        </w:rPr>
        <w:t>（九）</w:t>
      </w:r>
      <w:r>
        <w:rPr>
          <w:rFonts w:eastAsia="楷体"/>
          <w:bCs/>
          <w:color w:val="auto"/>
          <w:kern w:val="2"/>
          <w:lang w:eastAsia="zh-CN" w:bidi="ar-SA"/>
        </w:rPr>
        <w:t>债权人向管理人提供的外文资料，应当附有中文译文；</w:t>
      </w:r>
    </w:p>
    <w:p w14:paraId="4D01C9E7">
      <w:pPr>
        <w:spacing w:line="440" w:lineRule="exact"/>
        <w:ind w:firstLine="480" w:firstLineChars="200"/>
        <w:jc w:val="both"/>
        <w:rPr>
          <w:rFonts w:eastAsia="楷体"/>
          <w:bCs/>
          <w:color w:val="auto"/>
          <w:kern w:val="2"/>
          <w:lang w:eastAsia="zh-CN" w:bidi="ar-SA"/>
        </w:rPr>
      </w:pPr>
      <w:r>
        <w:rPr>
          <w:rFonts w:eastAsia="楷体"/>
          <w:bCs/>
          <w:color w:val="auto"/>
          <w:kern w:val="2"/>
          <w:lang w:eastAsia="zh-CN" w:bidi="ar-SA"/>
        </w:rPr>
        <w:t>（</w:t>
      </w:r>
      <w:r>
        <w:rPr>
          <w:rFonts w:eastAsia="楷体"/>
          <w:color w:val="auto"/>
          <w:kern w:val="2"/>
          <w:lang w:eastAsia="zh-CN" w:bidi="ar-SA"/>
        </w:rPr>
        <w:t>十）</w:t>
      </w:r>
      <w:r>
        <w:rPr>
          <w:rFonts w:eastAsia="楷体"/>
          <w:bCs/>
          <w:color w:val="auto"/>
          <w:kern w:val="2"/>
          <w:lang w:eastAsia="zh-CN" w:bidi="ar-SA"/>
        </w:rPr>
        <w:t>在中华人民共和国领域内没有住所的债权人委托中华人民共和国律师或者其他人代理诉讼，从中华人民共和国领域外递交或托交的授权委托书，应当经所在国公证机关证明，并经中华人民共和国驻该国使领馆认证，或者履行中华人民共和国与该所在国订立的有关条约中规定的证明手续后，才具有法律效力；</w:t>
      </w:r>
    </w:p>
    <w:p w14:paraId="58AB6F45">
      <w:pPr>
        <w:spacing w:line="440" w:lineRule="exact"/>
        <w:ind w:firstLine="480" w:firstLineChars="200"/>
        <w:jc w:val="both"/>
        <w:rPr>
          <w:rFonts w:eastAsia="楷体"/>
          <w:bCs/>
          <w:color w:val="auto"/>
          <w:kern w:val="2"/>
          <w:lang w:eastAsia="zh-CN" w:bidi="ar-SA"/>
        </w:rPr>
      </w:pPr>
      <w:r>
        <w:rPr>
          <w:rFonts w:eastAsia="楷体"/>
          <w:color w:val="auto"/>
          <w:kern w:val="2"/>
          <w:lang w:eastAsia="zh-CN" w:bidi="ar-SA"/>
        </w:rPr>
        <w:t>（十一）</w:t>
      </w:r>
      <w:r>
        <w:rPr>
          <w:rFonts w:eastAsia="楷体"/>
          <w:bCs/>
          <w:color w:val="auto"/>
          <w:kern w:val="2"/>
          <w:lang w:eastAsia="zh-CN" w:bidi="ar-SA"/>
        </w:rPr>
        <w:t>债权人向管理人提供的资料如在中华人民共和国领域外形成的，该资料应当经所在国公证机关予以证明，并经中华人民共和国驻该国使领馆予以认证，或者履行中华人民共和国与该所在国订立的有关条约中规定的证明手续。债权人向人民法院提供的证据是在香港、澳门、台湾地区形成的，应当履行相关的证明手续。</w:t>
      </w:r>
    </w:p>
    <w:p w14:paraId="43D8876D">
      <w:pPr>
        <w:numPr>
          <w:ilvl w:val="255"/>
          <w:numId w:val="0"/>
        </w:numPr>
        <w:spacing w:line="440" w:lineRule="exact"/>
        <w:jc w:val="both"/>
        <w:rPr>
          <w:rFonts w:eastAsia="楷体"/>
          <w:bCs/>
          <w:color w:val="auto"/>
          <w:kern w:val="2"/>
          <w:lang w:eastAsia="zh-CN" w:bidi="ar-SA"/>
        </w:rPr>
      </w:pPr>
    </w:p>
    <w:bookmarkEnd w:id="4"/>
    <w:p w14:paraId="713BBF3F">
      <w:pPr>
        <w:spacing w:line="440" w:lineRule="exact"/>
        <w:ind w:firstLine="480" w:firstLineChars="200"/>
        <w:jc w:val="right"/>
        <w:rPr>
          <w:rFonts w:eastAsia="楷体"/>
          <w:bCs/>
          <w:color w:val="auto"/>
          <w:kern w:val="2"/>
          <w:lang w:eastAsia="zh-CN" w:bidi="ar-SA"/>
        </w:rPr>
      </w:pPr>
    </w:p>
    <w:p w14:paraId="565A29D6">
      <w:pPr>
        <w:spacing w:line="440" w:lineRule="exact"/>
        <w:ind w:firstLine="480" w:firstLineChars="200"/>
        <w:jc w:val="right"/>
        <w:rPr>
          <w:rFonts w:eastAsia="楷体"/>
          <w:bCs/>
          <w:color w:val="auto"/>
          <w:kern w:val="2"/>
          <w:lang w:eastAsia="zh-CN" w:bidi="ar-SA"/>
        </w:rPr>
      </w:pPr>
    </w:p>
    <w:p w14:paraId="4825083F">
      <w:pPr>
        <w:spacing w:line="440" w:lineRule="exact"/>
        <w:ind w:firstLine="480" w:firstLineChars="200"/>
        <w:jc w:val="right"/>
        <w:rPr>
          <w:rFonts w:eastAsia="楷体"/>
          <w:bCs/>
          <w:color w:val="auto"/>
          <w:kern w:val="2"/>
          <w:lang w:eastAsia="zh-CN" w:bidi="ar-SA"/>
        </w:rPr>
      </w:pPr>
    </w:p>
    <w:p w14:paraId="64D046DF">
      <w:pPr>
        <w:spacing w:line="440" w:lineRule="exact"/>
        <w:ind w:firstLine="480" w:firstLineChars="200"/>
        <w:jc w:val="right"/>
        <w:rPr>
          <w:rFonts w:eastAsia="楷体"/>
          <w:color w:val="auto"/>
          <w:kern w:val="2"/>
          <w:lang w:eastAsia="zh-CN" w:bidi="ar-SA"/>
        </w:rPr>
      </w:pPr>
      <w:bookmarkStart w:id="5" w:name="_GoBack"/>
      <w:bookmarkEnd w:id="5"/>
      <w:r>
        <w:rPr>
          <w:rFonts w:hint="eastAsia" w:eastAsia="楷体"/>
          <w:bCs/>
          <w:color w:val="auto"/>
          <w:kern w:val="2"/>
          <w:lang w:eastAsia="zh-CN" w:bidi="ar-SA"/>
        </w:rPr>
        <w:t>英维思（北京）国际信息咨询有限公司</w:t>
      </w:r>
      <w:r>
        <w:rPr>
          <w:rFonts w:eastAsia="楷体"/>
          <w:bCs/>
          <w:color w:val="auto"/>
          <w:kern w:val="2"/>
          <w:lang w:eastAsia="zh-CN" w:bidi="ar-SA"/>
        </w:rPr>
        <w:t xml:space="preserve">管理人    </w:t>
      </w:r>
      <w:r>
        <w:rPr>
          <w:rFonts w:eastAsia="楷体"/>
          <w:color w:val="auto"/>
          <w:kern w:val="2"/>
          <w:lang w:eastAsia="zh-CN" w:bidi="ar-SA"/>
        </w:rPr>
        <w:t xml:space="preserve">                           </w:t>
      </w:r>
    </w:p>
    <w:p w14:paraId="253BD6E5">
      <w:pPr>
        <w:pStyle w:val="15"/>
        <w:spacing w:line="440" w:lineRule="exact"/>
        <w:ind w:firstLine="0"/>
        <w:jc w:val="both"/>
        <w:rPr>
          <w:rFonts w:ascii="Times New Roman" w:hAnsi="Times New Roman" w:eastAsia="PMingLiU" w:cs="Times New Roman"/>
          <w:color w:val="auto"/>
          <w:sz w:val="24"/>
          <w:szCs w:val="24"/>
        </w:rPr>
      </w:pPr>
    </w:p>
    <w:p w14:paraId="2CFEF17D">
      <w:pPr>
        <w:pStyle w:val="15"/>
        <w:spacing w:line="440" w:lineRule="exact"/>
        <w:ind w:firstLine="0"/>
        <w:jc w:val="both"/>
        <w:rPr>
          <w:rFonts w:ascii="Times New Roman" w:hAnsi="Times New Roman" w:eastAsia="PMingLiU" w:cs="Times New Roman"/>
          <w:color w:val="auto"/>
          <w:sz w:val="24"/>
          <w:szCs w:val="24"/>
        </w:rPr>
      </w:pPr>
    </w:p>
    <w:p w14:paraId="03AFC8AA">
      <w:pPr>
        <w:pStyle w:val="15"/>
        <w:spacing w:line="440" w:lineRule="exact"/>
        <w:ind w:firstLine="0"/>
        <w:jc w:val="both"/>
        <w:rPr>
          <w:rFonts w:ascii="Times New Roman" w:hAnsi="Times New Roman" w:eastAsia="PMingLiU" w:cs="Times New Roman"/>
          <w:color w:val="auto"/>
          <w:sz w:val="24"/>
          <w:szCs w:val="24"/>
        </w:rPr>
      </w:pPr>
    </w:p>
    <w:p w14:paraId="377BB12A">
      <w:pPr>
        <w:pStyle w:val="15"/>
        <w:spacing w:line="440" w:lineRule="exact"/>
        <w:ind w:firstLine="0"/>
        <w:jc w:val="both"/>
        <w:rPr>
          <w:rFonts w:ascii="Times New Roman" w:hAnsi="Times New Roman" w:eastAsia="PMingLiU" w:cs="Times New Roman"/>
          <w:color w:val="auto"/>
          <w:sz w:val="24"/>
          <w:szCs w:val="24"/>
        </w:rPr>
      </w:pPr>
    </w:p>
    <w:sectPr>
      <w:footerReference r:id="rId5" w:type="default"/>
      <w:type w:val="continuous"/>
      <w:pgSz w:w="11900" w:h="16840"/>
      <w:pgMar w:top="1526" w:right="1780" w:bottom="1516" w:left="1768" w:header="0" w:footer="907"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5009887"/>
      <w:docPartObj>
        <w:docPartGallery w:val="autotext"/>
      </w:docPartObj>
    </w:sdtPr>
    <w:sdtContent>
      <w:p w14:paraId="001B3D9E">
        <w:pPr>
          <w:pStyle w:val="5"/>
          <w:jc w:val="center"/>
        </w:pPr>
        <w:r>
          <w:fldChar w:fldCharType="begin"/>
        </w:r>
        <w:r>
          <w:instrText xml:space="preserve">PAGE   \* MERGEFORMAT</w:instrText>
        </w:r>
        <w:r>
          <w:fldChar w:fldCharType="separate"/>
        </w:r>
        <w:r>
          <w:rPr>
            <w:lang w:val="zh-CN" w:eastAsia="zh-CN"/>
          </w:rPr>
          <w:t>2</w:t>
        </w:r>
        <w:r>
          <w:fldChar w:fldCharType="end"/>
        </w:r>
      </w:p>
    </w:sdtContent>
  </w:sdt>
  <w:p w14:paraId="34AA17E8">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09A116"/>
    <w:multiLevelType w:val="singleLevel"/>
    <w:tmpl w:val="FD09A116"/>
    <w:lvl w:ilvl="0" w:tentative="0">
      <w:start w:val="1"/>
      <w:numFmt w:val="decimal"/>
      <w:suff w:val="space"/>
      <w:lvlText w:val="%1."/>
      <w:lvlJc w:val="left"/>
      <w:rPr>
        <w:b w:val="0"/>
        <w:bCs/>
      </w:rPr>
    </w:lvl>
  </w:abstractNum>
  <w:abstractNum w:abstractNumId="1">
    <w:nsid w:val="01CB0A78"/>
    <w:multiLevelType w:val="multilevel"/>
    <w:tmpl w:val="01CB0A78"/>
    <w:lvl w:ilvl="0" w:tentative="0">
      <w:start w:val="1"/>
      <w:numFmt w:val="chineseCountingThousand"/>
      <w:suff w:val="space"/>
      <w:lvlText w:val="%1、"/>
      <w:lvlJc w:val="left"/>
      <w:pPr>
        <w:ind w:left="9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795C15A"/>
    <w:multiLevelType w:val="singleLevel"/>
    <w:tmpl w:val="2795C15A"/>
    <w:lvl w:ilvl="0" w:tentative="0">
      <w:start w:val="1"/>
      <w:numFmt w:val="decimal"/>
      <w:suff w:val="space"/>
      <w:lvlText w:val="%1."/>
      <w:lvlJc w:val="left"/>
      <w:rPr>
        <w:b w:val="0"/>
        <w:bCs/>
      </w:rPr>
    </w:lvl>
  </w:abstractNum>
  <w:abstractNum w:abstractNumId="3">
    <w:nsid w:val="32A40A7B"/>
    <w:multiLevelType w:val="multilevel"/>
    <w:tmpl w:val="32A40A7B"/>
    <w:lvl w:ilvl="0" w:tentative="0">
      <w:start w:val="1"/>
      <w:numFmt w:val="decimal"/>
      <w:lvlText w:val="%1."/>
      <w:lvlJc w:val="left"/>
      <w:pPr>
        <w:ind w:left="1500" w:hanging="780"/>
      </w:pPr>
      <w:rPr>
        <w:rFonts w:hint="default"/>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4430259F"/>
    <w:multiLevelType w:val="multilevel"/>
    <w:tmpl w:val="4430259F"/>
    <w:lvl w:ilvl="0" w:tentative="0">
      <w:start w:val="1"/>
      <w:numFmt w:val="decimal"/>
      <w:lvlText w:val="%1."/>
      <w:lvlJc w:val="left"/>
      <w:pPr>
        <w:ind w:left="90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4070C97"/>
    <w:multiLevelType w:val="multilevel"/>
    <w:tmpl w:val="74070C97"/>
    <w:lvl w:ilvl="0" w:tentative="0">
      <w:start w:val="1"/>
      <w:numFmt w:val="decimalEnclosedCircle"/>
      <w:lvlText w:val="%1"/>
      <w:lvlJc w:val="left"/>
      <w:pPr>
        <w:ind w:left="900" w:hanging="420"/>
      </w:pPr>
      <w:rPr>
        <w:rFonts w:hint="default" w:ascii="Times New Roman" w:hAnsi="Times New Roman" w:cs="Times New Roman"/>
        <w:b w:val="0"/>
        <w:bCs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4"/>
  </w:num>
  <w:num w:numId="2">
    <w:abstractNumId w:val="1"/>
  </w:num>
  <w:num w:numId="3">
    <w:abstractNumId w:val="0"/>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81"/>
  <w:drawingGridVerticalSpacing w:val="18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821"/>
    <w:rsid w:val="00002E1A"/>
    <w:rsid w:val="0000398D"/>
    <w:rsid w:val="00006916"/>
    <w:rsid w:val="00011D8C"/>
    <w:rsid w:val="00023AFD"/>
    <w:rsid w:val="00031C86"/>
    <w:rsid w:val="00034A4D"/>
    <w:rsid w:val="000406DD"/>
    <w:rsid w:val="000421E4"/>
    <w:rsid w:val="00054EBE"/>
    <w:rsid w:val="00066CA1"/>
    <w:rsid w:val="00070838"/>
    <w:rsid w:val="000A090C"/>
    <w:rsid w:val="000A71BC"/>
    <w:rsid w:val="000B3EBD"/>
    <w:rsid w:val="000C1583"/>
    <w:rsid w:val="000C3DE8"/>
    <w:rsid w:val="000C4BA2"/>
    <w:rsid w:val="000C5765"/>
    <w:rsid w:val="000E0D60"/>
    <w:rsid w:val="000F34F7"/>
    <w:rsid w:val="000F469F"/>
    <w:rsid w:val="000F73FE"/>
    <w:rsid w:val="001063E0"/>
    <w:rsid w:val="00121C32"/>
    <w:rsid w:val="00134B83"/>
    <w:rsid w:val="00153A39"/>
    <w:rsid w:val="001552E6"/>
    <w:rsid w:val="001618B1"/>
    <w:rsid w:val="00170D9E"/>
    <w:rsid w:val="001725B5"/>
    <w:rsid w:val="00175DFB"/>
    <w:rsid w:val="00186E31"/>
    <w:rsid w:val="001A09C6"/>
    <w:rsid w:val="001A7C73"/>
    <w:rsid w:val="001B638D"/>
    <w:rsid w:val="001D7F73"/>
    <w:rsid w:val="001E5DCC"/>
    <w:rsid w:val="0020576E"/>
    <w:rsid w:val="002174DA"/>
    <w:rsid w:val="002230AE"/>
    <w:rsid w:val="002316C3"/>
    <w:rsid w:val="002359AE"/>
    <w:rsid w:val="002521E4"/>
    <w:rsid w:val="00256878"/>
    <w:rsid w:val="0026585C"/>
    <w:rsid w:val="00272ECE"/>
    <w:rsid w:val="002769B4"/>
    <w:rsid w:val="0029067C"/>
    <w:rsid w:val="00292251"/>
    <w:rsid w:val="002922F0"/>
    <w:rsid w:val="002A089C"/>
    <w:rsid w:val="002A79D9"/>
    <w:rsid w:val="002A7AC0"/>
    <w:rsid w:val="002A7CB8"/>
    <w:rsid w:val="002B42F6"/>
    <w:rsid w:val="002C7E7C"/>
    <w:rsid w:val="002D0C5A"/>
    <w:rsid w:val="002D2221"/>
    <w:rsid w:val="002D61AA"/>
    <w:rsid w:val="002E1A4C"/>
    <w:rsid w:val="002F008C"/>
    <w:rsid w:val="002F05D0"/>
    <w:rsid w:val="002F738B"/>
    <w:rsid w:val="002F7C14"/>
    <w:rsid w:val="00310BE3"/>
    <w:rsid w:val="00316C54"/>
    <w:rsid w:val="00327655"/>
    <w:rsid w:val="00333761"/>
    <w:rsid w:val="003675BE"/>
    <w:rsid w:val="003719F0"/>
    <w:rsid w:val="00373D57"/>
    <w:rsid w:val="00374958"/>
    <w:rsid w:val="00377735"/>
    <w:rsid w:val="00377C0D"/>
    <w:rsid w:val="00382AA4"/>
    <w:rsid w:val="0039273B"/>
    <w:rsid w:val="00392D2D"/>
    <w:rsid w:val="003A5C99"/>
    <w:rsid w:val="003B394F"/>
    <w:rsid w:val="003B5E47"/>
    <w:rsid w:val="003B6C60"/>
    <w:rsid w:val="003C4603"/>
    <w:rsid w:val="003D039E"/>
    <w:rsid w:val="003D4CE0"/>
    <w:rsid w:val="003E212E"/>
    <w:rsid w:val="003E2821"/>
    <w:rsid w:val="003E331D"/>
    <w:rsid w:val="003F3E4D"/>
    <w:rsid w:val="003F4960"/>
    <w:rsid w:val="004001E9"/>
    <w:rsid w:val="00401D9A"/>
    <w:rsid w:val="00414E2F"/>
    <w:rsid w:val="0041662F"/>
    <w:rsid w:val="004240C8"/>
    <w:rsid w:val="004244CF"/>
    <w:rsid w:val="00431D88"/>
    <w:rsid w:val="00442F18"/>
    <w:rsid w:val="00444F43"/>
    <w:rsid w:val="0046030E"/>
    <w:rsid w:val="004667D4"/>
    <w:rsid w:val="004735B9"/>
    <w:rsid w:val="00483F0C"/>
    <w:rsid w:val="00485EB5"/>
    <w:rsid w:val="00487DB7"/>
    <w:rsid w:val="004A1858"/>
    <w:rsid w:val="004A1AA3"/>
    <w:rsid w:val="004A274E"/>
    <w:rsid w:val="004A29E1"/>
    <w:rsid w:val="004A6DE6"/>
    <w:rsid w:val="004C31D5"/>
    <w:rsid w:val="004C3278"/>
    <w:rsid w:val="004E19F3"/>
    <w:rsid w:val="004E208B"/>
    <w:rsid w:val="004E7037"/>
    <w:rsid w:val="004E7A67"/>
    <w:rsid w:val="004F4E93"/>
    <w:rsid w:val="0050228E"/>
    <w:rsid w:val="005110BB"/>
    <w:rsid w:val="00512705"/>
    <w:rsid w:val="0052444D"/>
    <w:rsid w:val="005252C5"/>
    <w:rsid w:val="00531CF3"/>
    <w:rsid w:val="0053404D"/>
    <w:rsid w:val="00542ED1"/>
    <w:rsid w:val="00545955"/>
    <w:rsid w:val="00550293"/>
    <w:rsid w:val="00563D39"/>
    <w:rsid w:val="00576C9F"/>
    <w:rsid w:val="005841D4"/>
    <w:rsid w:val="005A75B3"/>
    <w:rsid w:val="005B0596"/>
    <w:rsid w:val="005B0FE8"/>
    <w:rsid w:val="005B3307"/>
    <w:rsid w:val="005B3560"/>
    <w:rsid w:val="005B6E82"/>
    <w:rsid w:val="005C5D26"/>
    <w:rsid w:val="005D1B13"/>
    <w:rsid w:val="005D29EB"/>
    <w:rsid w:val="005D5498"/>
    <w:rsid w:val="005F32E8"/>
    <w:rsid w:val="00625B83"/>
    <w:rsid w:val="00640E43"/>
    <w:rsid w:val="00641623"/>
    <w:rsid w:val="006477AD"/>
    <w:rsid w:val="00651AB8"/>
    <w:rsid w:val="00656133"/>
    <w:rsid w:val="006713B7"/>
    <w:rsid w:val="0067184E"/>
    <w:rsid w:val="00673B8C"/>
    <w:rsid w:val="006839BD"/>
    <w:rsid w:val="0068508F"/>
    <w:rsid w:val="00694EEE"/>
    <w:rsid w:val="006B7169"/>
    <w:rsid w:val="006C482C"/>
    <w:rsid w:val="006C5FDD"/>
    <w:rsid w:val="006D03EA"/>
    <w:rsid w:val="006D2778"/>
    <w:rsid w:val="006D3720"/>
    <w:rsid w:val="006D6A03"/>
    <w:rsid w:val="006E0E3C"/>
    <w:rsid w:val="006E303B"/>
    <w:rsid w:val="006E49B5"/>
    <w:rsid w:val="00702DB1"/>
    <w:rsid w:val="00704AF4"/>
    <w:rsid w:val="007237D0"/>
    <w:rsid w:val="00731A2B"/>
    <w:rsid w:val="00756569"/>
    <w:rsid w:val="00761D6F"/>
    <w:rsid w:val="00765D90"/>
    <w:rsid w:val="007711B0"/>
    <w:rsid w:val="00772A0E"/>
    <w:rsid w:val="007736BE"/>
    <w:rsid w:val="00777931"/>
    <w:rsid w:val="007828E0"/>
    <w:rsid w:val="00782EC8"/>
    <w:rsid w:val="007856A3"/>
    <w:rsid w:val="007929AC"/>
    <w:rsid w:val="007961B0"/>
    <w:rsid w:val="007B7F89"/>
    <w:rsid w:val="007C1988"/>
    <w:rsid w:val="007C65F1"/>
    <w:rsid w:val="007E01CA"/>
    <w:rsid w:val="007E0DAA"/>
    <w:rsid w:val="007E3F31"/>
    <w:rsid w:val="007E7493"/>
    <w:rsid w:val="00800214"/>
    <w:rsid w:val="008101D8"/>
    <w:rsid w:val="00810A37"/>
    <w:rsid w:val="008110C9"/>
    <w:rsid w:val="008118E2"/>
    <w:rsid w:val="00812D28"/>
    <w:rsid w:val="008215FB"/>
    <w:rsid w:val="00822FE0"/>
    <w:rsid w:val="00823754"/>
    <w:rsid w:val="0083008B"/>
    <w:rsid w:val="00831C19"/>
    <w:rsid w:val="00844DDD"/>
    <w:rsid w:val="00844EFE"/>
    <w:rsid w:val="00845E72"/>
    <w:rsid w:val="00857400"/>
    <w:rsid w:val="00867202"/>
    <w:rsid w:val="00867D1D"/>
    <w:rsid w:val="0087040C"/>
    <w:rsid w:val="00872AD3"/>
    <w:rsid w:val="0087711C"/>
    <w:rsid w:val="00877D6E"/>
    <w:rsid w:val="0088459D"/>
    <w:rsid w:val="00892A6D"/>
    <w:rsid w:val="00895D8F"/>
    <w:rsid w:val="0089715A"/>
    <w:rsid w:val="008A6614"/>
    <w:rsid w:val="008A6F24"/>
    <w:rsid w:val="008B1FBE"/>
    <w:rsid w:val="008B4284"/>
    <w:rsid w:val="008B5847"/>
    <w:rsid w:val="008C0F33"/>
    <w:rsid w:val="008C0FD6"/>
    <w:rsid w:val="008C281A"/>
    <w:rsid w:val="0090554E"/>
    <w:rsid w:val="009132C7"/>
    <w:rsid w:val="009169BA"/>
    <w:rsid w:val="00917DEB"/>
    <w:rsid w:val="00924FDA"/>
    <w:rsid w:val="009327AC"/>
    <w:rsid w:val="00951121"/>
    <w:rsid w:val="009606C2"/>
    <w:rsid w:val="009715BE"/>
    <w:rsid w:val="00971E08"/>
    <w:rsid w:val="00971E57"/>
    <w:rsid w:val="00976547"/>
    <w:rsid w:val="0099389D"/>
    <w:rsid w:val="00993C32"/>
    <w:rsid w:val="009C2628"/>
    <w:rsid w:val="009D08CD"/>
    <w:rsid w:val="009D2652"/>
    <w:rsid w:val="009E7ADA"/>
    <w:rsid w:val="009F12AC"/>
    <w:rsid w:val="00A0073F"/>
    <w:rsid w:val="00A02FE3"/>
    <w:rsid w:val="00A03A29"/>
    <w:rsid w:val="00A04318"/>
    <w:rsid w:val="00A1086C"/>
    <w:rsid w:val="00A1270D"/>
    <w:rsid w:val="00A145DC"/>
    <w:rsid w:val="00A15461"/>
    <w:rsid w:val="00A16235"/>
    <w:rsid w:val="00A1731B"/>
    <w:rsid w:val="00A27251"/>
    <w:rsid w:val="00A30D79"/>
    <w:rsid w:val="00A355E0"/>
    <w:rsid w:val="00A501D7"/>
    <w:rsid w:val="00A50F7F"/>
    <w:rsid w:val="00A54613"/>
    <w:rsid w:val="00A54DED"/>
    <w:rsid w:val="00A56CDF"/>
    <w:rsid w:val="00A57C79"/>
    <w:rsid w:val="00A60A52"/>
    <w:rsid w:val="00A74A6C"/>
    <w:rsid w:val="00A74DE7"/>
    <w:rsid w:val="00A753F9"/>
    <w:rsid w:val="00A764F6"/>
    <w:rsid w:val="00A93AA6"/>
    <w:rsid w:val="00A97849"/>
    <w:rsid w:val="00AA55BD"/>
    <w:rsid w:val="00AC46F5"/>
    <w:rsid w:val="00AD28FD"/>
    <w:rsid w:val="00AF1462"/>
    <w:rsid w:val="00AF4357"/>
    <w:rsid w:val="00B04B5D"/>
    <w:rsid w:val="00B101E3"/>
    <w:rsid w:val="00B127BF"/>
    <w:rsid w:val="00B13EB0"/>
    <w:rsid w:val="00B20819"/>
    <w:rsid w:val="00B213A6"/>
    <w:rsid w:val="00B271E3"/>
    <w:rsid w:val="00B412C6"/>
    <w:rsid w:val="00B42B89"/>
    <w:rsid w:val="00B66F23"/>
    <w:rsid w:val="00B738DB"/>
    <w:rsid w:val="00B8618F"/>
    <w:rsid w:val="00B870E4"/>
    <w:rsid w:val="00B90872"/>
    <w:rsid w:val="00BA4022"/>
    <w:rsid w:val="00BA4653"/>
    <w:rsid w:val="00BA603F"/>
    <w:rsid w:val="00BC2AA6"/>
    <w:rsid w:val="00BC76BA"/>
    <w:rsid w:val="00BD0F31"/>
    <w:rsid w:val="00BE3C7E"/>
    <w:rsid w:val="00BE591C"/>
    <w:rsid w:val="00BE689C"/>
    <w:rsid w:val="00BE741D"/>
    <w:rsid w:val="00BE7476"/>
    <w:rsid w:val="00BF7441"/>
    <w:rsid w:val="00C0234A"/>
    <w:rsid w:val="00C10735"/>
    <w:rsid w:val="00C1164A"/>
    <w:rsid w:val="00C156DC"/>
    <w:rsid w:val="00C15902"/>
    <w:rsid w:val="00C174B5"/>
    <w:rsid w:val="00C21C85"/>
    <w:rsid w:val="00C22F2F"/>
    <w:rsid w:val="00C267B8"/>
    <w:rsid w:val="00C26C50"/>
    <w:rsid w:val="00C2702F"/>
    <w:rsid w:val="00C506D1"/>
    <w:rsid w:val="00C526F4"/>
    <w:rsid w:val="00C807EB"/>
    <w:rsid w:val="00C84B0B"/>
    <w:rsid w:val="00CA4CEA"/>
    <w:rsid w:val="00CB4467"/>
    <w:rsid w:val="00CB64A7"/>
    <w:rsid w:val="00CC466F"/>
    <w:rsid w:val="00CC6593"/>
    <w:rsid w:val="00CE1BD9"/>
    <w:rsid w:val="00CE439C"/>
    <w:rsid w:val="00CF482B"/>
    <w:rsid w:val="00CF7105"/>
    <w:rsid w:val="00CF7742"/>
    <w:rsid w:val="00D0024F"/>
    <w:rsid w:val="00D01278"/>
    <w:rsid w:val="00D06DD2"/>
    <w:rsid w:val="00D11DE9"/>
    <w:rsid w:val="00D14342"/>
    <w:rsid w:val="00D21A6E"/>
    <w:rsid w:val="00D2331C"/>
    <w:rsid w:val="00D2588C"/>
    <w:rsid w:val="00D27F51"/>
    <w:rsid w:val="00D32C8D"/>
    <w:rsid w:val="00D37743"/>
    <w:rsid w:val="00D46455"/>
    <w:rsid w:val="00D50F0A"/>
    <w:rsid w:val="00D57981"/>
    <w:rsid w:val="00D644EE"/>
    <w:rsid w:val="00D663FF"/>
    <w:rsid w:val="00D71410"/>
    <w:rsid w:val="00D7279D"/>
    <w:rsid w:val="00D757AC"/>
    <w:rsid w:val="00D90B9B"/>
    <w:rsid w:val="00D95B79"/>
    <w:rsid w:val="00D97D68"/>
    <w:rsid w:val="00DA3B62"/>
    <w:rsid w:val="00DB2C2D"/>
    <w:rsid w:val="00DB4F2A"/>
    <w:rsid w:val="00DB7D1A"/>
    <w:rsid w:val="00DC27A3"/>
    <w:rsid w:val="00DC2E1B"/>
    <w:rsid w:val="00DC6D95"/>
    <w:rsid w:val="00DE3355"/>
    <w:rsid w:val="00DE5219"/>
    <w:rsid w:val="00DE6677"/>
    <w:rsid w:val="00DF07E0"/>
    <w:rsid w:val="00E05541"/>
    <w:rsid w:val="00E07553"/>
    <w:rsid w:val="00E12A14"/>
    <w:rsid w:val="00E16543"/>
    <w:rsid w:val="00E2055A"/>
    <w:rsid w:val="00E21ECB"/>
    <w:rsid w:val="00E250E6"/>
    <w:rsid w:val="00E271ED"/>
    <w:rsid w:val="00E4602E"/>
    <w:rsid w:val="00E6357C"/>
    <w:rsid w:val="00E707AD"/>
    <w:rsid w:val="00E73662"/>
    <w:rsid w:val="00E90A2B"/>
    <w:rsid w:val="00E913F6"/>
    <w:rsid w:val="00E97579"/>
    <w:rsid w:val="00EA47A3"/>
    <w:rsid w:val="00EA4923"/>
    <w:rsid w:val="00EC25CD"/>
    <w:rsid w:val="00EE1A21"/>
    <w:rsid w:val="00EE61AA"/>
    <w:rsid w:val="00EF32D8"/>
    <w:rsid w:val="00F12DAC"/>
    <w:rsid w:val="00F12DD1"/>
    <w:rsid w:val="00F204DE"/>
    <w:rsid w:val="00F3149F"/>
    <w:rsid w:val="00F37A25"/>
    <w:rsid w:val="00F45D65"/>
    <w:rsid w:val="00F52C1A"/>
    <w:rsid w:val="00F53C8D"/>
    <w:rsid w:val="00F6490D"/>
    <w:rsid w:val="00F65FB1"/>
    <w:rsid w:val="00F94D31"/>
    <w:rsid w:val="00F94E8B"/>
    <w:rsid w:val="00FB0D72"/>
    <w:rsid w:val="00FC1893"/>
    <w:rsid w:val="00FC6E1D"/>
    <w:rsid w:val="00FD560B"/>
    <w:rsid w:val="00FE35A7"/>
    <w:rsid w:val="00FF2AF3"/>
    <w:rsid w:val="00FF4472"/>
    <w:rsid w:val="00FF6EFB"/>
    <w:rsid w:val="047A026A"/>
    <w:rsid w:val="060666E5"/>
    <w:rsid w:val="077404A9"/>
    <w:rsid w:val="090354B6"/>
    <w:rsid w:val="092D4D1C"/>
    <w:rsid w:val="0B0002D8"/>
    <w:rsid w:val="0B02405A"/>
    <w:rsid w:val="0D94152F"/>
    <w:rsid w:val="0E1C2C9A"/>
    <w:rsid w:val="0F0C547C"/>
    <w:rsid w:val="11ED21D9"/>
    <w:rsid w:val="146D5298"/>
    <w:rsid w:val="14C060EB"/>
    <w:rsid w:val="172D1489"/>
    <w:rsid w:val="1A575455"/>
    <w:rsid w:val="1A991B7E"/>
    <w:rsid w:val="1C182343"/>
    <w:rsid w:val="1D57728C"/>
    <w:rsid w:val="1EF54031"/>
    <w:rsid w:val="21E26AB3"/>
    <w:rsid w:val="23B27C93"/>
    <w:rsid w:val="24076FF8"/>
    <w:rsid w:val="24930FFA"/>
    <w:rsid w:val="25404A23"/>
    <w:rsid w:val="286333AB"/>
    <w:rsid w:val="2BA07A9C"/>
    <w:rsid w:val="2BA74A75"/>
    <w:rsid w:val="2C5E332F"/>
    <w:rsid w:val="2E3C11C0"/>
    <w:rsid w:val="313C081A"/>
    <w:rsid w:val="31AC0DBD"/>
    <w:rsid w:val="3355516C"/>
    <w:rsid w:val="3DE425E2"/>
    <w:rsid w:val="3DEF09F2"/>
    <w:rsid w:val="3EB409CC"/>
    <w:rsid w:val="3ECF48EA"/>
    <w:rsid w:val="41B74506"/>
    <w:rsid w:val="43B96E0E"/>
    <w:rsid w:val="44975D59"/>
    <w:rsid w:val="44A713AD"/>
    <w:rsid w:val="45241DDC"/>
    <w:rsid w:val="4796686B"/>
    <w:rsid w:val="4E1F73E5"/>
    <w:rsid w:val="4F4B016C"/>
    <w:rsid w:val="501A537B"/>
    <w:rsid w:val="51475380"/>
    <w:rsid w:val="514941C4"/>
    <w:rsid w:val="55165291"/>
    <w:rsid w:val="56266200"/>
    <w:rsid w:val="56932E05"/>
    <w:rsid w:val="574013C4"/>
    <w:rsid w:val="57CF7C93"/>
    <w:rsid w:val="580F7B20"/>
    <w:rsid w:val="5C74381A"/>
    <w:rsid w:val="5F4F0A37"/>
    <w:rsid w:val="611F764F"/>
    <w:rsid w:val="61851713"/>
    <w:rsid w:val="649452A9"/>
    <w:rsid w:val="679C3315"/>
    <w:rsid w:val="69FC3631"/>
    <w:rsid w:val="6A5A449D"/>
    <w:rsid w:val="6A774C1F"/>
    <w:rsid w:val="6BC57DB1"/>
    <w:rsid w:val="6C567A08"/>
    <w:rsid w:val="6E0B2663"/>
    <w:rsid w:val="6EF42854"/>
    <w:rsid w:val="704905E5"/>
    <w:rsid w:val="71131E14"/>
    <w:rsid w:val="75EB6B54"/>
    <w:rsid w:val="76266E1F"/>
    <w:rsid w:val="765E5210"/>
    <w:rsid w:val="78955047"/>
    <w:rsid w:val="7A2F13B3"/>
    <w:rsid w:val="7A46149F"/>
    <w:rsid w:val="7ABD0BB0"/>
    <w:rsid w:val="7BB93171"/>
    <w:rsid w:val="7C38496C"/>
    <w:rsid w:val="7D70140F"/>
    <w:rsid w:val="7E4704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0"/>
    <w:qFormat/>
    <w:uiPriority w:val="0"/>
  </w:style>
  <w:style w:type="paragraph" w:styleId="3">
    <w:name w:val="Body Text"/>
    <w:basedOn w:val="1"/>
    <w:link w:val="25"/>
    <w:qFormat/>
    <w:uiPriority w:val="0"/>
    <w:pPr>
      <w:spacing w:after="120"/>
    </w:pPr>
  </w:style>
  <w:style w:type="paragraph" w:styleId="4">
    <w:name w:val="Balloon Text"/>
    <w:basedOn w:val="1"/>
    <w:link w:val="32"/>
    <w:qFormat/>
    <w:uiPriority w:val="0"/>
    <w:rPr>
      <w:sz w:val="18"/>
      <w:szCs w:val="18"/>
    </w:rPr>
  </w:style>
  <w:style w:type="paragraph" w:styleId="5">
    <w:name w:val="footer"/>
    <w:basedOn w:val="1"/>
    <w:link w:val="23"/>
    <w:qFormat/>
    <w:uiPriority w:val="99"/>
    <w:pPr>
      <w:tabs>
        <w:tab w:val="center" w:pos="4153"/>
        <w:tab w:val="right" w:pos="8306"/>
      </w:tabs>
      <w:snapToGrid w:val="0"/>
    </w:pPr>
    <w:rPr>
      <w:sz w:val="18"/>
      <w:szCs w:val="18"/>
    </w:rPr>
  </w:style>
  <w:style w:type="paragraph" w:styleId="6">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21"/>
    <w:qFormat/>
    <w:uiPriority w:val="0"/>
    <w:rPr>
      <w:b/>
      <w:bCs/>
    </w:rPr>
  </w:style>
  <w:style w:type="table" w:styleId="9">
    <w:name w:val="Table Grid"/>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basedOn w:val="10"/>
    <w:qFormat/>
    <w:uiPriority w:val="0"/>
    <w:rPr>
      <w:color w:val="800080" w:themeColor="followedHyperlink"/>
      <w:u w:val="single"/>
      <w14:textFill>
        <w14:solidFill>
          <w14:schemeClr w14:val="folHlink"/>
        </w14:solidFill>
      </w14:textFill>
    </w:rPr>
  </w:style>
  <w:style w:type="character" w:styleId="12">
    <w:name w:val="Hyperlink"/>
    <w:basedOn w:val="10"/>
    <w:qFormat/>
    <w:uiPriority w:val="0"/>
    <w:rPr>
      <w:color w:val="0000FF" w:themeColor="hyperlink"/>
      <w:u w:val="single"/>
      <w14:textFill>
        <w14:solidFill>
          <w14:schemeClr w14:val="hlink"/>
        </w14:solidFill>
      </w14:textFill>
    </w:rPr>
  </w:style>
  <w:style w:type="character" w:styleId="13">
    <w:name w:val="annotation reference"/>
    <w:basedOn w:val="10"/>
    <w:qFormat/>
    <w:uiPriority w:val="0"/>
    <w:rPr>
      <w:sz w:val="21"/>
      <w:szCs w:val="21"/>
    </w:rPr>
  </w:style>
  <w:style w:type="character" w:customStyle="1" w:styleId="14">
    <w:name w:val="Body text|1_"/>
    <w:basedOn w:val="10"/>
    <w:link w:val="15"/>
    <w:qFormat/>
    <w:uiPriority w:val="0"/>
    <w:rPr>
      <w:rFonts w:ascii="宋体" w:hAnsi="宋体" w:eastAsia="宋体" w:cs="宋体"/>
      <w:sz w:val="20"/>
      <w:szCs w:val="20"/>
      <w:u w:val="none"/>
      <w:shd w:val="clear" w:color="auto" w:fill="auto"/>
      <w:lang w:val="zh-TW" w:eastAsia="zh-TW" w:bidi="zh-TW"/>
    </w:rPr>
  </w:style>
  <w:style w:type="paragraph" w:customStyle="1" w:styleId="15">
    <w:name w:val="Body text|1"/>
    <w:basedOn w:val="1"/>
    <w:link w:val="14"/>
    <w:qFormat/>
    <w:uiPriority w:val="0"/>
    <w:pPr>
      <w:spacing w:line="480" w:lineRule="auto"/>
      <w:ind w:firstLine="400"/>
    </w:pPr>
    <w:rPr>
      <w:rFonts w:ascii="宋体" w:hAnsi="宋体" w:eastAsia="宋体" w:cs="宋体"/>
      <w:sz w:val="20"/>
      <w:szCs w:val="20"/>
      <w:lang w:val="zh-TW" w:eastAsia="zh-TW" w:bidi="zh-TW"/>
    </w:rPr>
  </w:style>
  <w:style w:type="character" w:customStyle="1" w:styleId="16">
    <w:name w:val="Picture caption|1_"/>
    <w:basedOn w:val="10"/>
    <w:link w:val="17"/>
    <w:qFormat/>
    <w:uiPriority w:val="0"/>
    <w:rPr>
      <w:rFonts w:ascii="宋体" w:hAnsi="宋体" w:eastAsia="宋体" w:cs="宋体"/>
      <w:sz w:val="20"/>
      <w:szCs w:val="20"/>
      <w:u w:val="none"/>
      <w:shd w:val="clear" w:color="auto" w:fill="auto"/>
      <w:lang w:val="zh-TW" w:eastAsia="zh-TW" w:bidi="zh-TW"/>
    </w:rPr>
  </w:style>
  <w:style w:type="paragraph" w:customStyle="1" w:styleId="17">
    <w:name w:val="Picture caption|1"/>
    <w:basedOn w:val="1"/>
    <w:link w:val="16"/>
    <w:qFormat/>
    <w:uiPriority w:val="0"/>
    <w:pPr>
      <w:jc w:val="right"/>
    </w:pPr>
    <w:rPr>
      <w:rFonts w:ascii="宋体" w:hAnsi="宋体" w:eastAsia="宋体" w:cs="宋体"/>
      <w:sz w:val="20"/>
      <w:szCs w:val="20"/>
      <w:lang w:val="zh-TW" w:eastAsia="zh-TW" w:bidi="zh-TW"/>
    </w:rPr>
  </w:style>
  <w:style w:type="character" w:customStyle="1" w:styleId="18">
    <w:name w:val="Heading #1|1_"/>
    <w:basedOn w:val="10"/>
    <w:link w:val="19"/>
    <w:qFormat/>
    <w:uiPriority w:val="0"/>
    <w:rPr>
      <w:rFonts w:ascii="宋体" w:hAnsi="宋体" w:eastAsia="宋体" w:cs="宋体"/>
      <w:sz w:val="34"/>
      <w:szCs w:val="34"/>
      <w:u w:val="none"/>
      <w:shd w:val="clear" w:color="auto" w:fill="auto"/>
      <w:lang w:val="zh-TW" w:eastAsia="zh-TW" w:bidi="zh-TW"/>
    </w:rPr>
  </w:style>
  <w:style w:type="paragraph" w:customStyle="1" w:styleId="19">
    <w:name w:val="Heading #1|1"/>
    <w:basedOn w:val="1"/>
    <w:link w:val="18"/>
    <w:qFormat/>
    <w:uiPriority w:val="0"/>
    <w:pPr>
      <w:spacing w:after="140" w:line="501" w:lineRule="exact"/>
      <w:jc w:val="center"/>
      <w:outlineLvl w:val="0"/>
    </w:pPr>
    <w:rPr>
      <w:rFonts w:ascii="宋体" w:hAnsi="宋体" w:eastAsia="宋体" w:cs="宋体"/>
      <w:sz w:val="34"/>
      <w:szCs w:val="34"/>
      <w:lang w:val="zh-TW" w:eastAsia="zh-TW" w:bidi="zh-TW"/>
    </w:rPr>
  </w:style>
  <w:style w:type="character" w:customStyle="1" w:styleId="20">
    <w:name w:val="批注文字 字符"/>
    <w:basedOn w:val="10"/>
    <w:link w:val="2"/>
    <w:qFormat/>
    <w:uiPriority w:val="0"/>
    <w:rPr>
      <w:rFonts w:eastAsia="Times New Roman"/>
      <w:color w:val="000000"/>
      <w:sz w:val="24"/>
      <w:szCs w:val="24"/>
      <w:lang w:eastAsia="en-US" w:bidi="en-US"/>
    </w:rPr>
  </w:style>
  <w:style w:type="character" w:customStyle="1" w:styleId="21">
    <w:name w:val="批注主题 字符"/>
    <w:basedOn w:val="20"/>
    <w:link w:val="7"/>
    <w:qFormat/>
    <w:uiPriority w:val="0"/>
    <w:rPr>
      <w:rFonts w:eastAsia="Times New Roman"/>
      <w:b/>
      <w:bCs/>
      <w:color w:val="000000"/>
      <w:sz w:val="24"/>
      <w:szCs w:val="24"/>
      <w:lang w:eastAsia="en-US" w:bidi="en-US"/>
    </w:rPr>
  </w:style>
  <w:style w:type="character" w:customStyle="1" w:styleId="22">
    <w:name w:val="页眉 字符"/>
    <w:basedOn w:val="10"/>
    <w:link w:val="6"/>
    <w:qFormat/>
    <w:uiPriority w:val="0"/>
    <w:rPr>
      <w:rFonts w:eastAsia="Times New Roman"/>
      <w:color w:val="000000"/>
      <w:sz w:val="18"/>
      <w:szCs w:val="18"/>
      <w:lang w:eastAsia="en-US" w:bidi="en-US"/>
    </w:rPr>
  </w:style>
  <w:style w:type="character" w:customStyle="1" w:styleId="23">
    <w:name w:val="页脚 字符"/>
    <w:basedOn w:val="10"/>
    <w:link w:val="5"/>
    <w:qFormat/>
    <w:uiPriority w:val="99"/>
    <w:rPr>
      <w:rFonts w:eastAsia="Times New Roman"/>
      <w:color w:val="000000"/>
      <w:sz w:val="18"/>
      <w:szCs w:val="18"/>
      <w:lang w:eastAsia="en-US" w:bidi="en-US"/>
    </w:rPr>
  </w:style>
  <w:style w:type="character" w:customStyle="1" w:styleId="24">
    <w:name w:val="未处理的提及1"/>
    <w:basedOn w:val="10"/>
    <w:semiHidden/>
    <w:unhideWhenUsed/>
    <w:qFormat/>
    <w:uiPriority w:val="99"/>
    <w:rPr>
      <w:color w:val="605E5C"/>
      <w:shd w:val="clear" w:color="auto" w:fill="E1DFDD"/>
    </w:rPr>
  </w:style>
  <w:style w:type="character" w:customStyle="1" w:styleId="25">
    <w:name w:val="正文文本 字符"/>
    <w:basedOn w:val="10"/>
    <w:link w:val="3"/>
    <w:qFormat/>
    <w:uiPriority w:val="0"/>
    <w:rPr>
      <w:rFonts w:eastAsia="Times New Roman"/>
      <w:color w:val="000000"/>
      <w:sz w:val="24"/>
      <w:szCs w:val="24"/>
      <w:lang w:eastAsia="en-US" w:bidi="en-US"/>
    </w:rPr>
  </w:style>
  <w:style w:type="paragraph" w:customStyle="1" w:styleId="26">
    <w:name w:val="修订1"/>
    <w:hidden/>
    <w:semiHidden/>
    <w:qFormat/>
    <w:uiPriority w:val="99"/>
    <w:rPr>
      <w:rFonts w:ascii="Times New Roman" w:hAnsi="Times New Roman" w:eastAsia="Times New Roman" w:cs="Times New Roman"/>
      <w:color w:val="000000"/>
      <w:sz w:val="24"/>
      <w:szCs w:val="24"/>
      <w:lang w:val="en-US" w:eastAsia="en-US" w:bidi="en-US"/>
    </w:rPr>
  </w:style>
  <w:style w:type="table" w:customStyle="1" w:styleId="27">
    <w:name w:val="网格型1"/>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8">
    <w:name w:val="网格型2"/>
    <w:basedOn w:val="8"/>
    <w:qFormat/>
    <w:uiPriority w:val="59"/>
    <w:pPr>
      <w:widowControl w:val="0"/>
      <w:jc w:val="both"/>
    </w:pPr>
    <w:rPr>
      <w:rFonts w:ascii="等线" w:hAnsi="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9">
    <w:name w:val="List Paragraph"/>
    <w:basedOn w:val="1"/>
    <w:qFormat/>
    <w:uiPriority w:val="99"/>
    <w:pPr>
      <w:ind w:firstLine="420" w:firstLineChars="200"/>
    </w:pPr>
  </w:style>
  <w:style w:type="paragraph" w:customStyle="1" w:styleId="30">
    <w:name w:val="修订2"/>
    <w:hidden/>
    <w:semiHidden/>
    <w:qFormat/>
    <w:uiPriority w:val="99"/>
    <w:rPr>
      <w:rFonts w:ascii="Times New Roman" w:hAnsi="Times New Roman" w:eastAsia="Times New Roman" w:cs="Times New Roman"/>
      <w:color w:val="000000"/>
      <w:sz w:val="24"/>
      <w:szCs w:val="24"/>
      <w:lang w:val="en-US" w:eastAsia="en-US" w:bidi="en-US"/>
    </w:rPr>
  </w:style>
  <w:style w:type="character" w:customStyle="1" w:styleId="31">
    <w:name w:val="未处理的提及2"/>
    <w:basedOn w:val="10"/>
    <w:semiHidden/>
    <w:unhideWhenUsed/>
    <w:qFormat/>
    <w:uiPriority w:val="99"/>
    <w:rPr>
      <w:color w:val="605E5C"/>
      <w:shd w:val="clear" w:color="auto" w:fill="E1DFDD"/>
    </w:rPr>
  </w:style>
  <w:style w:type="character" w:customStyle="1" w:styleId="32">
    <w:name w:val="批注框文本 字符"/>
    <w:basedOn w:val="10"/>
    <w:link w:val="4"/>
    <w:qFormat/>
    <w:uiPriority w:val="0"/>
    <w:rPr>
      <w:rFonts w:eastAsia="Times New Roman"/>
      <w:color w:val="000000"/>
      <w:sz w:val="18"/>
      <w:szCs w:val="18"/>
      <w:lang w:eastAsia="en-US" w:bidi="en-US"/>
    </w:rPr>
  </w:style>
  <w:style w:type="paragraph" w:customStyle="1" w:styleId="33">
    <w:name w:val="修订3"/>
    <w:hidden/>
    <w:semiHidden/>
    <w:qFormat/>
    <w:uiPriority w:val="99"/>
    <w:rPr>
      <w:rFonts w:ascii="Times New Roman" w:hAnsi="Times New Roman" w:eastAsia="Times New Roman" w:cs="Times New Roman"/>
      <w:color w:val="000000"/>
      <w:sz w:val="24"/>
      <w:szCs w:val="24"/>
      <w:lang w:val="en-US" w:eastAsia="en-US" w:bidi="en-US"/>
    </w:rPr>
  </w:style>
  <w:style w:type="character" w:customStyle="1" w:styleId="34">
    <w:name w:val="未处理的提及3"/>
    <w:basedOn w:val="10"/>
    <w:semiHidden/>
    <w:unhideWhenUsed/>
    <w:qFormat/>
    <w:uiPriority w:val="99"/>
    <w:rPr>
      <w:color w:val="605E5C"/>
      <w:shd w:val="clear" w:color="auto" w:fill="E1DFDD"/>
    </w:rPr>
  </w:style>
  <w:style w:type="paragraph" w:customStyle="1" w:styleId="35">
    <w:name w:val="Revision"/>
    <w:hidden/>
    <w:semiHidden/>
    <w:qFormat/>
    <w:uiPriority w:val="99"/>
    <w:rPr>
      <w:rFonts w:ascii="Times New Roman" w:hAnsi="Times New Roman" w:eastAsia="Times New Roman" w:cs="Times New Roman"/>
      <w:color w:val="000000"/>
      <w:sz w:val="24"/>
      <w:szCs w:val="24"/>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3488</Words>
  <Characters>3635</Characters>
  <Lines>26</Lines>
  <Paragraphs>7</Paragraphs>
  <TotalTime>203</TotalTime>
  <ScaleCrop>false</ScaleCrop>
  <LinksUpToDate>false</LinksUpToDate>
  <CharactersWithSpaces>3706</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2021-08-04T12:46:00Z</dcterms:created>
  <dc:creator>徐艳</dc:creator>
  <cp:lastModifiedBy>TY</cp:lastModifiedBy>
  <dcterms:modified xsi:type="dcterms:W3CDTF">2025-11-10T12:15:03Z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4F7535B96ACA43EBB92EE5706233F146_13</vt:lpwstr>
  </property>
  <property fmtid="{D5CDD505-2E9C-101B-9397-08002B2CF9AE}" pid="4" name="KSOTemplateDocerSaveRecord">
    <vt:lpwstr>eyJoZGlkIjoiYjgyOGQyODI3NTAyMDJjYmRjZmFkZWE1NDI5Y2Q4NDIiLCJ1c2VySWQiOiIyNTM1NTE5MjkifQ==</vt:lpwstr>
  </property>
</Properties>
</file>