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C013D3">
      <w:pPr>
        <w:spacing w:line="560" w:lineRule="exact"/>
        <w:jc w:val="center"/>
        <w:rPr>
          <w:rFonts w:ascii="宋体" w:hAnsi="宋体" w:eastAsia="宋体"/>
          <w:b/>
          <w:bCs/>
          <w:sz w:val="32"/>
          <w:szCs w:val="32"/>
          <w:lang w:eastAsia="zh-CN"/>
        </w:rPr>
      </w:pPr>
      <w:r>
        <w:rPr>
          <w:rFonts w:hint="eastAsia" w:ascii="宋体" w:hAnsi="宋体" w:eastAsia="宋体"/>
          <w:b/>
          <w:bCs/>
          <w:sz w:val="32"/>
          <w:szCs w:val="32"/>
          <w:lang w:eastAsia="zh-CN"/>
        </w:rPr>
        <w:t>成都达江装饰材料有限公司、</w:t>
      </w:r>
    </w:p>
    <w:p w14:paraId="2E94FA2B">
      <w:pPr>
        <w:spacing w:line="560" w:lineRule="exact"/>
        <w:jc w:val="center"/>
        <w:rPr>
          <w:rFonts w:ascii="宋体" w:hAnsi="宋体" w:eastAsia="宋体"/>
          <w:sz w:val="32"/>
          <w:szCs w:val="32"/>
          <w:lang w:eastAsia="zh-CN"/>
        </w:rPr>
      </w:pPr>
      <w:r>
        <w:rPr>
          <w:rFonts w:hint="eastAsia" w:ascii="宋体" w:hAnsi="宋体" w:eastAsia="宋体"/>
          <w:b/>
          <w:bCs/>
          <w:sz w:val="32"/>
          <w:szCs w:val="32"/>
          <w:lang w:eastAsia="zh-CN"/>
        </w:rPr>
        <w:t>崇州市听江热压板</w:t>
      </w:r>
      <w:r>
        <w:rPr>
          <w:rFonts w:hint="eastAsia" w:ascii="宋体" w:hAnsi="宋体" w:eastAsia="宋体" w:cs="微软雅黑"/>
          <w:b/>
          <w:bCs/>
          <w:sz w:val="32"/>
          <w:szCs w:val="32"/>
          <w:lang w:eastAsia="zh-CN"/>
        </w:rPr>
        <w:t>厂预重整案</w:t>
      </w:r>
    </w:p>
    <w:p w14:paraId="244E13A6">
      <w:pPr>
        <w:spacing w:line="560" w:lineRule="exact"/>
        <w:jc w:val="center"/>
        <w:rPr>
          <w:sz w:val="24"/>
          <w:szCs w:val="24"/>
          <w:lang w:eastAsia="zh-CN"/>
        </w:rPr>
      </w:pPr>
      <w:r>
        <w:rPr>
          <w:rFonts w:hint="eastAsia"/>
          <w:b/>
          <w:bCs/>
          <w:sz w:val="32"/>
          <w:szCs w:val="32"/>
          <w:lang w:eastAsia="zh-CN"/>
        </w:rPr>
        <w:t>债权登记/申报通知书</w:t>
      </w:r>
    </w:p>
    <w:p w14:paraId="62547A7B">
      <w:pPr>
        <w:spacing w:line="560" w:lineRule="exact"/>
        <w:rPr>
          <w:rFonts w:ascii="仿宋" w:hAnsi="仿宋" w:eastAsia="仿宋" w:cs="仿宋"/>
          <w:b/>
          <w:bCs/>
          <w:sz w:val="24"/>
          <w:szCs w:val="24"/>
          <w:lang w:eastAsia="zh-CN"/>
        </w:rPr>
      </w:pPr>
      <w:r>
        <w:rPr>
          <w:rFonts w:hint="eastAsia" w:ascii="仿宋" w:hAnsi="仿宋" w:eastAsia="仿宋" w:cs="仿宋"/>
          <w:b/>
          <w:bCs/>
          <w:sz w:val="24"/>
          <w:szCs w:val="24"/>
          <w:lang w:eastAsia="zh-CN"/>
        </w:rPr>
        <w:t>尊敬的债权人：</w:t>
      </w:r>
    </w:p>
    <w:p w14:paraId="5DEB9CD8">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四川省崇州市人民法院于2025年12月9日作出（2025）川0184破申6号《决定书》，决定对成都达江装饰材料有限公司、崇州市听江热压板厂（以下简称“达江公司、热压板厂”或“债务人”）进行预重整，并作出（2025）川0184破申6号之一《决定书》，指定四川盛豪律师事务所担任成都达江装饰材料有限公司、崇州市听江热压板厂预重整期间的临时管理人，曾传辉为临时管理人负责人。2025年12月15日，临时管理人发布了《关于成都达江装饰材料有限公司、崇州市听江热压板厂债权及未履行完毕合同登记/申报的公告》，通知债权人登记/申报债权。为明确债权人在债权登记/申报阶段之权利义务，特告知如下事项：</w:t>
      </w:r>
    </w:p>
    <w:p w14:paraId="32ECF458">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一、债权人应当在临时管理人规定的债权登记/申报期限内【即2026年1月</w:t>
      </w:r>
      <w:r>
        <w:rPr>
          <w:rFonts w:ascii="仿宋" w:hAnsi="仿宋" w:eastAsia="仿宋" w:cs="仿宋"/>
          <w:b/>
          <w:bCs/>
          <w:sz w:val="24"/>
          <w:szCs w:val="24"/>
          <w:lang w:eastAsia="zh-CN"/>
        </w:rPr>
        <w:t>31</w:t>
      </w:r>
      <w:r>
        <w:rPr>
          <w:rFonts w:hint="eastAsia" w:ascii="仿宋" w:hAnsi="仿宋" w:eastAsia="仿宋" w:cs="仿宋"/>
          <w:b/>
          <w:bCs/>
          <w:sz w:val="24"/>
          <w:szCs w:val="24"/>
          <w:lang w:eastAsia="zh-CN"/>
        </w:rPr>
        <w:t>日前】向达江公司、热压板厂临时管理人登记/申报债权。临时管理人工作时间为：周一至周五（工作日）上午9：00-12：00；下午14：00-17：00。</w:t>
      </w:r>
    </w:p>
    <w:p w14:paraId="4766A0B2">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二、 债权登记/申报的方式</w:t>
      </w:r>
    </w:p>
    <w:p w14:paraId="472FA681">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1.现场登记/申报。现场登记/申报地址：四川省成都市金牛区蜀西路46号盛大国际3栋7楼（四川盛豪律师事务所）。</w:t>
      </w:r>
    </w:p>
    <w:p w14:paraId="0A13748A">
      <w:pPr>
        <w:spacing w:line="560" w:lineRule="exact"/>
        <w:ind w:firstLine="482" w:firstLineChars="200"/>
        <w:rPr>
          <w:rFonts w:ascii="仿宋" w:hAnsi="仿宋" w:eastAsia="仿宋" w:cs="仿宋"/>
          <w:sz w:val="24"/>
          <w:szCs w:val="24"/>
          <w:lang w:eastAsia="zh-CN"/>
        </w:rPr>
      </w:pPr>
      <w:r>
        <w:rPr>
          <w:rFonts w:hint="eastAsia" w:ascii="仿宋" w:hAnsi="仿宋" w:eastAsia="仿宋" w:cs="仿宋"/>
          <w:b/>
          <w:bCs/>
          <w:sz w:val="24"/>
          <w:szCs w:val="24"/>
          <w:lang w:eastAsia="zh-CN"/>
        </w:rPr>
        <w:t>债权人须按照临时管理人的要求填写债权登记/申报表及相关材料（原件）、准备一套相关证据材料复印件并携带全部复印件的原件（供临时管理人核对）</w:t>
      </w:r>
      <w:r>
        <w:rPr>
          <w:rFonts w:hint="eastAsia" w:ascii="仿宋" w:hAnsi="仿宋" w:eastAsia="仿宋" w:cs="仿宋"/>
          <w:sz w:val="24"/>
          <w:szCs w:val="24"/>
          <w:lang w:eastAsia="zh-CN"/>
        </w:rPr>
        <w:t>后，赴临时管理人处进行现场登记/申报。临时管理人鼓励债权人现场登记/申报前提前与临时管理人工作人员联系、预约，以减少债权登记/申报可能的等待时间，提高债权登记/申报的效率。</w:t>
      </w:r>
    </w:p>
    <w:p w14:paraId="276A8529">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管理人联系方式：廖老师19881193833、曾律师13060066050、张律师13540133901</w:t>
      </w:r>
    </w:p>
    <w:p w14:paraId="3C83441F">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w:t>
      </w:r>
      <w:r>
        <w:rPr>
          <w:rFonts w:hint="eastAsia" w:ascii="仿宋" w:hAnsi="仿宋" w:eastAsia="仿宋" w:cs="仿宋"/>
          <w:b/>
          <w:bCs/>
          <w:sz w:val="24"/>
          <w:szCs w:val="24"/>
          <w:lang w:eastAsia="zh-CN"/>
        </w:rPr>
        <w:t>.邮寄登记/申报。邮寄登记/申报地址：成都市金牛区蜀西路46号盛大国际3栋7楼（四川盛豪律师事务所）</w:t>
      </w:r>
      <w:r>
        <w:rPr>
          <w:rFonts w:hint="eastAsia" w:ascii="仿宋" w:hAnsi="仿宋" w:eastAsia="仿宋" w:cs="仿宋"/>
          <w:sz w:val="24"/>
          <w:szCs w:val="24"/>
          <w:lang w:eastAsia="zh-CN"/>
        </w:rPr>
        <w:t>。达江公司、热压板厂临时管理人—廖俊收，邮编：610036，联系电话：19881193833。</w:t>
      </w:r>
    </w:p>
    <w:p w14:paraId="12D92504">
      <w:pPr>
        <w:spacing w:line="560" w:lineRule="exact"/>
        <w:ind w:firstLine="482" w:firstLineChars="200"/>
        <w:rPr>
          <w:rFonts w:ascii="仿宋" w:hAnsi="仿宋" w:eastAsia="仿宋" w:cs="仿宋"/>
          <w:sz w:val="24"/>
          <w:szCs w:val="24"/>
          <w:lang w:eastAsia="zh-CN"/>
        </w:rPr>
      </w:pPr>
      <w:r>
        <w:rPr>
          <w:rFonts w:hint="eastAsia" w:ascii="仿宋" w:hAnsi="仿宋" w:eastAsia="仿宋" w:cs="仿宋"/>
          <w:b/>
          <w:bCs/>
          <w:sz w:val="24"/>
          <w:szCs w:val="24"/>
          <w:lang w:eastAsia="zh-CN"/>
        </w:rPr>
        <w:t>债权人须邮寄一套登记/申报资料</w:t>
      </w:r>
      <w:r>
        <w:rPr>
          <w:rFonts w:hint="eastAsia" w:ascii="仿宋" w:hAnsi="仿宋" w:eastAsia="仿宋" w:cs="仿宋"/>
          <w:sz w:val="24"/>
          <w:szCs w:val="24"/>
          <w:lang w:eastAsia="zh-CN"/>
        </w:rPr>
        <w:t>。邮寄时，请在邮寄单注明“XXXXXXXX（个人姓名/公司名称）债权登记/申报”字样，并保留邮件寄送底单。同时应将证据资料原件电子版发送至预重整管理人邮箱（邮箱账号：</w:t>
      </w:r>
      <w:r>
        <w:rPr>
          <w:rFonts w:hint="eastAsia" w:ascii="仿宋" w:hAnsi="仿宋" w:eastAsia="仿宋" w:cs="仿宋"/>
          <w:sz w:val="24"/>
          <w:szCs w:val="24"/>
        </w:rPr>
        <w:fldChar w:fldCharType="begin"/>
      </w:r>
      <w:r>
        <w:rPr>
          <w:rFonts w:hint="eastAsia" w:ascii="仿宋" w:hAnsi="仿宋" w:eastAsia="仿宋" w:cs="仿宋"/>
          <w:sz w:val="24"/>
          <w:szCs w:val="24"/>
          <w:lang w:eastAsia="zh-CN"/>
        </w:rPr>
        <w:instrText xml:space="preserve"> HYPERLINK "mailto:1158481432@qq.com"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1852352840@qq.com</w:t>
      </w:r>
      <w:r>
        <w:rPr>
          <w:rFonts w:hint="eastAsia" w:ascii="仿宋" w:hAnsi="仿宋" w:eastAsia="仿宋" w:cs="仿宋"/>
          <w:sz w:val="24"/>
          <w:szCs w:val="24"/>
        </w:rPr>
        <w:fldChar w:fldCharType="end"/>
      </w:r>
      <w:r>
        <w:rPr>
          <w:rFonts w:hint="eastAsia" w:ascii="仿宋" w:hAnsi="仿宋" w:eastAsia="仿宋" w:cs="仿宋"/>
          <w:sz w:val="24"/>
          <w:szCs w:val="24"/>
          <w:lang w:eastAsia="zh-CN"/>
        </w:rPr>
        <w:t>），必要时，临时管理人有权要求债权人现场提交证据材料原件以供核对。</w:t>
      </w:r>
    </w:p>
    <w:p w14:paraId="2F6DD66F">
      <w:pPr>
        <w:spacing w:line="560" w:lineRule="exact"/>
        <w:ind w:firstLine="482" w:firstLineChars="200"/>
        <w:rPr>
          <w:rFonts w:ascii="仿宋" w:hAnsi="仿宋" w:eastAsia="仿宋" w:cs="仿宋"/>
          <w:sz w:val="24"/>
          <w:szCs w:val="24"/>
          <w:lang w:eastAsia="zh-CN"/>
        </w:rPr>
      </w:pPr>
      <w:r>
        <w:rPr>
          <w:rFonts w:hint="eastAsia" w:ascii="仿宋" w:hAnsi="仿宋" w:eastAsia="仿宋" w:cs="仿宋"/>
          <w:b/>
          <w:bCs/>
          <w:sz w:val="24"/>
          <w:szCs w:val="24"/>
          <w:lang w:eastAsia="zh-CN"/>
        </w:rPr>
        <w:t>三、 债权登记/申报资料的获取</w:t>
      </w:r>
    </w:p>
    <w:p w14:paraId="23C81AD8">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债权人可以通过以下方式获取包括四川省崇州市人民法院受理预重整申请的《决定书》（复制件）、指定临时管理人的《决定书》（复制件）、通知登记/申报债权的《公告》（复制件），以及临时管理人《债权登记/申报通知书》《债权登记/申报文件清单》《债权登记/申报表》《送达地址及银行账户确认书》《债权计算清单附页》《授权委托书》《法定代表人（或负责人）身份证明书》《未履行完毕合同登记/申报表》等在内的资料：</w:t>
      </w:r>
    </w:p>
    <w:p w14:paraId="4EBAA4FD">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1.电子送达方式获取。债权人联系临时管理人并向临时管理人提供有效电子邮箱号码或微信号后，由临时管理人通过电子送达的方式向债权人发送上述资料；</w:t>
      </w:r>
    </w:p>
    <w:p w14:paraId="6958538D">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2.邮寄获取。债权人联系临时管理人并向临时管理人发送有效收件地址、联系人及联系电话等信息后，由临时管理人通过邮寄的方式向债权人寄送上述资料；</w:t>
      </w:r>
    </w:p>
    <w:p w14:paraId="7C8A39A9">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3.现场获取。债权人于临时管理人工作时间内，到临时管理人处获取上述资料。</w:t>
      </w:r>
    </w:p>
    <w:p w14:paraId="5DD308BF">
      <w:pPr>
        <w:spacing w:line="560" w:lineRule="exact"/>
        <w:ind w:firstLine="482" w:firstLineChars="200"/>
        <w:rPr>
          <w:rFonts w:ascii="仿宋" w:hAnsi="仿宋" w:eastAsia="仿宋" w:cs="仿宋"/>
          <w:sz w:val="24"/>
          <w:szCs w:val="24"/>
          <w:lang w:eastAsia="zh-CN"/>
        </w:rPr>
      </w:pPr>
      <w:r>
        <w:rPr>
          <w:rFonts w:hint="eastAsia" w:ascii="仿宋" w:hAnsi="仿宋" w:eastAsia="仿宋" w:cs="仿宋"/>
          <w:b/>
          <w:bCs/>
          <w:sz w:val="24"/>
          <w:szCs w:val="24"/>
          <w:lang w:eastAsia="zh-CN"/>
        </w:rPr>
        <w:t>特别提醒：各位债权人可登录全国企业破产重整案件信息网（网址:</w:t>
      </w:r>
      <w:r>
        <w:rPr>
          <w:lang w:eastAsia="zh-CN"/>
        </w:rPr>
        <w:t xml:space="preserve"> </w:t>
      </w:r>
      <w:r>
        <w:rPr>
          <w:rFonts w:ascii="仿宋" w:hAnsi="仿宋" w:eastAsia="仿宋" w:cs="仿宋"/>
          <w:b/>
          <w:bCs/>
          <w:sz w:val="24"/>
          <w:szCs w:val="24"/>
          <w:lang w:eastAsia="zh-CN"/>
        </w:rPr>
        <w:t>https://pccz.court.gov.cn/pcajxxw/index/xxwsy</w:t>
      </w:r>
      <w:r>
        <w:rPr>
          <w:rFonts w:hint="eastAsia" w:ascii="仿宋" w:hAnsi="仿宋" w:eastAsia="仿宋" w:cs="仿宋"/>
          <w:b/>
          <w:bCs/>
          <w:sz w:val="24"/>
          <w:szCs w:val="24"/>
          <w:lang w:eastAsia="zh-CN"/>
        </w:rPr>
        <w:t>）了解达江公司、热压板厂预重整案最新动态。</w:t>
      </w:r>
    </w:p>
    <w:p w14:paraId="04036713">
      <w:pPr>
        <w:spacing w:line="560" w:lineRule="exact"/>
        <w:ind w:firstLine="482" w:firstLineChars="200"/>
        <w:rPr>
          <w:rFonts w:ascii="仿宋" w:hAnsi="仿宋" w:eastAsia="仿宋" w:cs="仿宋"/>
          <w:sz w:val="24"/>
          <w:szCs w:val="24"/>
          <w:lang w:eastAsia="zh-CN"/>
        </w:rPr>
      </w:pPr>
      <w:r>
        <w:rPr>
          <w:rFonts w:hint="eastAsia" w:ascii="仿宋" w:hAnsi="仿宋" w:eastAsia="仿宋" w:cs="仿宋"/>
          <w:b/>
          <w:bCs/>
          <w:sz w:val="24"/>
          <w:szCs w:val="24"/>
          <w:lang w:eastAsia="zh-CN"/>
        </w:rPr>
        <w:t>四、债权人在登记/申报债权时应当注意以下几点</w:t>
      </w:r>
    </w:p>
    <w:p w14:paraId="1195F5A8">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1.未到期的债权，在破产申请受理时视为到期；</w:t>
      </w:r>
    </w:p>
    <w:p w14:paraId="40FDF8E3">
      <w:pPr>
        <w:spacing w:line="560" w:lineRule="exact"/>
        <w:ind w:firstLine="482" w:firstLineChars="200"/>
        <w:rPr>
          <w:rFonts w:ascii="仿宋" w:hAnsi="仿宋" w:eastAsia="仿宋" w:cs="仿宋"/>
          <w:sz w:val="24"/>
          <w:szCs w:val="24"/>
          <w:lang w:eastAsia="zh-CN"/>
        </w:rPr>
      </w:pPr>
      <w:r>
        <w:rPr>
          <w:rFonts w:hint="eastAsia" w:ascii="仿宋" w:hAnsi="仿宋" w:eastAsia="仿宋" w:cs="仿宋"/>
          <w:b/>
          <w:bCs/>
          <w:sz w:val="24"/>
          <w:szCs w:val="24"/>
          <w:lang w:eastAsia="zh-CN"/>
        </w:rPr>
        <w:t xml:space="preserve">2.附利息的债权，自预重整申请受理时起停止计息；  </w:t>
      </w:r>
    </w:p>
    <w:p w14:paraId="6A41E18C">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3.附条件、附期限的债权和诉讼、仲裁未决的债权，债权人可以登记/申报；</w:t>
      </w:r>
    </w:p>
    <w:p w14:paraId="7C76A3D4">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4.债权人登记/申报债权时，应当书面说明债权数额和有无财产担保，并提交有关证据。登记/申报的债权是连带债权的，应当说明；</w:t>
      </w:r>
    </w:p>
    <w:p w14:paraId="6E77F26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5.连带债权人可以由其中一人代表全体连带债权人登记/申报债权，也可以共同登记/申报债权；</w:t>
      </w:r>
    </w:p>
    <w:p w14:paraId="0A9B32F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6.债务人的保证人或者其他连带债务人已经代替债务人清偿债务的，可就其对债务人的求偿权登记/申报债权；</w:t>
      </w:r>
    </w:p>
    <w:p w14:paraId="7EFEBD3D">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7.债务人的保证人或者其他连带债务人尚未代替债务人清偿债务的，可就其对债务人的将来求偿权登记/申报债权。但债权人已经向临时管理人登记/申报全部债权的除外；</w:t>
      </w:r>
    </w:p>
    <w:p w14:paraId="0DAEBE01">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8.临时管理人或者债务人参照《企业破产法》的规定解除合同的，对方当事人可就因合同解除所产生的损害赔偿请求权登记/申报债权；</w:t>
      </w:r>
    </w:p>
    <w:p w14:paraId="03BBF51F">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9.债务人是委托合同的委托人，被裁定参照适用《企业破产法》规定的程序，受托人不知该事实，继续处理委托事务的，受托人可就由此产生的请求权登记/申报债权；</w:t>
      </w:r>
    </w:p>
    <w:p w14:paraId="5CB7680C">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10.债务人是票据的出票人，被裁定参照适用《企业破产法》规定的程序，该票据的付款人继续付款或者承兑的，付款人可就由此产生的请求权登记/申报债权；</w:t>
      </w:r>
    </w:p>
    <w:p w14:paraId="031F80A3">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11.债权人应保证登记/申报的债权未经过诉讼时效，对于可能超过诉讼时效的债权，应一并提交诉讼时效中断、中止的证明材料。</w:t>
      </w:r>
    </w:p>
    <w:p w14:paraId="6A968C62">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五、登记/申报债权应提供以下材料</w:t>
      </w:r>
    </w:p>
    <w:p w14:paraId="2C947B0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1.《诚信登记/申报承诺书》《债权登记/申报表》《债权登记/申报文件清单》《送达地址及银行账户确认书》；</w:t>
      </w:r>
    </w:p>
    <w:p w14:paraId="5740637B">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债权人是法人的应提供：债权人三证合一后的新证照复印件（加盖公章）、法定代表人身份证明书（原件加盖公章）、法定代表人身份证复印件（加盖公章）；债权人是自然人的应提供：个人身份证明复印件（签字并捺印确认）。</w:t>
      </w:r>
    </w:p>
    <w:p w14:paraId="5C353867">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除提交上述资料外，债权人委托代理人登记/申报的，还应提供：代理人授权委托书（原件）及代理人身份证件复印件（签字并捺印确认）；委托代理人是律师的，还应提交律师事务所的指派函原件及律师执业证复印件；</w:t>
      </w:r>
    </w:p>
    <w:p w14:paraId="00C1B5A4">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3.证明债权事实的相关证据材料。债权人应当以与证据原件核对无误的复印件登记/申报债权，</w:t>
      </w:r>
      <w:r>
        <w:rPr>
          <w:rFonts w:hint="eastAsia" w:ascii="仿宋" w:hAnsi="仿宋" w:eastAsia="仿宋" w:cs="仿宋"/>
          <w:b/>
          <w:bCs/>
          <w:sz w:val="24"/>
          <w:szCs w:val="24"/>
          <w:lang w:eastAsia="zh-CN"/>
        </w:rPr>
        <w:t>证据材料应当附证据清单并加盖印章或者签字并捺印确认</w:t>
      </w:r>
      <w:r>
        <w:rPr>
          <w:rFonts w:hint="eastAsia" w:ascii="仿宋" w:hAnsi="仿宋" w:eastAsia="仿宋" w:cs="仿宋"/>
          <w:sz w:val="24"/>
          <w:szCs w:val="24"/>
          <w:lang w:eastAsia="zh-CN"/>
        </w:rPr>
        <w:t>。进入司法程序或仲裁程序的，应同时提交司法部门或仲裁机构出具的相关法律文书及相关法律文书的生效证明。</w:t>
      </w:r>
    </w:p>
    <w:p w14:paraId="22620F79">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就所登记/申报债权，债权人已经申请/曾经申请过执行的，应提供相关执行文书以及执行法院关于执行情况的证明或说明；债权人已经申请财产保全/曾经申请过财产保全的，应提供财产保全相关文书以及法院关于保全情况的证明或说明。</w:t>
      </w:r>
    </w:p>
    <w:p w14:paraId="26F865F5">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债权人如未能按要求提供上述材料的,临时管理人有权暂不受理债权人的登记/申报。</w:t>
      </w:r>
    </w:p>
    <w:p w14:paraId="226C348C">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六、填写债权登记/申报资料需注意的问题</w:t>
      </w:r>
    </w:p>
    <w:p w14:paraId="2C289419">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1.登记/申报债权的金额：登记/申报的债权金额必须明确且确定；</w:t>
      </w:r>
    </w:p>
    <w:p w14:paraId="2BC64BE0">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2.利息债权：附利息的债权暂计算至自预重整申请受理时（即2025年12月9日）。利息金额的计算必须注明计算依据并附计算说明。</w:t>
      </w:r>
    </w:p>
    <w:p w14:paraId="7159A8D3">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3.债权人须向临时管理人提交</w:t>
      </w:r>
      <w:r>
        <w:rPr>
          <w:rFonts w:hint="eastAsia" w:ascii="仿宋" w:hAnsi="仿宋" w:eastAsia="仿宋" w:cs="仿宋"/>
          <w:b/>
          <w:bCs/>
          <w:sz w:val="24"/>
          <w:szCs w:val="24"/>
          <w:lang w:eastAsia="zh-CN"/>
        </w:rPr>
        <w:t>一套完整的登记/申报资料</w:t>
      </w:r>
      <w:r>
        <w:rPr>
          <w:rFonts w:hint="eastAsia" w:ascii="仿宋" w:hAnsi="仿宋" w:eastAsia="仿宋" w:cs="仿宋"/>
          <w:sz w:val="24"/>
          <w:szCs w:val="24"/>
          <w:lang w:eastAsia="zh-CN"/>
        </w:rPr>
        <w:t>。登记/申报资料中的文件临时管理人有模板的，债权人应采用临时管理人的统一模板。</w:t>
      </w:r>
    </w:p>
    <w:p w14:paraId="17AEA40C">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4.债权人未能在临时管理人确定的时间内提供证据原件的，其所登记/申报的债权临时管理人将不予确认。</w:t>
      </w:r>
    </w:p>
    <w:p w14:paraId="21D8261F">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七、 特别提醒</w:t>
      </w:r>
    </w:p>
    <w:p w14:paraId="7C3B2ADB">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1.根据《成都市中级人民法院破产案件预重整操作指引》规定，为高效推进达江公司、热压板厂预重整工作，本次预重整阶段的债权登记资料将在法院正式裁定受理破产重整后视为债权申报材料，债权人无需重复申报。敬请各位债权人务必重视并及时完成本次债权登记，以免影响自身权益。</w:t>
      </w:r>
    </w:p>
    <w:p w14:paraId="04E80B39">
      <w:pPr>
        <w:spacing w:line="560" w:lineRule="exact"/>
        <w:ind w:firstLine="482" w:firstLineChars="200"/>
        <w:rPr>
          <w:rFonts w:ascii="仿宋" w:hAnsi="仿宋" w:eastAsia="仿宋" w:cs="仿宋"/>
          <w:sz w:val="24"/>
          <w:szCs w:val="24"/>
          <w:lang w:eastAsia="zh-CN"/>
        </w:rPr>
      </w:pPr>
      <w:r>
        <w:rPr>
          <w:rFonts w:hint="eastAsia" w:ascii="仿宋" w:hAnsi="仿宋" w:eastAsia="仿宋" w:cs="仿宋"/>
          <w:b/>
          <w:bCs/>
          <w:sz w:val="24"/>
          <w:szCs w:val="24"/>
          <w:lang w:eastAsia="zh-CN"/>
        </w:rPr>
        <w:t>2.登记/申报人应当如实、详细填写《债权登记/申报表》以及提供完整、</w:t>
      </w:r>
      <w:bookmarkStart w:id="0" w:name="_GoBack"/>
      <w:bookmarkEnd w:id="0"/>
      <w:r>
        <w:rPr>
          <w:rFonts w:hint="eastAsia" w:ascii="仿宋" w:hAnsi="仿宋" w:eastAsia="仿宋" w:cs="仿宋"/>
          <w:b/>
          <w:bCs/>
          <w:sz w:val="24"/>
          <w:szCs w:val="24"/>
          <w:lang w:eastAsia="zh-CN"/>
        </w:rPr>
        <w:t xml:space="preserve">真实、有效的登记/申报材料。对于与登记/申报债权相关的，债务人或者其他主体的偿还、履行情况，债权人应当如实陈述并提供相关证明材料。根据我国《刑法》及相关规定，虚假登记/申报债权的，可能构成虚假诉讼罪。各债权人登记/申报债权时一定要严格、真实地登记/申报，否则自行承担由此产生的不利后果。特此提醒。 </w:t>
      </w:r>
      <w:r>
        <w:rPr>
          <w:rFonts w:hint="eastAsia" w:ascii="仿宋" w:hAnsi="仿宋" w:eastAsia="仿宋" w:cs="仿宋"/>
          <w:sz w:val="24"/>
          <w:szCs w:val="24"/>
          <w:lang w:eastAsia="zh-CN"/>
        </w:rPr>
        <w:t xml:space="preserve">  </w:t>
      </w:r>
    </w:p>
    <w:p w14:paraId="55034054">
      <w:pPr>
        <w:spacing w:line="560" w:lineRule="exact"/>
        <w:rPr>
          <w:rFonts w:ascii="仿宋" w:hAnsi="仿宋" w:eastAsia="仿宋" w:cs="仿宋"/>
          <w:sz w:val="24"/>
          <w:szCs w:val="24"/>
          <w:lang w:eastAsia="zh-CN"/>
        </w:rPr>
      </w:pPr>
    </w:p>
    <w:p w14:paraId="78C7C050">
      <w:pPr>
        <w:spacing w:line="560" w:lineRule="exact"/>
        <w:jc w:val="right"/>
        <w:rPr>
          <w:rFonts w:ascii="仿宋" w:hAnsi="仿宋" w:eastAsia="仿宋" w:cs="仿宋"/>
          <w:sz w:val="24"/>
          <w:szCs w:val="24"/>
          <w:lang w:eastAsia="zh-CN"/>
        </w:rPr>
      </w:pPr>
      <w:r>
        <w:rPr>
          <w:rFonts w:hint="eastAsia" w:ascii="仿宋" w:hAnsi="仿宋" w:eastAsia="仿宋" w:cs="仿宋"/>
          <w:sz w:val="24"/>
          <w:szCs w:val="24"/>
          <w:lang w:eastAsia="zh-CN"/>
        </w:rPr>
        <w:t>成都达江装饰材料有限公司、崇州市听江热压板厂临时管理人</w:t>
      </w:r>
    </w:p>
    <w:p w14:paraId="2229A930">
      <w:pPr>
        <w:spacing w:line="560" w:lineRule="exact"/>
        <w:jc w:val="center"/>
        <w:rPr>
          <w:rFonts w:ascii="仿宋" w:hAnsi="仿宋" w:eastAsia="仿宋" w:cs="仿宋"/>
          <w:sz w:val="24"/>
          <w:szCs w:val="24"/>
          <w:lang w:eastAsia="zh-CN"/>
        </w:rPr>
      </w:pPr>
      <w:r>
        <w:rPr>
          <w:rFonts w:hint="eastAsia" w:ascii="仿宋" w:hAnsi="仿宋" w:eastAsia="仿宋" w:cs="仿宋"/>
          <w:sz w:val="24"/>
          <w:szCs w:val="24"/>
          <w:lang w:eastAsia="zh-CN"/>
        </w:rPr>
        <w:t xml:space="preserve">                                                           二〇二五年十二月十五日</w:t>
      </w:r>
    </w:p>
    <w:p w14:paraId="334C4E1C">
      <w:pPr>
        <w:spacing w:line="560" w:lineRule="exact"/>
        <w:jc w:val="center"/>
        <w:rPr>
          <w:rFonts w:ascii="仿宋" w:hAnsi="仿宋" w:eastAsia="仿宋" w:cs="仿宋"/>
          <w:sz w:val="24"/>
          <w:szCs w:val="24"/>
        </w:rPr>
      </w:pPr>
    </w:p>
    <w:p w14:paraId="115D6071">
      <w:pPr>
        <w:spacing w:line="560" w:lineRule="exact"/>
        <w:rPr>
          <w:rFonts w:ascii="仿宋" w:hAnsi="仿宋" w:eastAsia="仿宋" w:cs="仿宋"/>
          <w:sz w:val="24"/>
          <w:szCs w:val="24"/>
        </w:rPr>
      </w:pPr>
    </w:p>
    <w:p w14:paraId="4649817A">
      <w:pPr>
        <w:spacing w:line="560" w:lineRule="exact"/>
        <w:rPr>
          <w:rFonts w:ascii="仿宋" w:hAnsi="仿宋" w:eastAsia="仿宋" w:cs="仿宋"/>
          <w:sz w:val="24"/>
          <w:szCs w:val="24"/>
        </w:rPr>
      </w:pPr>
    </w:p>
    <w:p w14:paraId="0CF90887">
      <w:pPr>
        <w:spacing w:line="560" w:lineRule="exact"/>
        <w:rPr>
          <w:rFonts w:ascii="仿宋" w:hAnsi="仿宋" w:eastAsia="仿宋" w:cs="仿宋"/>
          <w:sz w:val="24"/>
          <w:szCs w:val="24"/>
        </w:rPr>
      </w:pPr>
    </w:p>
    <w:p w14:paraId="48C8E967">
      <w:pPr>
        <w:spacing w:line="560" w:lineRule="exact"/>
        <w:rPr>
          <w:rFonts w:ascii="仿宋" w:hAnsi="仿宋" w:eastAsia="仿宋" w:cs="仿宋"/>
          <w:sz w:val="24"/>
          <w:szCs w:val="24"/>
        </w:rPr>
      </w:pPr>
    </w:p>
    <w:p w14:paraId="5EAEDD66">
      <w:pPr>
        <w:spacing w:line="560" w:lineRule="exact"/>
        <w:rPr>
          <w:rFonts w:ascii="仿宋" w:hAnsi="仿宋" w:eastAsia="仿宋" w:cs="仿宋"/>
          <w:sz w:val="24"/>
          <w:szCs w:val="24"/>
        </w:rPr>
      </w:pPr>
    </w:p>
    <w:p w14:paraId="757068BE">
      <w:pPr>
        <w:spacing w:line="560" w:lineRule="exact"/>
        <w:rPr>
          <w:rFonts w:ascii="仿宋" w:hAnsi="仿宋" w:eastAsia="仿宋" w:cs="仿宋"/>
          <w:sz w:val="24"/>
          <w:szCs w:val="24"/>
        </w:rPr>
      </w:pPr>
    </w:p>
    <w:p w14:paraId="746F474B">
      <w:pPr>
        <w:spacing w:line="560" w:lineRule="exact"/>
        <w:rPr>
          <w:rFonts w:ascii="仿宋" w:hAnsi="仿宋" w:eastAsia="仿宋" w:cs="仿宋"/>
          <w:sz w:val="24"/>
          <w:szCs w:val="24"/>
        </w:rPr>
      </w:pPr>
    </w:p>
    <w:p w14:paraId="6C0EF544">
      <w:pPr>
        <w:spacing w:line="560" w:lineRule="exact"/>
        <w:rPr>
          <w:rFonts w:ascii="仿宋" w:hAnsi="仿宋" w:eastAsia="仿宋" w:cs="仿宋"/>
          <w:sz w:val="24"/>
          <w:szCs w:val="24"/>
        </w:rPr>
      </w:pPr>
    </w:p>
    <w:p w14:paraId="14E416A2">
      <w:pPr>
        <w:spacing w:line="560" w:lineRule="exact"/>
        <w:rPr>
          <w:rFonts w:ascii="仿宋" w:hAnsi="仿宋" w:eastAsia="仿宋" w:cs="仿宋"/>
          <w:sz w:val="24"/>
          <w:szCs w:val="24"/>
        </w:rPr>
      </w:pPr>
    </w:p>
    <w:p w14:paraId="0D45121B">
      <w:pPr>
        <w:autoSpaceDE/>
        <w:autoSpaceDN/>
        <w:spacing w:before="240" w:beforeLines="100" w:after="240" w:afterLines="100" w:line="560" w:lineRule="exact"/>
        <w:jc w:val="both"/>
        <w:rPr>
          <w:rFonts w:ascii="仿宋" w:hAnsi="仿宋" w:eastAsia="仿宋" w:cs="仿宋"/>
          <w:b/>
          <w:bCs/>
          <w:sz w:val="44"/>
          <w:szCs w:val="44"/>
        </w:rPr>
      </w:pPr>
    </w:p>
    <w:p w14:paraId="2DD453B3">
      <w:pPr>
        <w:spacing w:line="560" w:lineRule="exact"/>
        <w:jc w:val="center"/>
        <w:rPr>
          <w:rFonts w:ascii="仿宋" w:hAnsi="仿宋" w:eastAsia="仿宋" w:cs="仿宋"/>
          <w:b/>
          <w:bCs/>
          <w:sz w:val="44"/>
          <w:szCs w:val="44"/>
        </w:rPr>
      </w:pPr>
    </w:p>
    <w:p w14:paraId="6AF3C244">
      <w:pPr>
        <w:spacing w:line="560" w:lineRule="exact"/>
        <w:jc w:val="center"/>
        <w:rPr>
          <w:rFonts w:ascii="仿宋" w:hAnsi="仿宋" w:eastAsia="仿宋" w:cs="仿宋"/>
          <w:b/>
          <w:bCs/>
          <w:sz w:val="44"/>
          <w:szCs w:val="44"/>
        </w:rPr>
      </w:pPr>
    </w:p>
    <w:p w14:paraId="58D9BD95">
      <w:pPr>
        <w:spacing w:line="560" w:lineRule="exact"/>
        <w:jc w:val="center"/>
        <w:rPr>
          <w:rFonts w:ascii="仿宋" w:hAnsi="仿宋" w:eastAsia="仿宋" w:cs="仿宋"/>
          <w:sz w:val="24"/>
          <w:szCs w:val="24"/>
          <w:lang w:eastAsia="zh-CN"/>
        </w:rPr>
      </w:pPr>
      <w:r>
        <w:rPr>
          <w:rFonts w:hint="eastAsia" w:ascii="仿宋" w:hAnsi="仿宋" w:eastAsia="仿宋" w:cs="仿宋"/>
          <w:b/>
          <w:bCs/>
          <w:sz w:val="44"/>
          <w:szCs w:val="44"/>
          <w:lang w:eastAsia="zh-CN"/>
        </w:rPr>
        <w:t>诚信登记/申报告知书</w:t>
      </w:r>
    </w:p>
    <w:p w14:paraId="344AD5D8">
      <w:pPr>
        <w:spacing w:before="240" w:beforeLines="100" w:line="560" w:lineRule="exact"/>
        <w:rPr>
          <w:rFonts w:ascii="仿宋" w:hAnsi="仿宋" w:eastAsia="仿宋" w:cs="仿宋"/>
          <w:b/>
          <w:bCs/>
          <w:sz w:val="24"/>
          <w:szCs w:val="24"/>
          <w:lang w:eastAsia="zh-CN"/>
        </w:rPr>
      </w:pPr>
      <w:r>
        <w:rPr>
          <w:rFonts w:hint="eastAsia" w:ascii="仿宋" w:hAnsi="仿宋" w:eastAsia="仿宋" w:cs="仿宋"/>
          <w:b/>
          <w:bCs/>
          <w:sz w:val="24"/>
          <w:szCs w:val="24"/>
          <w:lang w:eastAsia="zh-CN"/>
        </w:rPr>
        <w:t>各位登记/申报人：</w:t>
      </w:r>
    </w:p>
    <w:p w14:paraId="35FA9BB5">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为维护司法秩序，保护公民、法人和其他组织合法权益，帮助债权人避免登记/申报风险，减少不必要的损失，根据《中华人民共和国企业破产法》、《中华人民共和国刑法》以及最高人民法院、最高人民检察院《关于办理虚假诉讼刑事案件适用法律若干问题的解释》等规定，现将虚假登记/申报风险告知如下：</w:t>
      </w:r>
    </w:p>
    <w:p w14:paraId="6A34393B">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一、登记/申报债权时不得恶意串通、规避法律，不得损害国家利益、社会公共利益、第三人合法权益，不得以合法形式掩盖非法目的，如果因虚假登记/申报而给债务人、其他债权人或任何第三人造成损害的，需承担相应责任。</w:t>
      </w:r>
    </w:p>
    <w:p w14:paraId="70847B6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二、在破产案件审理过程中登记/申报捏造的债权，妨害司法秩序或者严重侵害他人合法权益的，处三年以下有期徒刑、拘役或者管制，并处或者单处罚金；情节严重的，处三年以上七年以下有期徒刑，并处罚金。单位犯前款罪的，对单位判处罚金，并对其直接负责的主管人员和其他直接责任人员，依照前款的规定处罚。</w:t>
      </w:r>
    </w:p>
    <w:p w14:paraId="257EF8A2">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三、采取伪造证据、虚假陈述等手段，实施下列行为之一，捏造民事法律关系，虚构民事纠纷，向临时管理人登记/申报债权的，应当认定为“在破产案件审理过程中登记/申报捏造的债权”，具体包括：</w:t>
      </w:r>
    </w:p>
    <w:p w14:paraId="13152D01">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1.与他人恶意串通，捏造债权债务关系或以物抵债协议的；</w:t>
      </w:r>
    </w:p>
    <w:p w14:paraId="2E6C442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2.与债务人、债务人的法定代表人、董事、监事、经理或者其他临时管理人员恶意串通，捏造公司、企业债务或者担保义务的；</w:t>
      </w:r>
    </w:p>
    <w:p w14:paraId="0A7F35E8">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3.与债务人及相关人员恶意串通，捏造债权或者对查封、扣押、冻结财产的优先权、担保物权的；</w:t>
      </w:r>
    </w:p>
    <w:p w14:paraId="4D43BF6D">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4.隐瞒债务偿还情况导致债权金额虚增的；</w:t>
      </w:r>
    </w:p>
    <w:p w14:paraId="3B1390A4">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5.以捏造的事实作出的仲裁裁决、公证债权文书或其他法律文书登记/申报债权的；</w:t>
      </w:r>
    </w:p>
    <w:p w14:paraId="78A0A77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6.其他依法应当被认定为捏造的债权。</w:t>
      </w:r>
    </w:p>
    <w:p w14:paraId="4645496F">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四、代理人与他人通谋，代理虚假登记/申报债权、故意作虚假证言，构成违法犯罪的，依法处理。</w:t>
      </w:r>
    </w:p>
    <w:p w14:paraId="6B1F12FE">
      <w:pPr>
        <w:spacing w:line="560" w:lineRule="exact"/>
        <w:jc w:val="right"/>
        <w:rPr>
          <w:rFonts w:ascii="仿宋" w:hAnsi="仿宋" w:eastAsia="仿宋" w:cs="仿宋"/>
          <w:sz w:val="24"/>
          <w:szCs w:val="24"/>
          <w:lang w:eastAsia="zh-CN"/>
        </w:rPr>
      </w:pPr>
      <w:r>
        <w:rPr>
          <w:rFonts w:hint="eastAsia" w:ascii="仿宋" w:hAnsi="仿宋" w:eastAsia="仿宋" w:cs="仿宋"/>
          <w:sz w:val="24"/>
          <w:szCs w:val="24"/>
          <w:lang w:eastAsia="zh-CN"/>
        </w:rPr>
        <w:t>成都达江装饰材料有限公司、崇州市听江热压板厂临时管理人</w:t>
      </w:r>
    </w:p>
    <w:p w14:paraId="22289B27">
      <w:pPr>
        <w:spacing w:line="560" w:lineRule="exact"/>
        <w:jc w:val="right"/>
        <w:rPr>
          <w:rFonts w:ascii="仿宋" w:hAnsi="仿宋" w:eastAsia="仿宋" w:cs="仿宋"/>
          <w:b/>
          <w:bCs/>
          <w:sz w:val="44"/>
          <w:szCs w:val="44"/>
        </w:rPr>
      </w:pPr>
      <w:r>
        <w:rPr>
          <w:rFonts w:hint="eastAsia" w:ascii="仿宋" w:hAnsi="仿宋" w:eastAsia="仿宋" w:cs="仿宋"/>
          <w:sz w:val="24"/>
          <w:szCs w:val="24"/>
        </w:rPr>
        <w:t>二〇二五年</w:t>
      </w:r>
      <w:r>
        <w:rPr>
          <w:rFonts w:hint="eastAsia" w:ascii="仿宋" w:hAnsi="仿宋" w:eastAsia="仿宋" w:cs="仿宋"/>
          <w:sz w:val="24"/>
          <w:szCs w:val="24"/>
          <w:lang w:eastAsia="zh-CN"/>
        </w:rPr>
        <w:t>十二</w:t>
      </w:r>
      <w:r>
        <w:rPr>
          <w:rFonts w:hint="eastAsia" w:ascii="仿宋" w:hAnsi="仿宋" w:eastAsia="仿宋" w:cs="仿宋"/>
          <w:sz w:val="24"/>
          <w:szCs w:val="24"/>
        </w:rPr>
        <w:t>月十五日</w:t>
      </w:r>
    </w:p>
    <w:p w14:paraId="0AD4EAD5">
      <w:pPr>
        <w:autoSpaceDE/>
        <w:autoSpaceDN/>
        <w:spacing w:after="120" w:afterLines="50" w:line="560" w:lineRule="exact"/>
        <w:jc w:val="center"/>
        <w:rPr>
          <w:rFonts w:ascii="仿宋" w:hAnsi="仿宋" w:eastAsia="仿宋" w:cs="仿宋"/>
          <w:b/>
          <w:bCs/>
          <w:sz w:val="44"/>
          <w:szCs w:val="44"/>
          <w:lang w:eastAsia="zh-CN"/>
        </w:rPr>
      </w:pPr>
      <w:r>
        <w:rPr>
          <w:rFonts w:hint="eastAsia" w:ascii="仿宋" w:hAnsi="仿宋" w:eastAsia="仿宋" w:cs="仿宋"/>
          <w:b/>
          <w:bCs/>
          <w:sz w:val="44"/>
          <w:szCs w:val="44"/>
          <w:lang w:eastAsia="zh-CN"/>
        </w:rPr>
        <w:t>债权登记/申报确认及承诺书</w:t>
      </w:r>
    </w:p>
    <w:p w14:paraId="2541A1AE">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本人/单位已认真、仔细阅读《债权登记/申报通知书》，对其意思表示已清楚明白。本次登记/申报已将本人/单位享有的全部债权登记/申报完毕，本次登记/申报的债权真实、有效，不存在任何遗漏或虚假的情况。同时，本人/单位已接收临时管理人提供的受理预重整的《决定书》、指定临时管理人《决定书》及《关于成都达江装饰材料有限公司、崇州市听江热压板厂债权及未履行完毕合同登记/申报的公告》等必要文件，特此确认。</w:t>
      </w:r>
    </w:p>
    <w:p w14:paraId="61E461CE">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本人/本单位已仔细阅读《诚信登记/申报告知书》，清楚并理解其内容。在此，本人/本单位郑重承诺：</w:t>
      </w:r>
    </w:p>
    <w:p w14:paraId="118914A0">
      <w:pPr>
        <w:spacing w:line="5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一、本人/本单位同意在法院正式裁定受理破产重整后本次预重整阶段的债权登记资料视为破产重整阶段的债权申报材料，预重整阶段的临时管理人作为破产重整阶段的管理人。</w:t>
      </w:r>
    </w:p>
    <w:p w14:paraId="52E8EA1B">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二、本人/本单位保证提交债权登记/申报的证据材料内容真实，不存在伪造、变造、隐匿证据等虚假情形。</w:t>
      </w:r>
    </w:p>
    <w:p w14:paraId="4C69FF8D">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三、本人/本单位保证在临时管理人债权审查、债权确认之诉（如提起）及其他一切破产程序相关活动中坚决杜绝虚假陈述、隐瞒关键事实、虚假登记/申报、滥用诉权等不诚信登记/申报行为的发生，并自愿配合临时管理人对于登记/申报债权相关事实调查所可能提出的询问、补证程序，如有违反或隐瞒则自愿承担债权不被确认等不利后果。</w:t>
      </w:r>
    </w:p>
    <w:p w14:paraId="197D93B9">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四、截至提交债权登记/申报材料之日，本人/本单位的债权清偿情况已在债权登记/申报表或其他纸质文件中详细的明确告知临时管理人；若有（代位）清偿，本人/本单位亦已在债权登记/申报表或其他纸质文件中明确将还款人、还款金额、还款日期、偿还种类等信息告知了临时管理人；</w:t>
      </w:r>
    </w:p>
    <w:p w14:paraId="0198EF5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五、如在提交债权登记/申报材料后，有债务人或其他债务人、第三人向本人/本单位进行清偿的，本人（公司）会及时将受偿情况如实向临时管理人告知；</w:t>
      </w:r>
    </w:p>
    <w:p w14:paraId="63226286">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六、本人/本单位登记/申报的债权不存在任何最高人民法院、最高人民检察院、公安部、司法部《关于办理非法放贷刑事案件若干问题的意见》规制的非法放贷及其他违法犯罪活动。</w:t>
      </w:r>
    </w:p>
    <w:p w14:paraId="392A95EF">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七、本人/本单位债权登记/申报文书上的签名、印章真实，证据材料内容真实，所提供的本人/本单位和其他当事人的信息属实，且不存在任何《诚信登记/申报告知书》中告知的“虚假登记/申报”等违法违规情形。</w:t>
      </w:r>
    </w:p>
    <w:p w14:paraId="31C6BC4E">
      <w:pPr>
        <w:spacing w:line="5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八、若违反以上承诺，本人/本单位愿意承担相应的法律责任。</w:t>
      </w:r>
    </w:p>
    <w:p w14:paraId="3032C4F1">
      <w:pPr>
        <w:spacing w:line="56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承诺人</w:t>
      </w:r>
      <w:r>
        <w:rPr>
          <w:rFonts w:hint="eastAsia" w:ascii="仿宋" w:hAnsi="仿宋" w:eastAsia="仿宋" w:cs="仿宋"/>
          <w:b/>
          <w:bCs/>
          <w:sz w:val="24"/>
          <w:szCs w:val="24"/>
          <w:lang w:eastAsia="zh-CN"/>
        </w:rPr>
        <w:t>：</w:t>
      </w:r>
      <w:r>
        <w:rPr>
          <w:rFonts w:hint="eastAsia" w:ascii="仿宋" w:hAnsi="仿宋" w:eastAsia="仿宋" w:cs="仿宋"/>
          <w:b/>
          <w:bCs/>
          <w:sz w:val="24"/>
          <w:szCs w:val="24"/>
        </w:rPr>
        <w:t xml:space="preserve">                          日期：</w:t>
      </w:r>
    </w:p>
    <w:sectPr>
      <w:headerReference r:id="rId3" w:type="default"/>
      <w:pgSz w:w="11907" w:h="16839"/>
      <w:pgMar w:top="400" w:right="1075" w:bottom="0" w:left="1087"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0EB4F">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59621E"/>
    <w:rsid w:val="00820BA3"/>
    <w:rsid w:val="00A85568"/>
    <w:rsid w:val="00EF3094"/>
    <w:rsid w:val="0A8A2498"/>
    <w:rsid w:val="10C06C14"/>
    <w:rsid w:val="1F9E4BCD"/>
    <w:rsid w:val="22372AAE"/>
    <w:rsid w:val="31336B36"/>
    <w:rsid w:val="4941601F"/>
    <w:rsid w:val="49C10D2B"/>
    <w:rsid w:val="5AAE2453"/>
    <w:rsid w:val="5C690806"/>
    <w:rsid w:val="63A97528"/>
    <w:rsid w:val="722C0B88"/>
    <w:rsid w:val="74733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style>
  <w:style w:type="paragraph" w:styleId="3">
    <w:name w:val="Body Text"/>
    <w:basedOn w:val="1"/>
    <w:semiHidden/>
    <w:qFormat/>
    <w:uiPriority w:val="0"/>
    <w:rPr>
      <w:rFonts w:ascii="宋体" w:hAnsi="宋体" w:eastAsia="宋体" w:cs="宋体"/>
      <w:sz w:val="24"/>
      <w:szCs w:val="24"/>
    </w:rPr>
  </w:style>
  <w:style w:type="character" w:styleId="6">
    <w:name w:val="Hyperlink"/>
    <w:basedOn w:val="5"/>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4693</Words>
  <Characters>4881</Characters>
  <Lines>36</Lines>
  <Paragraphs>10</Paragraphs>
  <TotalTime>17</TotalTime>
  <ScaleCrop>false</ScaleCrop>
  <LinksUpToDate>false</LinksUpToDate>
  <CharactersWithSpaces>4977</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2025-12-11T09:40:00Z</dcterms:created>
  <dc:creator>LJ</dc:creator>
  <cp:lastModifiedBy>LJ</cp:lastModifiedBy>
  <dcterms:modified xsi:type="dcterms:W3CDTF">2025-12-15T02:48:53Z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3E876AE8178C491DB06E68E3CCED7C6A_11</vt:lpwstr>
  </property>
  <property fmtid="{D5CDD505-2E9C-101B-9397-08002B2CF9AE}" pid="4" name="KSOTemplateDocerSaveRecord">
    <vt:lpwstr>eyJoZGlkIjoiOTg5M2ViZWJmZTFlNmY1YjFlNjVkODc3YmU4MTc3MDYiLCJ1c2VySWQiOiI0OTkwNTcxMDMifQ==</vt:lpwstr>
  </property>
</Properties>
</file>