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0E55EE">
      <w:pPr>
        <w:pStyle w:val="7"/>
        <w:spacing w:line="240" w:lineRule="auto"/>
        <w:jc w:val="center"/>
        <w:rPr>
          <w:rFonts w:hint="eastAsia" w:ascii="方正小标宋简体" w:hAnsi="方正小标宋简体" w:eastAsia="方正小标宋简体" w:cs="方正小标宋简体"/>
          <w:b w:val="0"/>
          <w:bCs/>
          <w:sz w:val="44"/>
          <w:szCs w:val="44"/>
        </w:rPr>
      </w:pPr>
      <w:bookmarkStart w:id="0" w:name="_GoBack"/>
      <w:bookmarkEnd w:id="0"/>
      <w:r>
        <w:rPr>
          <w:rFonts w:hint="eastAsia" w:ascii="方正小标宋简体" w:hAnsi="方正小标宋简体" w:eastAsia="方正小标宋简体" w:cs="方正小标宋简体"/>
          <w:b w:val="0"/>
          <w:bCs/>
          <w:sz w:val="44"/>
          <w:szCs w:val="44"/>
        </w:rPr>
        <w:t>陕西丰仓原粮食产业开发有限公司</w:t>
      </w:r>
    </w:p>
    <w:p w14:paraId="0E0B01C3">
      <w:pPr>
        <w:pStyle w:val="7"/>
        <w:spacing w:line="240" w:lineRule="auto"/>
        <w:jc w:val="center"/>
        <w:rPr>
          <w:rFonts w:hint="default"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预重整方案</w:t>
      </w:r>
    </w:p>
    <w:p w14:paraId="6D55C65C">
      <w:pPr>
        <w:pStyle w:val="7"/>
        <w:spacing w:line="360" w:lineRule="auto"/>
        <w:ind w:firstLine="560" w:firstLineChars="200"/>
        <w:rPr>
          <w:rFonts w:ascii="仿宋_GB2312" w:hAnsi="仿宋_GB2312" w:eastAsia="仿宋_GB2312" w:cs="仿宋_GB2312"/>
          <w:color w:val="000000"/>
          <w:sz w:val="28"/>
        </w:rPr>
      </w:pPr>
    </w:p>
    <w:p w14:paraId="11F42D11">
      <w:pPr>
        <w:pStyle w:val="7"/>
        <w:spacing w:line="360" w:lineRule="auto"/>
        <w:ind w:firstLine="560" w:firstLineChars="200"/>
        <w:rPr>
          <w:rFonts w:hint="eastAsia" w:ascii="黑体" w:hAnsi="黑体" w:eastAsia="黑体" w:cs="黑体"/>
        </w:rPr>
      </w:pPr>
      <w:r>
        <w:rPr>
          <w:rFonts w:hint="eastAsia" w:ascii="黑体" w:hAnsi="黑体" w:eastAsia="黑体" w:cs="黑体"/>
          <w:color w:val="000000"/>
          <w:sz w:val="28"/>
          <w:lang w:val="en-US" w:eastAsia="zh-CN"/>
        </w:rPr>
        <w:t>一、</w:t>
      </w:r>
      <w:r>
        <w:rPr>
          <w:rFonts w:hint="eastAsia" w:ascii="黑体" w:hAnsi="黑体" w:eastAsia="黑体" w:cs="黑体"/>
          <w:color w:val="000000"/>
          <w:sz w:val="28"/>
        </w:rPr>
        <w:t>定义与解释</w:t>
      </w:r>
    </w:p>
    <w:p w14:paraId="18880C74">
      <w:pPr>
        <w:pStyle w:val="7"/>
        <w:spacing w:line="360" w:lineRule="auto"/>
        <w:ind w:firstLine="560" w:firstLineChars="200"/>
        <w:rPr>
          <w:rFonts w:ascii="仿宋_GB2312" w:hAnsi="仿宋_GB2312" w:eastAsia="仿宋_GB2312" w:cs="仿宋_GB2312"/>
          <w:color w:val="000000"/>
          <w:sz w:val="28"/>
        </w:rPr>
      </w:pPr>
      <w:r>
        <w:rPr>
          <w:rFonts w:hint="eastAsia" w:cs="仿宋_GB2312"/>
          <w:color w:val="000000"/>
          <w:sz w:val="28"/>
          <w:lang w:val="en-US" w:eastAsia="zh-CN"/>
        </w:rPr>
        <w:t>1、</w:t>
      </w:r>
      <w:r>
        <w:rPr>
          <w:rFonts w:ascii="仿宋_GB2312" w:hAnsi="仿宋_GB2312" w:eastAsia="仿宋_GB2312" w:cs="仿宋_GB2312"/>
          <w:color w:val="000000"/>
          <w:sz w:val="28"/>
        </w:rPr>
        <w:t>术语定义</w:t>
      </w:r>
    </w:p>
    <w:p w14:paraId="748C41D7">
      <w:pPr>
        <w:pStyle w:val="7"/>
        <w:spacing w:line="360" w:lineRule="auto"/>
        <w:ind w:firstLine="560" w:firstLineChars="200"/>
        <w:rPr>
          <w:rFonts w:hint="eastAsia" w:eastAsia="仿宋_GB2312"/>
          <w:lang w:val="en-US" w:eastAsia="zh-CN"/>
        </w:rPr>
      </w:pPr>
      <w:r>
        <w:rPr>
          <w:rFonts w:hint="eastAsia" w:ascii="仿宋_GB2312" w:hAnsi="仿宋_GB2312" w:eastAsia="仿宋_GB2312" w:cs="仿宋_GB2312"/>
          <w:color w:val="000000"/>
          <w:sz w:val="28"/>
          <w:szCs w:val="24"/>
          <w:lang w:val="en-US" w:eastAsia="zh-CN" w:bidi="ar-SA"/>
        </w:rPr>
        <w:t>本草案中所使用的相关术语，定义如下：（1）“债务人”指预重整公司陕西丰仓原粮食产业开发有限公司。（2）“投资人”指徐州普方工艺品有限公司，包括其指定的出资主体。（3）“预重整程序”指在渭南市中级人民法院</w:t>
      </w:r>
      <w:r>
        <w:rPr>
          <w:rFonts w:hint="eastAsia" w:cs="仿宋_GB2312"/>
          <w:color w:val="000000"/>
          <w:sz w:val="28"/>
          <w:szCs w:val="24"/>
          <w:lang w:val="en-US" w:eastAsia="zh-CN" w:bidi="ar-SA"/>
        </w:rPr>
        <w:t>指导</w:t>
      </w:r>
      <w:r>
        <w:rPr>
          <w:rFonts w:hint="eastAsia" w:ascii="仿宋_GB2312" w:hAnsi="仿宋_GB2312" w:eastAsia="仿宋_GB2312" w:cs="仿宋_GB2312"/>
          <w:color w:val="000000"/>
          <w:sz w:val="28"/>
          <w:szCs w:val="24"/>
          <w:lang w:val="en-US" w:eastAsia="zh-CN" w:bidi="ar-SA"/>
        </w:rPr>
        <w:t>和临时管理人协助下，债权人与债务人、出资人、意向投资人等利害关系人就债务清理、营业调整等事项进行自主协商的法律程序。（4）“担保债权”指以债务人资产设定担保的债权，包括但不限于</w:t>
      </w:r>
      <w:r>
        <w:rPr>
          <w:rFonts w:hint="eastAsia" w:cs="仿宋_GB2312"/>
          <w:color w:val="000000"/>
          <w:sz w:val="28"/>
          <w:szCs w:val="24"/>
          <w:lang w:val="en-US" w:eastAsia="zh-CN" w:bidi="ar-SA"/>
        </w:rPr>
        <w:t>建设工程价款优先受偿权、不动产及动产抵押担保债权、权利质押担保债权等</w:t>
      </w:r>
      <w:r>
        <w:rPr>
          <w:rFonts w:hint="eastAsia" w:ascii="仿宋_GB2312" w:hAnsi="仿宋_GB2312" w:eastAsia="仿宋_GB2312" w:cs="仿宋_GB2312"/>
          <w:color w:val="000000"/>
          <w:sz w:val="28"/>
          <w:szCs w:val="24"/>
          <w:lang w:val="en-US" w:eastAsia="zh-CN" w:bidi="ar-SA"/>
        </w:rPr>
        <w:t>。（5）“职工债权”</w:t>
      </w:r>
      <w:r>
        <w:rPr>
          <w:rFonts w:hint="eastAsia" w:cs="仿宋_GB2312"/>
          <w:color w:val="000000"/>
          <w:sz w:val="28"/>
          <w:szCs w:val="24"/>
          <w:lang w:val="en-US" w:eastAsia="zh-CN" w:bidi="ar-SA"/>
        </w:rPr>
        <w:t>指债务人</w:t>
      </w:r>
      <w:r>
        <w:rPr>
          <w:rFonts w:hint="eastAsia" w:ascii="仿宋_GB2312" w:hAnsi="仿宋_GB2312" w:eastAsia="仿宋_GB2312" w:cs="仿宋_GB2312"/>
          <w:color w:val="000000"/>
          <w:sz w:val="28"/>
          <w:szCs w:val="24"/>
          <w:lang w:val="en-US" w:eastAsia="zh-CN" w:bidi="ar-SA"/>
        </w:rPr>
        <w:t>所欠职工的工资和医疗、伤残补助、抚恤费用，以及法律、行政法规规定应当支付给职工的补偿金；</w:t>
      </w:r>
      <w:r>
        <w:rPr>
          <w:rFonts w:ascii="仿宋_GB2312" w:hAnsi="仿宋_GB2312" w:eastAsia="仿宋_GB2312" w:cs="仿宋_GB2312"/>
          <w:color w:val="000000"/>
          <w:sz w:val="28"/>
        </w:rPr>
        <w:t>（6）“破产费用和共益债务”指重整程序中依法应支付的费用，包括管理人报酬、诉讼费、公证费、评估费、公告费等，以及为维持企业运营、保护资产等发生的合理费用。（7）“普通债权”指除担保债权、职工债权、税款、破产费用和共益债务以外的其他债权。（</w:t>
      </w:r>
      <w:r>
        <w:rPr>
          <w:rFonts w:hint="eastAsia" w:cs="仿宋_GB2312"/>
          <w:color w:val="000000"/>
          <w:sz w:val="28"/>
          <w:lang w:val="en-US" w:eastAsia="zh-CN"/>
        </w:rPr>
        <w:t>8</w:t>
      </w:r>
      <w:r>
        <w:rPr>
          <w:rFonts w:ascii="仿宋_GB2312" w:hAnsi="仿宋_GB2312" w:eastAsia="仿宋_GB2312" w:cs="仿宋_GB2312"/>
          <w:color w:val="000000"/>
          <w:sz w:val="28"/>
        </w:rPr>
        <w:t>）“清偿比例”指债权人实际获得清偿金额与</w:t>
      </w:r>
      <w:r>
        <w:rPr>
          <w:rFonts w:hint="eastAsia" w:cs="仿宋_GB2312"/>
          <w:color w:val="000000"/>
          <w:sz w:val="28"/>
          <w:lang w:val="en-US" w:eastAsia="zh-CN"/>
        </w:rPr>
        <w:t>人民法院裁定确认的其</w:t>
      </w:r>
      <w:r>
        <w:rPr>
          <w:rFonts w:ascii="仿宋_GB2312" w:hAnsi="仿宋_GB2312" w:eastAsia="仿宋_GB2312" w:cs="仿宋_GB2312"/>
          <w:color w:val="000000"/>
          <w:sz w:val="28"/>
        </w:rPr>
        <w:t>债权</w:t>
      </w:r>
      <w:r>
        <w:rPr>
          <w:rFonts w:hint="eastAsia" w:cs="仿宋_GB2312"/>
          <w:color w:val="000000"/>
          <w:sz w:val="28"/>
          <w:lang w:val="en-US" w:eastAsia="zh-CN"/>
        </w:rPr>
        <w:t>总</w:t>
      </w:r>
      <w:r>
        <w:rPr>
          <w:rFonts w:ascii="仿宋_GB2312" w:hAnsi="仿宋_GB2312" w:eastAsia="仿宋_GB2312" w:cs="仿宋_GB2312"/>
          <w:color w:val="000000"/>
          <w:sz w:val="28"/>
        </w:rPr>
        <w:t>额的比值。（</w:t>
      </w:r>
      <w:r>
        <w:rPr>
          <w:rFonts w:hint="eastAsia" w:cs="仿宋_GB2312"/>
          <w:color w:val="000000"/>
          <w:sz w:val="28"/>
          <w:lang w:val="en-US" w:eastAsia="zh-CN"/>
        </w:rPr>
        <w:t>9</w:t>
      </w:r>
      <w:r>
        <w:rPr>
          <w:rFonts w:ascii="仿宋_GB2312" w:hAnsi="仿宋_GB2312" w:eastAsia="仿宋_GB2312" w:cs="仿宋_GB2312"/>
          <w:color w:val="000000"/>
          <w:sz w:val="28"/>
        </w:rPr>
        <w:t>）“</w:t>
      </w:r>
      <w:r>
        <w:rPr>
          <w:rFonts w:hint="eastAsia" w:cs="仿宋_GB2312"/>
          <w:color w:val="000000"/>
          <w:sz w:val="28"/>
          <w:lang w:val="en-US" w:eastAsia="zh-CN"/>
        </w:rPr>
        <w:t>临时</w:t>
      </w:r>
      <w:r>
        <w:rPr>
          <w:rFonts w:ascii="仿宋_GB2312" w:hAnsi="仿宋_GB2312" w:eastAsia="仿宋_GB2312" w:cs="仿宋_GB2312"/>
          <w:color w:val="000000"/>
          <w:sz w:val="28"/>
        </w:rPr>
        <w:t>管理人”指人民法院指定的</w:t>
      </w:r>
      <w:r>
        <w:rPr>
          <w:rFonts w:hint="eastAsia" w:cs="仿宋_GB2312"/>
          <w:color w:val="000000"/>
          <w:sz w:val="28"/>
          <w:lang w:val="en-US" w:eastAsia="zh-CN"/>
        </w:rPr>
        <w:t>预</w:t>
      </w:r>
      <w:r>
        <w:rPr>
          <w:rFonts w:ascii="仿宋_GB2312" w:hAnsi="仿宋_GB2312" w:eastAsia="仿宋_GB2312" w:cs="仿宋_GB2312"/>
          <w:color w:val="000000"/>
          <w:sz w:val="28"/>
        </w:rPr>
        <w:t>重整</w:t>
      </w:r>
      <w:r>
        <w:rPr>
          <w:rFonts w:hint="eastAsia" w:cs="仿宋_GB2312"/>
          <w:color w:val="000000"/>
          <w:sz w:val="28"/>
          <w:lang w:val="en-US" w:eastAsia="zh-CN"/>
        </w:rPr>
        <w:t>临时</w:t>
      </w:r>
      <w:r>
        <w:rPr>
          <w:rFonts w:ascii="仿宋_GB2312" w:hAnsi="仿宋_GB2312" w:eastAsia="仿宋_GB2312" w:cs="仿宋_GB2312"/>
          <w:color w:val="000000"/>
          <w:sz w:val="28"/>
        </w:rPr>
        <w:t>管理人。</w:t>
      </w:r>
    </w:p>
    <w:p w14:paraId="67D6F8BC">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解释原则</w:t>
      </w:r>
    </w:p>
    <w:p w14:paraId="377E48EA">
      <w:pPr>
        <w:pStyle w:val="7"/>
        <w:spacing w:line="360" w:lineRule="auto"/>
        <w:ind w:firstLine="560" w:firstLineChars="200"/>
      </w:pPr>
      <w:r>
        <w:rPr>
          <w:rFonts w:ascii="仿宋_GB2312" w:hAnsi="仿宋_GB2312" w:eastAsia="仿宋_GB2312" w:cs="仿宋_GB2312"/>
          <w:color w:val="000000"/>
          <w:sz w:val="28"/>
        </w:rPr>
        <w:t>本</w:t>
      </w:r>
      <w:r>
        <w:rPr>
          <w:rFonts w:hint="eastAsia" w:cs="仿宋_GB2312"/>
          <w:color w:val="000000"/>
          <w:sz w:val="28"/>
          <w:lang w:val="en-US" w:eastAsia="zh-CN"/>
        </w:rPr>
        <w:t>草案</w:t>
      </w:r>
      <w:r>
        <w:rPr>
          <w:rFonts w:ascii="仿宋_GB2312" w:hAnsi="仿宋_GB2312" w:eastAsia="仿宋_GB2312" w:cs="仿宋_GB2312"/>
          <w:color w:val="000000"/>
          <w:sz w:val="28"/>
        </w:rPr>
        <w:t>中所用词语，除另有约定外，均以本条定义为准。如本</w:t>
      </w:r>
      <w:r>
        <w:rPr>
          <w:rFonts w:hint="eastAsia" w:cs="仿宋_GB2312"/>
          <w:color w:val="000000"/>
          <w:sz w:val="28"/>
          <w:lang w:eastAsia="zh-CN"/>
        </w:rPr>
        <w:t>方案</w:t>
      </w:r>
      <w:r>
        <w:rPr>
          <w:rFonts w:ascii="仿宋_GB2312" w:hAnsi="仿宋_GB2312" w:eastAsia="仿宋_GB2312" w:cs="仿宋_GB2312"/>
          <w:color w:val="000000"/>
          <w:sz w:val="28"/>
        </w:rPr>
        <w:t>内容与相关法律法规、</w:t>
      </w:r>
      <w:r>
        <w:rPr>
          <w:rFonts w:hint="eastAsia" w:cs="仿宋_GB2312"/>
          <w:color w:val="000000"/>
          <w:sz w:val="28"/>
          <w:lang w:val="en-US" w:eastAsia="zh-CN"/>
        </w:rPr>
        <w:t>渭南市中级人民</w:t>
      </w:r>
      <w:r>
        <w:rPr>
          <w:rFonts w:ascii="仿宋_GB2312" w:hAnsi="仿宋_GB2312" w:eastAsia="仿宋_GB2312" w:cs="仿宋_GB2312"/>
          <w:color w:val="000000"/>
          <w:sz w:val="28"/>
        </w:rPr>
        <w:t>法院</w:t>
      </w:r>
      <w:r>
        <w:rPr>
          <w:rFonts w:hint="eastAsia" w:cs="仿宋_GB2312"/>
          <w:color w:val="000000"/>
          <w:sz w:val="28"/>
          <w:lang w:val="en-US" w:eastAsia="zh-CN"/>
        </w:rPr>
        <w:t>有关预重整程序的生效法律文书</w:t>
      </w:r>
      <w:r>
        <w:rPr>
          <w:rFonts w:ascii="仿宋_GB2312" w:hAnsi="仿宋_GB2312" w:eastAsia="仿宋_GB2312" w:cs="仿宋_GB2312"/>
          <w:color w:val="000000"/>
          <w:sz w:val="28"/>
        </w:rPr>
        <w:t>有冲突时，以法律法规及</w:t>
      </w:r>
      <w:r>
        <w:rPr>
          <w:rFonts w:hint="eastAsia" w:cs="仿宋_GB2312"/>
          <w:color w:val="000000"/>
          <w:sz w:val="28"/>
          <w:lang w:val="en-US" w:eastAsia="zh-CN"/>
        </w:rPr>
        <w:t>法院生效法律文书</w:t>
      </w:r>
      <w:r>
        <w:rPr>
          <w:rFonts w:ascii="仿宋_GB2312" w:hAnsi="仿宋_GB2312" w:eastAsia="仿宋_GB2312" w:cs="仿宋_GB2312"/>
          <w:color w:val="000000"/>
          <w:sz w:val="28"/>
        </w:rPr>
        <w:t>为准。本</w:t>
      </w:r>
      <w:r>
        <w:rPr>
          <w:rFonts w:hint="eastAsia" w:cs="仿宋_GB2312"/>
          <w:color w:val="000000"/>
          <w:sz w:val="28"/>
          <w:lang w:eastAsia="zh-CN"/>
        </w:rPr>
        <w:t>方案</w:t>
      </w:r>
      <w:r>
        <w:rPr>
          <w:rFonts w:ascii="仿宋_GB2312" w:hAnsi="仿宋_GB2312" w:eastAsia="仿宋_GB2312" w:cs="仿宋_GB2312"/>
          <w:color w:val="000000"/>
          <w:sz w:val="28"/>
        </w:rPr>
        <w:t>所称“日”均为自然日，“元”均指人民币。</w:t>
      </w:r>
    </w:p>
    <w:p w14:paraId="71191F82">
      <w:pPr>
        <w:pStyle w:val="7"/>
        <w:numPr>
          <w:ilvl w:val="0"/>
          <w:numId w:val="1"/>
        </w:numPr>
        <w:spacing w:line="360" w:lineRule="auto"/>
        <w:ind w:firstLine="560" w:firstLineChars="200"/>
        <w:rPr>
          <w:rFonts w:hint="default" w:ascii="黑体" w:hAnsi="黑体" w:eastAsia="黑体" w:cs="黑体"/>
          <w:color w:val="000000"/>
          <w:sz w:val="28"/>
          <w:lang w:val="en-US" w:eastAsia="zh-CN"/>
        </w:rPr>
      </w:pPr>
      <w:r>
        <w:rPr>
          <w:rFonts w:hint="eastAsia" w:ascii="黑体" w:hAnsi="黑体" w:eastAsia="黑体" w:cs="黑体"/>
          <w:color w:val="000000"/>
          <w:sz w:val="28"/>
          <w:lang w:val="en-US" w:eastAsia="zh-CN"/>
        </w:rPr>
        <w:t>投资人信息</w:t>
      </w:r>
    </w:p>
    <w:tbl>
      <w:tblPr>
        <w:tblStyle w:val="5"/>
        <w:tblW w:w="0" w:type="auto"/>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9"/>
        <w:gridCol w:w="6420"/>
      </w:tblGrid>
      <w:tr w14:paraId="144DD972">
        <w:tc>
          <w:tcPr>
            <w:tcW w:w="1859" w:type="dxa"/>
            <w:vAlign w:val="center"/>
          </w:tcPr>
          <w:p w14:paraId="1360B7FF">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名称</w:t>
            </w:r>
          </w:p>
        </w:tc>
        <w:tc>
          <w:tcPr>
            <w:tcW w:w="6420" w:type="dxa"/>
            <w:vAlign w:val="center"/>
          </w:tcPr>
          <w:p w14:paraId="796602E2">
            <w:pPr>
              <w:pStyle w:val="7"/>
              <w:widowControl w:val="0"/>
              <w:numPr>
                <w:ilvl w:val="0"/>
                <w:numId w:val="0"/>
              </w:numPr>
              <w:spacing w:line="360" w:lineRule="auto"/>
              <w:jc w:val="center"/>
              <w:rPr>
                <w:rFonts w:hint="default" w:ascii="仿宋" w:hAnsi="仿宋" w:eastAsia="仿宋" w:cs="仿宋"/>
                <w:color w:val="000000"/>
                <w:sz w:val="28"/>
                <w:lang w:val="en-US" w:eastAsia="zh-CN"/>
              </w:rPr>
            </w:pPr>
            <w:r>
              <w:rPr>
                <w:rFonts w:hint="eastAsia" w:ascii="仿宋" w:hAnsi="仿宋" w:eastAsia="仿宋" w:cs="仿宋"/>
                <w:color w:val="000000"/>
                <w:sz w:val="28"/>
                <w:lang w:val="en-US" w:eastAsia="zh-CN"/>
              </w:rPr>
              <w:t>徐州普方工艺品有限公司</w:t>
            </w:r>
          </w:p>
        </w:tc>
      </w:tr>
      <w:tr w14:paraId="7A14ACE3">
        <w:trPr>
          <w:trHeight w:val="90" w:hRule="atLeast"/>
        </w:trPr>
        <w:tc>
          <w:tcPr>
            <w:tcW w:w="1859" w:type="dxa"/>
            <w:vAlign w:val="center"/>
          </w:tcPr>
          <w:p w14:paraId="7DB373E3">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统一社会信用代码</w:t>
            </w:r>
          </w:p>
        </w:tc>
        <w:tc>
          <w:tcPr>
            <w:tcW w:w="6420" w:type="dxa"/>
            <w:vAlign w:val="center"/>
          </w:tcPr>
          <w:p w14:paraId="624C7C2A">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91320305MAE8625Q2E</w:t>
            </w:r>
          </w:p>
        </w:tc>
      </w:tr>
      <w:tr w14:paraId="443A3E6D">
        <w:tc>
          <w:tcPr>
            <w:tcW w:w="1859" w:type="dxa"/>
            <w:vAlign w:val="center"/>
          </w:tcPr>
          <w:p w14:paraId="3D578D57">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注册资本</w:t>
            </w:r>
          </w:p>
        </w:tc>
        <w:tc>
          <w:tcPr>
            <w:tcW w:w="6420" w:type="dxa"/>
            <w:vAlign w:val="center"/>
          </w:tcPr>
          <w:p w14:paraId="460718D0">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100万元</w:t>
            </w:r>
          </w:p>
        </w:tc>
      </w:tr>
      <w:tr w14:paraId="0D69D6E9">
        <w:tc>
          <w:tcPr>
            <w:tcW w:w="1859" w:type="dxa"/>
            <w:vAlign w:val="center"/>
          </w:tcPr>
          <w:p w14:paraId="61BE2657">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企业类型</w:t>
            </w:r>
          </w:p>
        </w:tc>
        <w:tc>
          <w:tcPr>
            <w:tcW w:w="6420" w:type="dxa"/>
            <w:vAlign w:val="center"/>
          </w:tcPr>
          <w:p w14:paraId="180EDC40">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有限责任公司（自然人投资或控股）</w:t>
            </w:r>
          </w:p>
        </w:tc>
      </w:tr>
      <w:tr w14:paraId="34D823D8">
        <w:tc>
          <w:tcPr>
            <w:tcW w:w="1859" w:type="dxa"/>
            <w:vAlign w:val="center"/>
          </w:tcPr>
          <w:p w14:paraId="69D6A9DD">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法定代表人</w:t>
            </w:r>
          </w:p>
        </w:tc>
        <w:tc>
          <w:tcPr>
            <w:tcW w:w="6420" w:type="dxa"/>
            <w:vAlign w:val="center"/>
          </w:tcPr>
          <w:p w14:paraId="6A39740C">
            <w:pPr>
              <w:pStyle w:val="7"/>
              <w:widowControl w:val="0"/>
              <w:numPr>
                <w:ilvl w:val="0"/>
                <w:numId w:val="0"/>
              </w:numPr>
              <w:spacing w:line="360" w:lineRule="auto"/>
              <w:jc w:val="center"/>
              <w:rPr>
                <w:rFonts w:hint="default" w:ascii="仿宋" w:hAnsi="仿宋" w:eastAsia="仿宋" w:cs="仿宋"/>
                <w:color w:val="000000"/>
                <w:sz w:val="28"/>
                <w:lang w:val="en-US" w:eastAsia="zh-CN"/>
              </w:rPr>
            </w:pPr>
            <w:r>
              <w:rPr>
                <w:rFonts w:hint="eastAsia" w:ascii="仿宋" w:hAnsi="仿宋" w:eastAsia="仿宋" w:cs="仿宋"/>
                <w:color w:val="000000"/>
                <w:sz w:val="28"/>
                <w:lang w:val="en-US" w:eastAsia="zh-CN"/>
              </w:rPr>
              <w:t>闫旭</w:t>
            </w:r>
          </w:p>
        </w:tc>
      </w:tr>
      <w:tr w14:paraId="6BF98EF3">
        <w:tc>
          <w:tcPr>
            <w:tcW w:w="1859" w:type="dxa"/>
            <w:vAlign w:val="center"/>
          </w:tcPr>
          <w:p w14:paraId="1D9E20F6">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股东</w:t>
            </w:r>
          </w:p>
        </w:tc>
        <w:tc>
          <w:tcPr>
            <w:tcW w:w="6420" w:type="dxa"/>
            <w:vAlign w:val="center"/>
          </w:tcPr>
          <w:p w14:paraId="6E7C27F3">
            <w:pPr>
              <w:pStyle w:val="7"/>
              <w:widowControl w:val="0"/>
              <w:numPr>
                <w:ilvl w:val="0"/>
                <w:numId w:val="0"/>
              </w:numPr>
              <w:spacing w:line="360" w:lineRule="auto"/>
              <w:jc w:val="center"/>
              <w:rPr>
                <w:rFonts w:hint="default" w:ascii="仿宋" w:hAnsi="仿宋" w:eastAsia="仿宋" w:cs="仿宋"/>
                <w:color w:val="000000"/>
                <w:sz w:val="28"/>
                <w:lang w:val="en-US" w:eastAsia="zh-CN"/>
              </w:rPr>
            </w:pPr>
            <w:r>
              <w:rPr>
                <w:rFonts w:hint="eastAsia" w:ascii="仿宋" w:hAnsi="仿宋" w:eastAsia="仿宋" w:cs="仿宋"/>
                <w:color w:val="000000"/>
                <w:sz w:val="28"/>
                <w:lang w:val="en-US" w:eastAsia="zh-CN"/>
              </w:rPr>
              <w:t>闫旭（持股比例90%）、刘宜强（持股比例10%）</w:t>
            </w:r>
          </w:p>
        </w:tc>
      </w:tr>
      <w:tr w14:paraId="30BFCF07">
        <w:tc>
          <w:tcPr>
            <w:tcW w:w="1859" w:type="dxa"/>
            <w:vAlign w:val="center"/>
          </w:tcPr>
          <w:p w14:paraId="44362A55">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注册地址</w:t>
            </w:r>
          </w:p>
        </w:tc>
        <w:tc>
          <w:tcPr>
            <w:tcW w:w="6420" w:type="dxa"/>
            <w:vAlign w:val="center"/>
          </w:tcPr>
          <w:p w14:paraId="0625E8CA">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江苏省徐州市贾汪区江庄镇引龙小区北300米</w:t>
            </w:r>
          </w:p>
        </w:tc>
      </w:tr>
      <w:tr w14:paraId="0CA07BAD">
        <w:tc>
          <w:tcPr>
            <w:tcW w:w="1859" w:type="dxa"/>
            <w:vAlign w:val="center"/>
          </w:tcPr>
          <w:p w14:paraId="79DF1755">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经营范围</w:t>
            </w:r>
          </w:p>
        </w:tc>
        <w:tc>
          <w:tcPr>
            <w:tcW w:w="6420" w:type="dxa"/>
            <w:vAlign w:val="center"/>
          </w:tcPr>
          <w:p w14:paraId="6FFD8D7B">
            <w:pPr>
              <w:pStyle w:val="7"/>
              <w:widowControl w:val="0"/>
              <w:numPr>
                <w:ilvl w:val="0"/>
                <w:numId w:val="0"/>
              </w:numPr>
              <w:spacing w:line="360" w:lineRule="auto"/>
              <w:jc w:val="center"/>
              <w:rPr>
                <w:rFonts w:hint="eastAsia" w:ascii="仿宋" w:hAnsi="仿宋" w:eastAsia="仿宋" w:cs="仿宋"/>
                <w:color w:val="000000"/>
                <w:sz w:val="28"/>
                <w:lang w:val="en-US" w:eastAsia="zh-CN"/>
              </w:rPr>
            </w:pPr>
            <w:r>
              <w:rPr>
                <w:rFonts w:hint="eastAsia" w:ascii="仿宋" w:hAnsi="仿宋" w:eastAsia="仿宋" w:cs="仿宋"/>
                <w:color w:val="000000"/>
                <w:sz w:val="28"/>
                <w:lang w:val="en-US" w:eastAsia="zh-CN"/>
              </w:rPr>
              <w:t>一般项目：工艺美术品及礼仪用品制造（象牙及其制品除外）；工艺美术品及收藏品批发（象牙及其制品除外）；工艺美术品及礼仪用品销售（象牙及其制品除外）；服装制造；服饰制造；服装辅料制造；服装服饰批发；服装辅料销售；箱包制造；箱包销售；针纺织品销售；面料纺织加工；鞋制造；鞋帽批发；皮革制品制造；皮革制品销售；羽毛（绒）及制品销售；日用杂品销售；互联网销售（除销售需要许可的商品）；服饰研发；服装、服饰检验、整理服务；鞋帽零售；制鞋原辅材料销售；家用纺织制成品制造；洗烫服务；服装服饰零售；玩具制造；玩具销售；木制玩具制造；木制玩具销售；货物进出口；技术进出口；进出口代理（除依法须经批准的项目外，凭营业执照依法自主开展经营活动）</w:t>
            </w:r>
          </w:p>
        </w:tc>
      </w:tr>
    </w:tbl>
    <w:p w14:paraId="3E8F855C">
      <w:pPr>
        <w:pStyle w:val="7"/>
        <w:numPr>
          <w:ilvl w:val="0"/>
          <w:numId w:val="0"/>
        </w:numPr>
        <w:spacing w:line="360" w:lineRule="auto"/>
        <w:ind w:firstLine="560" w:firstLineChars="200"/>
        <w:rPr>
          <w:rFonts w:hint="default" w:ascii="仿宋" w:hAnsi="仿宋" w:eastAsia="仿宋" w:cs="仿宋"/>
          <w:color w:val="000000"/>
          <w:sz w:val="28"/>
          <w:lang w:val="en-US" w:eastAsia="zh-CN"/>
        </w:rPr>
      </w:pPr>
    </w:p>
    <w:p w14:paraId="3AECAAB4">
      <w:pPr>
        <w:pStyle w:val="7"/>
        <w:spacing w:line="360" w:lineRule="auto"/>
        <w:ind w:firstLine="560" w:firstLineChars="200"/>
        <w:rPr>
          <w:rFonts w:hint="eastAsia" w:ascii="黑体" w:hAnsi="黑体" w:eastAsia="黑体" w:cs="黑体"/>
          <w:color w:val="000000"/>
          <w:sz w:val="28"/>
          <w:lang w:val="en-US" w:eastAsia="zh-CN"/>
        </w:rPr>
      </w:pPr>
      <w:r>
        <w:rPr>
          <w:rFonts w:hint="eastAsia" w:ascii="黑体" w:hAnsi="黑体" w:eastAsia="黑体" w:cs="黑体"/>
          <w:color w:val="000000"/>
          <w:sz w:val="28"/>
          <w:lang w:val="en-US" w:eastAsia="zh-CN"/>
        </w:rPr>
        <w:t>三、</w:t>
      </w:r>
      <w:r>
        <w:rPr>
          <w:rFonts w:hint="eastAsia" w:ascii="黑体" w:hAnsi="黑体" w:eastAsia="黑体" w:cs="黑体"/>
          <w:color w:val="000000"/>
          <w:sz w:val="28"/>
        </w:rPr>
        <w:t>投资金额及支付</w:t>
      </w:r>
      <w:r>
        <w:rPr>
          <w:rFonts w:hint="eastAsia" w:ascii="黑体" w:hAnsi="黑体" w:eastAsia="黑体" w:cs="黑体"/>
          <w:color w:val="000000"/>
          <w:sz w:val="28"/>
          <w:lang w:val="en-US" w:eastAsia="zh-CN"/>
        </w:rPr>
        <w:t>方式</w:t>
      </w:r>
    </w:p>
    <w:p w14:paraId="7F302647">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投资金额</w:t>
      </w:r>
    </w:p>
    <w:p w14:paraId="2C1EF3CB">
      <w:pPr>
        <w:pStyle w:val="7"/>
        <w:spacing w:line="360" w:lineRule="auto"/>
        <w:ind w:firstLine="560" w:firstLineChars="200"/>
        <w:jc w:val="both"/>
        <w:rPr>
          <w:rFonts w:ascii="仿宋_GB2312" w:hAnsi="仿宋_GB2312" w:eastAsia="仿宋_GB2312" w:cs="仿宋_GB2312"/>
          <w:color w:val="000000"/>
          <w:sz w:val="28"/>
          <w:highlight w:val="none"/>
        </w:rPr>
      </w:pPr>
      <w:r>
        <w:rPr>
          <w:rFonts w:hint="eastAsia" w:cs="仿宋_GB2312"/>
          <w:color w:val="000000"/>
          <w:sz w:val="28"/>
          <w:lang w:val="en-US" w:eastAsia="zh-CN"/>
        </w:rPr>
        <w:t>投资人</w:t>
      </w:r>
      <w:r>
        <w:rPr>
          <w:rFonts w:ascii="仿宋_GB2312" w:hAnsi="仿宋_GB2312" w:eastAsia="仿宋_GB2312" w:cs="仿宋_GB2312"/>
          <w:color w:val="000000"/>
          <w:sz w:val="28"/>
        </w:rPr>
        <w:t>拟向</w:t>
      </w:r>
      <w:r>
        <w:rPr>
          <w:rFonts w:hint="eastAsia" w:cs="仿宋_GB2312"/>
          <w:color w:val="000000"/>
          <w:sz w:val="28"/>
          <w:lang w:eastAsia="zh-CN"/>
        </w:rPr>
        <w:t>债务人</w:t>
      </w:r>
      <w:r>
        <w:rPr>
          <w:rFonts w:ascii="仿宋_GB2312" w:hAnsi="仿宋_GB2312" w:eastAsia="仿宋_GB2312" w:cs="仿宋_GB2312"/>
          <w:b/>
          <w:bCs/>
          <w:color w:val="000000"/>
          <w:sz w:val="28"/>
        </w:rPr>
        <w:t>投资总金额为人民币</w:t>
      </w:r>
      <w:r>
        <w:rPr>
          <w:rFonts w:hint="eastAsia" w:cs="仿宋_GB2312"/>
          <w:b/>
          <w:bCs/>
          <w:color w:val="000000"/>
          <w:sz w:val="28"/>
          <w:lang w:val="en-US" w:eastAsia="zh-CN"/>
        </w:rPr>
        <w:t>130</w:t>
      </w:r>
      <w:r>
        <w:rPr>
          <w:rFonts w:hint="default" w:cs="仿宋_GB2312"/>
          <w:b/>
          <w:bCs/>
          <w:color w:val="000000"/>
          <w:sz w:val="28"/>
          <w:lang w:val="en-US" w:eastAsia="zh-CN"/>
        </w:rPr>
        <w:t>,</w:t>
      </w:r>
      <w:r>
        <w:rPr>
          <w:rFonts w:hint="eastAsia" w:cs="仿宋_GB2312"/>
          <w:b/>
          <w:bCs/>
          <w:color w:val="000000"/>
          <w:sz w:val="28"/>
          <w:lang w:val="en-US" w:eastAsia="zh-CN"/>
        </w:rPr>
        <w:t>000</w:t>
      </w:r>
      <w:r>
        <w:rPr>
          <w:rFonts w:hint="default" w:cs="仿宋_GB2312"/>
          <w:b/>
          <w:bCs/>
          <w:color w:val="000000"/>
          <w:sz w:val="28"/>
          <w:lang w:val="en-US" w:eastAsia="zh-CN"/>
        </w:rPr>
        <w:t>,</w:t>
      </w:r>
      <w:r>
        <w:rPr>
          <w:rFonts w:hint="eastAsia" w:cs="仿宋_GB2312"/>
          <w:b/>
          <w:bCs/>
          <w:color w:val="000000"/>
          <w:sz w:val="28"/>
          <w:lang w:val="en-US" w:eastAsia="zh-CN"/>
        </w:rPr>
        <w:t>000</w:t>
      </w:r>
      <w:r>
        <w:rPr>
          <w:rFonts w:ascii="仿宋_GB2312" w:hAnsi="仿宋_GB2312" w:eastAsia="仿宋_GB2312" w:cs="仿宋_GB2312"/>
          <w:b/>
          <w:bCs/>
          <w:color w:val="000000"/>
          <w:sz w:val="28"/>
        </w:rPr>
        <w:t>元</w:t>
      </w:r>
      <w:r>
        <w:rPr>
          <w:rFonts w:hint="eastAsia" w:cs="仿宋_GB2312"/>
          <w:color w:val="000000"/>
          <w:sz w:val="28"/>
          <w:lang w:eastAsia="zh-CN"/>
        </w:rPr>
        <w:t>（</w:t>
      </w:r>
      <w:r>
        <w:rPr>
          <w:rFonts w:hint="eastAsia" w:cs="仿宋_GB2312"/>
          <w:color w:val="000000"/>
          <w:sz w:val="28"/>
          <w:lang w:val="en-US" w:eastAsia="zh-CN"/>
        </w:rPr>
        <w:t>大写：壹亿叁仟万元整）</w:t>
      </w:r>
      <w:r>
        <w:rPr>
          <w:rFonts w:ascii="仿宋_GB2312" w:hAnsi="仿宋_GB2312" w:eastAsia="仿宋_GB2312" w:cs="仿宋_GB2312"/>
          <w:color w:val="000000"/>
          <w:sz w:val="28"/>
        </w:rPr>
        <w:t>，</w:t>
      </w:r>
      <w:r>
        <w:rPr>
          <w:rFonts w:hint="eastAsia" w:cs="仿宋_GB2312"/>
          <w:color w:val="000000"/>
          <w:sz w:val="28"/>
          <w:lang w:val="en-US" w:eastAsia="zh-CN"/>
        </w:rPr>
        <w:t>全部</w:t>
      </w:r>
      <w:r>
        <w:rPr>
          <w:rFonts w:ascii="仿宋_GB2312" w:hAnsi="仿宋_GB2312" w:eastAsia="仿宋_GB2312" w:cs="仿宋_GB2312"/>
          <w:color w:val="000000"/>
          <w:sz w:val="28"/>
        </w:rPr>
        <w:t>用于</w:t>
      </w:r>
      <w:r>
        <w:rPr>
          <w:rFonts w:hint="eastAsia" w:cs="仿宋_GB2312"/>
          <w:color w:val="000000"/>
          <w:sz w:val="28"/>
          <w:lang w:eastAsia="zh-CN"/>
        </w:rPr>
        <w:t>债务人</w:t>
      </w:r>
      <w:r>
        <w:rPr>
          <w:rFonts w:ascii="仿宋_GB2312" w:hAnsi="仿宋_GB2312" w:eastAsia="仿宋_GB2312" w:cs="仿宋_GB2312"/>
          <w:color w:val="000000"/>
          <w:sz w:val="28"/>
        </w:rPr>
        <w:t>的</w:t>
      </w:r>
      <w:r>
        <w:rPr>
          <w:rFonts w:hint="eastAsia" w:cs="仿宋_GB2312"/>
          <w:color w:val="000000"/>
          <w:sz w:val="28"/>
          <w:lang w:val="en-US" w:eastAsia="zh-CN"/>
        </w:rPr>
        <w:t>债权</w:t>
      </w:r>
      <w:r>
        <w:rPr>
          <w:rFonts w:ascii="仿宋_GB2312" w:hAnsi="仿宋_GB2312" w:eastAsia="仿宋_GB2312" w:cs="仿宋_GB2312"/>
          <w:color w:val="000000"/>
          <w:sz w:val="28"/>
        </w:rPr>
        <w:t>清偿。</w:t>
      </w:r>
      <w:r>
        <w:rPr>
          <w:rFonts w:ascii="仿宋_GB2312" w:hAnsi="仿宋_GB2312" w:eastAsia="仿宋_GB2312" w:cs="仿宋_GB2312"/>
          <w:color w:val="000000"/>
          <w:sz w:val="28"/>
          <w:highlight w:val="none"/>
        </w:rPr>
        <w:t>投资款项将分</w:t>
      </w:r>
      <w:r>
        <w:rPr>
          <w:rFonts w:hint="eastAsia" w:cs="仿宋_GB2312"/>
          <w:color w:val="000000"/>
          <w:sz w:val="28"/>
          <w:highlight w:val="none"/>
          <w:lang w:val="en-US" w:eastAsia="zh-CN"/>
        </w:rPr>
        <w:t>两年四</w:t>
      </w:r>
      <w:r>
        <w:rPr>
          <w:rFonts w:ascii="仿宋_GB2312" w:hAnsi="仿宋_GB2312" w:eastAsia="仿宋_GB2312" w:cs="仿宋_GB2312"/>
          <w:color w:val="000000"/>
          <w:sz w:val="28"/>
          <w:highlight w:val="none"/>
        </w:rPr>
        <w:t xml:space="preserve">期支付，具体安排如下： </w:t>
      </w:r>
    </w:p>
    <w:p w14:paraId="2D821B76">
      <w:pPr>
        <w:pStyle w:val="7"/>
        <w:spacing w:line="360" w:lineRule="auto"/>
        <w:ind w:firstLine="562" w:firstLineChars="200"/>
        <w:jc w:val="both"/>
        <w:rPr>
          <w:rFonts w:ascii="仿宋_GB2312" w:hAnsi="仿宋_GB2312" w:eastAsia="仿宋_GB2312" w:cs="仿宋_GB2312"/>
          <w:b/>
          <w:bCs/>
          <w:color w:val="000000"/>
          <w:sz w:val="28"/>
        </w:rPr>
      </w:pPr>
      <w:r>
        <w:rPr>
          <w:rFonts w:ascii="仿宋_GB2312" w:hAnsi="仿宋_GB2312" w:eastAsia="仿宋_GB2312" w:cs="仿宋_GB2312"/>
          <w:b/>
          <w:bCs/>
          <w:color w:val="000000"/>
          <w:sz w:val="28"/>
        </w:rPr>
        <w:t>（</w:t>
      </w:r>
      <w:r>
        <w:rPr>
          <w:rFonts w:hint="eastAsia" w:cs="仿宋_GB2312"/>
          <w:b/>
          <w:bCs/>
          <w:color w:val="000000"/>
          <w:sz w:val="28"/>
          <w:lang w:val="en-US" w:eastAsia="zh-CN"/>
        </w:rPr>
        <w:t>1</w:t>
      </w:r>
      <w:r>
        <w:rPr>
          <w:rFonts w:ascii="仿宋_GB2312" w:hAnsi="仿宋_GB2312" w:eastAsia="仿宋_GB2312" w:cs="仿宋_GB2312"/>
          <w:b/>
          <w:bCs/>
          <w:color w:val="000000"/>
          <w:sz w:val="28"/>
        </w:rPr>
        <w:t>）</w:t>
      </w:r>
      <w:r>
        <w:rPr>
          <w:rFonts w:hint="eastAsia" w:cs="仿宋_GB2312"/>
          <w:b/>
          <w:bCs/>
          <w:color w:val="000000"/>
          <w:sz w:val="28"/>
          <w:lang w:eastAsia="zh-CN"/>
        </w:rPr>
        <w:t>投资人</w:t>
      </w:r>
      <w:r>
        <w:rPr>
          <w:rFonts w:ascii="仿宋_GB2312" w:hAnsi="仿宋_GB2312" w:eastAsia="仿宋_GB2312" w:cs="仿宋_GB2312"/>
          <w:b/>
          <w:bCs/>
          <w:color w:val="000000"/>
          <w:sz w:val="28"/>
        </w:rPr>
        <w:t>已于2025年12月22日支付保证金人民币2,000,000元</w:t>
      </w:r>
      <w:r>
        <w:rPr>
          <w:rFonts w:hint="eastAsia" w:cs="仿宋_GB2312"/>
          <w:b/>
          <w:bCs/>
          <w:color w:val="000000"/>
          <w:sz w:val="28"/>
          <w:lang w:eastAsia="zh-CN"/>
        </w:rPr>
        <w:t>（</w:t>
      </w:r>
      <w:r>
        <w:rPr>
          <w:rFonts w:hint="eastAsia" w:cs="仿宋_GB2312"/>
          <w:b/>
          <w:bCs/>
          <w:color w:val="000000"/>
          <w:sz w:val="28"/>
          <w:lang w:val="en-US" w:eastAsia="zh-CN"/>
        </w:rPr>
        <w:t>大写：贰佰万元）</w:t>
      </w:r>
      <w:r>
        <w:rPr>
          <w:rFonts w:ascii="仿宋_GB2312" w:hAnsi="仿宋_GB2312" w:eastAsia="仿宋_GB2312" w:cs="仿宋_GB2312"/>
          <w:b/>
          <w:bCs/>
          <w:color w:val="000000"/>
          <w:sz w:val="28"/>
        </w:rPr>
        <w:t>，</w:t>
      </w:r>
      <w:r>
        <w:rPr>
          <w:rFonts w:hint="eastAsia" w:cs="仿宋_GB2312"/>
          <w:b/>
          <w:bCs/>
          <w:color w:val="000000"/>
          <w:sz w:val="28"/>
          <w:lang w:val="en-US" w:eastAsia="zh-CN"/>
        </w:rPr>
        <w:t>该保证金包含在投资总金额中。</w:t>
      </w:r>
    </w:p>
    <w:p w14:paraId="4E6C78EC">
      <w:pPr>
        <w:pStyle w:val="7"/>
        <w:spacing w:line="360" w:lineRule="auto"/>
        <w:ind w:firstLine="562" w:firstLineChars="200"/>
        <w:jc w:val="both"/>
        <w:rPr>
          <w:rFonts w:ascii="仿宋_GB2312" w:hAnsi="仿宋_GB2312" w:eastAsia="仿宋_GB2312" w:cs="仿宋_GB2312"/>
          <w:b/>
          <w:bCs/>
          <w:color w:val="000000"/>
          <w:sz w:val="28"/>
        </w:rPr>
      </w:pPr>
      <w:r>
        <w:rPr>
          <w:rFonts w:ascii="仿宋_GB2312" w:hAnsi="仿宋_GB2312" w:eastAsia="仿宋_GB2312" w:cs="仿宋_GB2312"/>
          <w:b/>
          <w:bCs/>
          <w:color w:val="000000"/>
          <w:sz w:val="28"/>
        </w:rPr>
        <w:t>（</w:t>
      </w:r>
      <w:r>
        <w:rPr>
          <w:rFonts w:hint="eastAsia" w:cs="仿宋_GB2312"/>
          <w:b/>
          <w:bCs/>
          <w:color w:val="000000"/>
          <w:sz w:val="28"/>
          <w:lang w:val="en-US" w:eastAsia="zh-CN"/>
        </w:rPr>
        <w:t>2</w:t>
      </w:r>
      <w:r>
        <w:rPr>
          <w:rFonts w:ascii="仿宋_GB2312" w:hAnsi="仿宋_GB2312" w:eastAsia="仿宋_GB2312" w:cs="仿宋_GB2312"/>
          <w:b/>
          <w:bCs/>
          <w:color w:val="000000"/>
          <w:sz w:val="28"/>
        </w:rPr>
        <w:t>）第一期投资款为人民币</w:t>
      </w:r>
      <w:r>
        <w:rPr>
          <w:rFonts w:hint="eastAsia" w:cs="仿宋_GB2312"/>
          <w:b/>
          <w:bCs/>
          <w:color w:val="000000"/>
          <w:sz w:val="28"/>
          <w:lang w:val="en-US" w:eastAsia="zh-CN"/>
        </w:rPr>
        <w:t>10</w:t>
      </w:r>
      <w:r>
        <w:rPr>
          <w:rFonts w:hint="default" w:cs="仿宋_GB2312"/>
          <w:b/>
          <w:bCs/>
          <w:color w:val="000000"/>
          <w:sz w:val="28"/>
          <w:lang w:val="en-US" w:eastAsia="zh-CN"/>
        </w:rPr>
        <w:t>,</w:t>
      </w:r>
      <w:r>
        <w:rPr>
          <w:rFonts w:hint="eastAsia" w:cs="仿宋_GB2312"/>
          <w:b/>
          <w:bCs/>
          <w:color w:val="000000"/>
          <w:sz w:val="28"/>
          <w:lang w:val="en-US" w:eastAsia="zh-CN"/>
        </w:rPr>
        <w:t>000</w:t>
      </w:r>
      <w:r>
        <w:rPr>
          <w:rFonts w:hint="default" w:cs="仿宋_GB2312"/>
          <w:b/>
          <w:bCs/>
          <w:color w:val="000000"/>
          <w:sz w:val="28"/>
          <w:lang w:val="en-US" w:eastAsia="zh-CN"/>
        </w:rPr>
        <w:t>,</w:t>
      </w:r>
      <w:r>
        <w:rPr>
          <w:rFonts w:hint="eastAsia" w:cs="仿宋_GB2312"/>
          <w:b/>
          <w:bCs/>
          <w:color w:val="000000"/>
          <w:sz w:val="28"/>
          <w:lang w:val="en-US" w:eastAsia="zh-CN"/>
        </w:rPr>
        <w:t>000</w:t>
      </w:r>
      <w:r>
        <w:rPr>
          <w:rFonts w:ascii="仿宋_GB2312" w:hAnsi="仿宋_GB2312" w:eastAsia="仿宋_GB2312" w:cs="仿宋_GB2312"/>
          <w:b/>
          <w:bCs/>
          <w:color w:val="000000"/>
          <w:sz w:val="28"/>
        </w:rPr>
        <w:t>元</w:t>
      </w:r>
      <w:r>
        <w:rPr>
          <w:rFonts w:hint="eastAsia" w:cs="仿宋_GB2312"/>
          <w:b/>
          <w:bCs/>
          <w:color w:val="000000"/>
          <w:sz w:val="28"/>
          <w:lang w:eastAsia="zh-CN"/>
        </w:rPr>
        <w:t>（</w:t>
      </w:r>
      <w:r>
        <w:rPr>
          <w:rFonts w:hint="eastAsia" w:cs="仿宋_GB2312"/>
          <w:b/>
          <w:bCs/>
          <w:color w:val="000000"/>
          <w:sz w:val="28"/>
          <w:lang w:val="en-US" w:eastAsia="zh-CN"/>
        </w:rPr>
        <w:t>大写：壹仟万元）</w:t>
      </w:r>
      <w:r>
        <w:rPr>
          <w:rFonts w:ascii="仿宋_GB2312" w:hAnsi="仿宋_GB2312" w:eastAsia="仿宋_GB2312" w:cs="仿宋_GB2312"/>
          <w:b/>
          <w:bCs/>
          <w:color w:val="000000"/>
          <w:sz w:val="28"/>
        </w:rPr>
        <w:t>，于</w:t>
      </w:r>
      <w:r>
        <w:rPr>
          <w:rFonts w:hint="eastAsia" w:cs="仿宋_GB2312"/>
          <w:b/>
          <w:bCs/>
          <w:color w:val="000000"/>
          <w:sz w:val="28"/>
          <w:lang w:val="en-US" w:eastAsia="zh-CN"/>
        </w:rPr>
        <w:t>重整计划草案</w:t>
      </w:r>
      <w:r>
        <w:rPr>
          <w:rFonts w:ascii="仿宋_GB2312" w:hAnsi="仿宋_GB2312" w:eastAsia="仿宋_GB2312" w:cs="仿宋_GB2312"/>
          <w:b/>
          <w:bCs/>
          <w:color w:val="000000"/>
          <w:sz w:val="28"/>
        </w:rPr>
        <w:t>经债权人会议表决</w:t>
      </w:r>
      <w:r>
        <w:rPr>
          <w:rFonts w:hint="eastAsia" w:cs="仿宋_GB2312"/>
          <w:b/>
          <w:bCs/>
          <w:color w:val="000000"/>
          <w:sz w:val="28"/>
          <w:lang w:val="en-US" w:eastAsia="zh-CN"/>
        </w:rPr>
        <w:t>通过</w:t>
      </w:r>
      <w:r>
        <w:rPr>
          <w:rFonts w:ascii="仿宋_GB2312" w:hAnsi="仿宋_GB2312" w:eastAsia="仿宋_GB2312" w:cs="仿宋_GB2312"/>
          <w:b/>
          <w:bCs/>
          <w:color w:val="000000"/>
          <w:sz w:val="28"/>
        </w:rPr>
        <w:t>且人民法院裁定批准后5日内支付。</w:t>
      </w:r>
    </w:p>
    <w:p w14:paraId="5D190462">
      <w:pPr>
        <w:pStyle w:val="7"/>
        <w:spacing w:line="360" w:lineRule="auto"/>
        <w:ind w:firstLine="562" w:firstLineChars="200"/>
        <w:jc w:val="both"/>
        <w:rPr>
          <w:rFonts w:ascii="仿宋_GB2312" w:hAnsi="仿宋_GB2312" w:eastAsia="仿宋_GB2312" w:cs="仿宋_GB2312"/>
          <w:b/>
          <w:bCs/>
          <w:color w:val="000000"/>
          <w:sz w:val="28"/>
        </w:rPr>
      </w:pPr>
      <w:r>
        <w:rPr>
          <w:rFonts w:ascii="仿宋_GB2312" w:hAnsi="仿宋_GB2312" w:eastAsia="仿宋_GB2312" w:cs="仿宋_GB2312"/>
          <w:b/>
          <w:bCs/>
          <w:color w:val="000000"/>
          <w:sz w:val="28"/>
        </w:rPr>
        <w:t>（</w:t>
      </w:r>
      <w:r>
        <w:rPr>
          <w:rFonts w:hint="eastAsia" w:cs="仿宋_GB2312"/>
          <w:b/>
          <w:bCs/>
          <w:color w:val="000000"/>
          <w:sz w:val="28"/>
          <w:lang w:val="en-US" w:eastAsia="zh-CN"/>
        </w:rPr>
        <w:t>3</w:t>
      </w:r>
      <w:r>
        <w:rPr>
          <w:rFonts w:ascii="仿宋_GB2312" w:hAnsi="仿宋_GB2312" w:eastAsia="仿宋_GB2312" w:cs="仿宋_GB2312"/>
          <w:b/>
          <w:bCs/>
          <w:color w:val="000000"/>
          <w:sz w:val="28"/>
        </w:rPr>
        <w:t>）第二期投资款为人民币</w:t>
      </w:r>
      <w:r>
        <w:rPr>
          <w:rFonts w:hint="eastAsia" w:cs="仿宋_GB2312"/>
          <w:b/>
          <w:bCs/>
          <w:color w:val="000000"/>
          <w:sz w:val="28"/>
          <w:lang w:val="en-US" w:eastAsia="zh-CN"/>
        </w:rPr>
        <w:t>39</w:t>
      </w:r>
      <w:r>
        <w:rPr>
          <w:rFonts w:hint="default" w:cs="仿宋_GB2312"/>
          <w:b/>
          <w:bCs/>
          <w:color w:val="000000"/>
          <w:sz w:val="28"/>
          <w:lang w:val="en-US" w:eastAsia="zh-CN"/>
        </w:rPr>
        <w:t>,</w:t>
      </w:r>
      <w:r>
        <w:rPr>
          <w:rFonts w:hint="eastAsia" w:cs="仿宋_GB2312"/>
          <w:b/>
          <w:bCs/>
          <w:color w:val="000000"/>
          <w:sz w:val="28"/>
          <w:lang w:val="en-US" w:eastAsia="zh-CN"/>
        </w:rPr>
        <w:t>333</w:t>
      </w:r>
      <w:r>
        <w:rPr>
          <w:rFonts w:hint="default" w:cs="仿宋_GB2312"/>
          <w:b/>
          <w:bCs/>
          <w:color w:val="000000"/>
          <w:sz w:val="28"/>
          <w:lang w:val="en-US" w:eastAsia="zh-CN"/>
        </w:rPr>
        <w:t>,</w:t>
      </w:r>
      <w:r>
        <w:rPr>
          <w:rFonts w:hint="eastAsia" w:cs="仿宋_GB2312"/>
          <w:b/>
          <w:bCs/>
          <w:color w:val="000000"/>
          <w:sz w:val="28"/>
          <w:lang w:val="en-US" w:eastAsia="zh-CN"/>
        </w:rPr>
        <w:t>334</w:t>
      </w:r>
      <w:r>
        <w:rPr>
          <w:rFonts w:ascii="仿宋_GB2312" w:hAnsi="仿宋_GB2312" w:eastAsia="仿宋_GB2312" w:cs="仿宋_GB2312"/>
          <w:b/>
          <w:bCs/>
          <w:color w:val="000000"/>
          <w:sz w:val="28"/>
        </w:rPr>
        <w:t>元</w:t>
      </w:r>
      <w:r>
        <w:rPr>
          <w:rFonts w:hint="eastAsia" w:cs="仿宋_GB2312"/>
          <w:b/>
          <w:bCs/>
          <w:color w:val="000000"/>
          <w:sz w:val="28"/>
          <w:lang w:eastAsia="zh-CN"/>
        </w:rPr>
        <w:t>（</w:t>
      </w:r>
      <w:r>
        <w:rPr>
          <w:rFonts w:hint="eastAsia" w:cs="仿宋_GB2312"/>
          <w:b/>
          <w:bCs/>
          <w:color w:val="000000"/>
          <w:sz w:val="28"/>
          <w:lang w:val="en-US" w:eastAsia="zh-CN"/>
        </w:rPr>
        <w:t>大写：叁仟玖佰叁拾叁万叁仟叁佰叁拾肆元）</w:t>
      </w:r>
      <w:r>
        <w:rPr>
          <w:rFonts w:ascii="仿宋_GB2312" w:hAnsi="仿宋_GB2312" w:eastAsia="仿宋_GB2312" w:cs="仿宋_GB2312"/>
          <w:b/>
          <w:bCs/>
          <w:color w:val="000000"/>
          <w:sz w:val="28"/>
        </w:rPr>
        <w:t>，于</w:t>
      </w:r>
      <w:r>
        <w:rPr>
          <w:rFonts w:hint="eastAsia" w:cs="仿宋_GB2312"/>
          <w:b/>
          <w:bCs/>
          <w:color w:val="000000"/>
          <w:sz w:val="28"/>
          <w:lang w:val="en-US" w:eastAsia="zh-CN"/>
        </w:rPr>
        <w:t>第一期投资款支付日的十个月后支付</w:t>
      </w:r>
      <w:r>
        <w:rPr>
          <w:rFonts w:ascii="仿宋_GB2312" w:hAnsi="仿宋_GB2312" w:eastAsia="仿宋_GB2312" w:cs="仿宋_GB2312"/>
          <w:b/>
          <w:bCs/>
          <w:color w:val="000000"/>
          <w:sz w:val="28"/>
        </w:rPr>
        <w:t>。</w:t>
      </w:r>
    </w:p>
    <w:p w14:paraId="21919681">
      <w:pPr>
        <w:pStyle w:val="7"/>
        <w:spacing w:line="360" w:lineRule="auto"/>
        <w:ind w:firstLine="562" w:firstLineChars="200"/>
        <w:jc w:val="both"/>
        <w:rPr>
          <w:rFonts w:hint="eastAsia" w:cs="仿宋_GB2312"/>
          <w:b/>
          <w:bCs/>
          <w:color w:val="000000"/>
          <w:sz w:val="28"/>
          <w:lang w:val="en-US" w:eastAsia="zh-CN"/>
        </w:rPr>
      </w:pPr>
      <w:r>
        <w:rPr>
          <w:rFonts w:hint="eastAsia" w:cs="仿宋_GB2312"/>
          <w:b/>
          <w:bCs/>
          <w:color w:val="000000"/>
          <w:sz w:val="28"/>
          <w:lang w:eastAsia="zh-CN"/>
        </w:rPr>
        <w:t>（</w:t>
      </w:r>
      <w:r>
        <w:rPr>
          <w:rFonts w:hint="eastAsia" w:cs="仿宋_GB2312"/>
          <w:b/>
          <w:bCs/>
          <w:color w:val="000000"/>
          <w:sz w:val="28"/>
          <w:lang w:val="en-US" w:eastAsia="zh-CN"/>
        </w:rPr>
        <w:t>4）后两期投资款均为人民币39</w:t>
      </w:r>
      <w:r>
        <w:rPr>
          <w:rFonts w:hint="default" w:cs="仿宋_GB2312"/>
          <w:b/>
          <w:bCs/>
          <w:color w:val="000000"/>
          <w:sz w:val="28"/>
          <w:lang w:val="en-US" w:eastAsia="zh-CN"/>
        </w:rPr>
        <w:t>,</w:t>
      </w:r>
      <w:r>
        <w:rPr>
          <w:rFonts w:hint="eastAsia" w:cs="仿宋_GB2312"/>
          <w:b/>
          <w:bCs/>
          <w:color w:val="000000"/>
          <w:sz w:val="28"/>
          <w:lang w:val="en-US" w:eastAsia="zh-CN"/>
        </w:rPr>
        <w:t>333</w:t>
      </w:r>
      <w:r>
        <w:rPr>
          <w:rFonts w:hint="default" w:cs="仿宋_GB2312"/>
          <w:b/>
          <w:bCs/>
          <w:color w:val="000000"/>
          <w:sz w:val="28"/>
          <w:lang w:val="en-US" w:eastAsia="zh-CN"/>
        </w:rPr>
        <w:t>,</w:t>
      </w:r>
      <w:r>
        <w:rPr>
          <w:rFonts w:hint="eastAsia" w:cs="仿宋_GB2312"/>
          <w:b/>
          <w:bCs/>
          <w:color w:val="000000"/>
          <w:sz w:val="28"/>
          <w:lang w:val="en-US" w:eastAsia="zh-CN"/>
        </w:rPr>
        <w:t>334</w:t>
      </w:r>
      <w:r>
        <w:rPr>
          <w:rFonts w:ascii="仿宋_GB2312" w:hAnsi="仿宋_GB2312" w:eastAsia="仿宋_GB2312" w:cs="仿宋_GB2312"/>
          <w:b/>
          <w:bCs/>
          <w:color w:val="000000"/>
          <w:sz w:val="28"/>
        </w:rPr>
        <w:t>元</w:t>
      </w:r>
      <w:r>
        <w:rPr>
          <w:rFonts w:hint="eastAsia" w:cs="仿宋_GB2312"/>
          <w:b/>
          <w:bCs/>
          <w:color w:val="000000"/>
          <w:sz w:val="28"/>
          <w:lang w:eastAsia="zh-CN"/>
        </w:rPr>
        <w:t>（</w:t>
      </w:r>
      <w:r>
        <w:rPr>
          <w:rFonts w:hint="eastAsia" w:cs="仿宋_GB2312"/>
          <w:b/>
          <w:bCs/>
          <w:color w:val="000000"/>
          <w:sz w:val="28"/>
          <w:lang w:val="en-US" w:eastAsia="zh-CN"/>
        </w:rPr>
        <w:t xml:space="preserve">大写：叁仟玖佰叁拾叁万叁仟叁佰叁拾肆元），均于上一期投资款支付日的七个月后支付。 </w:t>
      </w:r>
    </w:p>
    <w:p w14:paraId="4DC0BE8A">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投资款支付方式</w:t>
      </w:r>
    </w:p>
    <w:p w14:paraId="37655466">
      <w:pPr>
        <w:pStyle w:val="7"/>
        <w:spacing w:line="360" w:lineRule="auto"/>
        <w:ind w:firstLine="560" w:firstLineChars="200"/>
        <w:rPr>
          <w:rFonts w:ascii="仿宋_GB2312" w:hAnsi="仿宋_GB2312" w:eastAsia="仿宋_GB2312" w:cs="仿宋_GB2312"/>
          <w:color w:val="000000"/>
          <w:sz w:val="28"/>
        </w:rPr>
      </w:pPr>
      <w:r>
        <w:rPr>
          <w:rFonts w:hint="eastAsia" w:cs="仿宋_GB2312"/>
          <w:color w:val="000000"/>
          <w:sz w:val="28"/>
          <w:lang w:val="en-US" w:eastAsia="zh-CN"/>
        </w:rPr>
        <w:t>投资人</w:t>
      </w:r>
      <w:r>
        <w:rPr>
          <w:rFonts w:ascii="仿宋_GB2312" w:hAnsi="仿宋_GB2312" w:eastAsia="仿宋_GB2312" w:cs="仿宋_GB2312"/>
          <w:color w:val="000000"/>
          <w:sz w:val="28"/>
        </w:rPr>
        <w:t>将投资款项汇入</w:t>
      </w:r>
      <w:r>
        <w:rPr>
          <w:rFonts w:hint="eastAsia" w:cs="仿宋_GB2312"/>
          <w:color w:val="000000"/>
          <w:sz w:val="28"/>
          <w:lang w:eastAsia="zh-CN"/>
        </w:rPr>
        <w:t>管理人</w:t>
      </w:r>
      <w:r>
        <w:rPr>
          <w:rFonts w:ascii="仿宋_GB2312" w:hAnsi="仿宋_GB2312" w:eastAsia="仿宋_GB2312" w:cs="仿宋_GB2312"/>
          <w:color w:val="000000"/>
          <w:sz w:val="28"/>
        </w:rPr>
        <w:t>指定的专用账户，确保专款专用。投资款项的支付应严格按照重整计划的进度安排执行。</w:t>
      </w:r>
    </w:p>
    <w:p w14:paraId="29691624">
      <w:pPr>
        <w:pStyle w:val="7"/>
        <w:spacing w:line="360" w:lineRule="auto"/>
        <w:ind w:firstLine="560" w:firstLineChars="200"/>
      </w:pPr>
      <w:r>
        <w:rPr>
          <w:rFonts w:hint="eastAsia" w:cs="仿宋_GB2312"/>
          <w:color w:val="000000"/>
          <w:sz w:val="28"/>
          <w:lang w:val="en-US" w:eastAsia="zh-CN"/>
        </w:rPr>
        <w:t>3、</w:t>
      </w:r>
      <w:r>
        <w:rPr>
          <w:rFonts w:ascii="仿宋_GB2312" w:hAnsi="仿宋_GB2312" w:eastAsia="仿宋_GB2312" w:cs="仿宋_GB2312"/>
          <w:color w:val="000000"/>
          <w:sz w:val="28"/>
        </w:rPr>
        <w:t>资金监管与使用</w:t>
      </w:r>
    </w:p>
    <w:p w14:paraId="494049DC">
      <w:pPr>
        <w:pStyle w:val="7"/>
        <w:spacing w:line="360" w:lineRule="auto"/>
        <w:ind w:firstLine="560" w:firstLineChars="200"/>
      </w:pPr>
      <w:r>
        <w:rPr>
          <w:rFonts w:ascii="仿宋_GB2312" w:hAnsi="仿宋_GB2312" w:eastAsia="仿宋_GB2312" w:cs="仿宋_GB2312"/>
          <w:color w:val="000000"/>
          <w:sz w:val="28"/>
        </w:rPr>
        <w:t>投资款项由管理人统一监管，按照重整计划分期拨付。投资款仅限于用于债务清偿。</w:t>
      </w:r>
      <w:r>
        <w:rPr>
          <w:rFonts w:hint="eastAsia" w:cs="仿宋_GB2312"/>
          <w:color w:val="000000"/>
          <w:sz w:val="28"/>
          <w:lang w:eastAsia="zh-CN"/>
        </w:rPr>
        <w:t>投资人</w:t>
      </w:r>
      <w:r>
        <w:rPr>
          <w:rFonts w:ascii="仿宋_GB2312" w:hAnsi="仿宋_GB2312" w:eastAsia="仿宋_GB2312" w:cs="仿宋_GB2312"/>
          <w:color w:val="000000"/>
          <w:sz w:val="28"/>
        </w:rPr>
        <w:t>有权对</w:t>
      </w:r>
      <w:r>
        <w:rPr>
          <w:rFonts w:hint="eastAsia" w:cs="仿宋_GB2312"/>
          <w:color w:val="000000"/>
          <w:sz w:val="28"/>
          <w:lang w:val="en-US" w:eastAsia="zh-CN"/>
        </w:rPr>
        <w:t>清偿行为</w:t>
      </w:r>
      <w:r>
        <w:rPr>
          <w:rFonts w:ascii="仿宋_GB2312" w:hAnsi="仿宋_GB2312" w:eastAsia="仿宋_GB2312" w:cs="仿宋_GB2312"/>
          <w:color w:val="000000"/>
          <w:sz w:val="28"/>
        </w:rPr>
        <w:t>进行监督，管理人应定期向</w:t>
      </w:r>
      <w:r>
        <w:rPr>
          <w:rFonts w:hint="eastAsia" w:cs="仿宋_GB2312"/>
          <w:color w:val="000000"/>
          <w:sz w:val="28"/>
          <w:lang w:eastAsia="zh-CN"/>
        </w:rPr>
        <w:t>投资人</w:t>
      </w:r>
      <w:r>
        <w:rPr>
          <w:rFonts w:ascii="仿宋_GB2312" w:hAnsi="仿宋_GB2312" w:eastAsia="仿宋_GB2312" w:cs="仿宋_GB2312"/>
          <w:color w:val="000000"/>
          <w:sz w:val="28"/>
        </w:rPr>
        <w:t>披露资金</w:t>
      </w:r>
      <w:r>
        <w:rPr>
          <w:rFonts w:hint="eastAsia" w:cs="仿宋_GB2312"/>
          <w:color w:val="000000"/>
          <w:sz w:val="28"/>
          <w:lang w:val="en-US" w:eastAsia="zh-CN"/>
        </w:rPr>
        <w:t>清偿</w:t>
      </w:r>
      <w:r>
        <w:rPr>
          <w:rFonts w:ascii="仿宋_GB2312" w:hAnsi="仿宋_GB2312" w:eastAsia="仿宋_GB2312" w:cs="仿宋_GB2312"/>
          <w:color w:val="000000"/>
          <w:sz w:val="28"/>
        </w:rPr>
        <w:t>明细，确保资金安全和合规使用。</w:t>
      </w:r>
    </w:p>
    <w:p w14:paraId="451BCC24">
      <w:pPr>
        <w:pStyle w:val="7"/>
        <w:spacing w:line="360" w:lineRule="auto"/>
        <w:ind w:firstLine="560" w:firstLineChars="200"/>
        <w:rPr>
          <w:rFonts w:hint="eastAsia" w:ascii="黑体" w:hAnsi="黑体" w:eastAsia="黑体" w:cs="黑体"/>
          <w:color w:val="000000"/>
          <w:sz w:val="28"/>
        </w:rPr>
      </w:pPr>
      <w:r>
        <w:rPr>
          <w:rFonts w:hint="eastAsia" w:ascii="黑体" w:hAnsi="黑体" w:eastAsia="黑体" w:cs="黑体"/>
          <w:color w:val="000000"/>
          <w:sz w:val="28"/>
          <w:lang w:val="en-US" w:eastAsia="zh-CN"/>
        </w:rPr>
        <w:t>四、债权</w:t>
      </w:r>
      <w:r>
        <w:rPr>
          <w:rFonts w:hint="eastAsia" w:ascii="黑体" w:hAnsi="黑体" w:eastAsia="黑体" w:cs="黑体"/>
          <w:color w:val="000000"/>
          <w:sz w:val="28"/>
        </w:rPr>
        <w:t>清偿方案</w:t>
      </w:r>
    </w:p>
    <w:p w14:paraId="5C23E682">
      <w:pPr>
        <w:pStyle w:val="7"/>
        <w:spacing w:line="360" w:lineRule="auto"/>
        <w:ind w:firstLine="560" w:firstLineChars="200"/>
      </w:pPr>
      <w:r>
        <w:rPr>
          <w:rFonts w:ascii="仿宋_GB2312" w:hAnsi="仿宋_GB2312" w:eastAsia="仿宋_GB2312" w:cs="仿宋_GB2312"/>
          <w:color w:val="000000"/>
          <w:sz w:val="28"/>
        </w:rPr>
        <w:t>1</w:t>
      </w:r>
      <w:r>
        <w:rPr>
          <w:rFonts w:hint="eastAsia" w:cs="仿宋_GB2312"/>
          <w:color w:val="000000"/>
          <w:sz w:val="28"/>
          <w:lang w:eastAsia="zh-CN"/>
        </w:rPr>
        <w:t>、</w:t>
      </w:r>
      <w:r>
        <w:rPr>
          <w:rFonts w:hint="eastAsia" w:cs="仿宋_GB2312"/>
          <w:color w:val="000000"/>
          <w:sz w:val="28"/>
          <w:lang w:val="en-US" w:eastAsia="zh-CN"/>
        </w:rPr>
        <w:t>债权</w:t>
      </w:r>
      <w:r>
        <w:rPr>
          <w:rFonts w:ascii="仿宋_GB2312" w:hAnsi="仿宋_GB2312" w:eastAsia="仿宋_GB2312" w:cs="仿宋_GB2312"/>
          <w:color w:val="000000"/>
          <w:sz w:val="28"/>
        </w:rPr>
        <w:t>清偿顺序</w:t>
      </w:r>
    </w:p>
    <w:p w14:paraId="63BA189B">
      <w:pPr>
        <w:pStyle w:val="7"/>
        <w:spacing w:line="360" w:lineRule="auto"/>
        <w:ind w:firstLine="560" w:firstLineChars="200"/>
      </w:pPr>
      <w:r>
        <w:rPr>
          <w:rFonts w:ascii="仿宋_GB2312" w:hAnsi="仿宋_GB2312" w:eastAsia="仿宋_GB2312" w:cs="仿宋_GB2312"/>
          <w:color w:val="000000"/>
          <w:sz w:val="28"/>
        </w:rPr>
        <w:t>本</w:t>
      </w:r>
      <w:r>
        <w:rPr>
          <w:rFonts w:hint="eastAsia" w:cs="仿宋_GB2312"/>
          <w:color w:val="000000"/>
          <w:sz w:val="28"/>
          <w:lang w:eastAsia="zh-CN"/>
        </w:rPr>
        <w:t>方案</w:t>
      </w:r>
      <w:r>
        <w:rPr>
          <w:rFonts w:ascii="仿宋_GB2312" w:hAnsi="仿宋_GB2312" w:eastAsia="仿宋_GB2312" w:cs="仿宋_GB2312"/>
          <w:color w:val="000000"/>
          <w:sz w:val="28"/>
        </w:rPr>
        <w:t>项下债务清偿顺序为：破产费用与共益债务</w:t>
      </w:r>
      <w:r>
        <w:rPr>
          <w:rFonts w:hint="eastAsia" w:cs="仿宋_GB2312"/>
          <w:color w:val="000000"/>
          <w:sz w:val="28"/>
          <w:lang w:eastAsia="zh-CN"/>
        </w:rPr>
        <w:t>、</w:t>
      </w:r>
      <w:r>
        <w:rPr>
          <w:rFonts w:hint="eastAsia" w:cs="仿宋_GB2312"/>
          <w:color w:val="000000"/>
          <w:sz w:val="28"/>
          <w:lang w:val="en-US" w:eastAsia="zh-CN"/>
        </w:rPr>
        <w:t>有财产担保债权、</w:t>
      </w:r>
      <w:r>
        <w:rPr>
          <w:rFonts w:ascii="仿宋_GB2312" w:hAnsi="仿宋_GB2312" w:eastAsia="仿宋_GB2312" w:cs="仿宋_GB2312"/>
          <w:color w:val="000000"/>
          <w:sz w:val="28"/>
        </w:rPr>
        <w:t>职工债权与税款、普通债权。</w:t>
      </w:r>
    </w:p>
    <w:p w14:paraId="6137452E">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清偿方式</w:t>
      </w:r>
    </w:p>
    <w:p w14:paraId="31F33914">
      <w:pPr>
        <w:pStyle w:val="7"/>
        <w:spacing w:line="360" w:lineRule="auto"/>
        <w:ind w:firstLine="560" w:firstLineChars="200"/>
        <w:jc w:val="both"/>
        <w:rPr>
          <w:rFonts w:hint="eastAsia" w:eastAsia="方正仿宋_GB18030"/>
          <w:lang w:eastAsia="zh-CN"/>
        </w:rPr>
      </w:pPr>
      <w:r>
        <w:rPr>
          <w:rFonts w:ascii="仿宋_GB2312" w:hAnsi="仿宋_GB2312" w:eastAsia="仿宋_GB2312" w:cs="仿宋_GB2312"/>
          <w:color w:val="000000"/>
          <w:sz w:val="28"/>
        </w:rPr>
        <w:t>所有债务清偿投资款分</w:t>
      </w:r>
      <w:r>
        <w:rPr>
          <w:rFonts w:hint="eastAsia" w:cs="仿宋_GB2312"/>
          <w:color w:val="000000"/>
          <w:sz w:val="28"/>
          <w:lang w:val="en-US" w:eastAsia="zh-CN"/>
        </w:rPr>
        <w:t>两</w:t>
      </w:r>
      <w:r>
        <w:rPr>
          <w:rFonts w:ascii="仿宋_GB2312" w:hAnsi="仿宋_GB2312" w:eastAsia="仿宋_GB2312" w:cs="仿宋_GB2312"/>
          <w:color w:val="000000"/>
          <w:sz w:val="28"/>
        </w:rPr>
        <w:t>年</w:t>
      </w:r>
      <w:r>
        <w:rPr>
          <w:rFonts w:hint="eastAsia" w:cs="仿宋_GB2312"/>
          <w:color w:val="000000"/>
          <w:sz w:val="28"/>
          <w:lang w:val="en-US" w:eastAsia="zh-CN"/>
        </w:rPr>
        <w:t>四</w:t>
      </w:r>
      <w:r>
        <w:rPr>
          <w:rFonts w:ascii="仿宋_GB2312" w:hAnsi="仿宋_GB2312" w:eastAsia="仿宋_GB2312" w:cs="仿宋_GB2312"/>
          <w:color w:val="000000"/>
          <w:sz w:val="28"/>
        </w:rPr>
        <w:t>期</w:t>
      </w:r>
      <w:r>
        <w:rPr>
          <w:rFonts w:hint="eastAsia" w:cs="仿宋_GB2312"/>
          <w:color w:val="000000"/>
          <w:sz w:val="28"/>
          <w:lang w:val="en-US" w:eastAsia="zh-CN"/>
        </w:rPr>
        <w:t>以银行转账方式</w:t>
      </w:r>
      <w:r>
        <w:rPr>
          <w:rFonts w:ascii="仿宋_GB2312" w:hAnsi="仿宋_GB2312" w:eastAsia="仿宋_GB2312" w:cs="仿宋_GB2312"/>
          <w:color w:val="000000"/>
          <w:sz w:val="28"/>
        </w:rPr>
        <w:t>支付，具体</w:t>
      </w:r>
      <w:r>
        <w:rPr>
          <w:rFonts w:hint="eastAsia" w:cs="仿宋_GB2312"/>
          <w:color w:val="000000"/>
          <w:sz w:val="28"/>
          <w:lang w:val="en-US" w:eastAsia="zh-CN"/>
        </w:rPr>
        <w:t>清偿</w:t>
      </w:r>
      <w:r>
        <w:rPr>
          <w:rFonts w:ascii="仿宋_GB2312" w:hAnsi="仿宋_GB2312" w:eastAsia="仿宋_GB2312" w:cs="仿宋_GB2312"/>
          <w:color w:val="000000"/>
          <w:sz w:val="28"/>
        </w:rPr>
        <w:t>进度与重整计划实施进度相挂钩。债务清偿由管理人统一执行，</w:t>
      </w:r>
      <w:r>
        <w:rPr>
          <w:rFonts w:hint="eastAsia" w:cs="仿宋_GB2312"/>
          <w:color w:val="000000"/>
          <w:sz w:val="28"/>
          <w:lang w:eastAsia="zh-CN"/>
        </w:rPr>
        <w:t>投资人</w:t>
      </w:r>
      <w:r>
        <w:rPr>
          <w:rFonts w:ascii="仿宋_GB2312" w:hAnsi="仿宋_GB2312" w:eastAsia="仿宋_GB2312" w:cs="仿宋_GB2312"/>
          <w:color w:val="000000"/>
          <w:sz w:val="28"/>
        </w:rPr>
        <w:t>有权进行全程监督。</w:t>
      </w:r>
    </w:p>
    <w:p w14:paraId="27006823">
      <w:pPr>
        <w:pStyle w:val="7"/>
        <w:spacing w:line="360" w:lineRule="auto"/>
        <w:ind w:firstLine="560" w:firstLineChars="200"/>
        <w:rPr>
          <w:rFonts w:hint="default" w:ascii="黑体" w:hAnsi="黑体" w:eastAsia="黑体" w:cs="黑体"/>
          <w:color w:val="000000"/>
          <w:sz w:val="28"/>
          <w:lang w:val="en-US" w:eastAsia="zh-CN"/>
        </w:rPr>
      </w:pPr>
      <w:r>
        <w:rPr>
          <w:rFonts w:hint="eastAsia" w:ascii="黑体" w:hAnsi="黑体" w:eastAsia="黑体" w:cs="黑体"/>
          <w:color w:val="000000"/>
          <w:sz w:val="28"/>
          <w:lang w:val="en-US" w:eastAsia="zh-CN"/>
        </w:rPr>
        <w:t>五、</w:t>
      </w:r>
      <w:r>
        <w:rPr>
          <w:rFonts w:hint="eastAsia" w:ascii="黑体" w:hAnsi="黑体" w:eastAsia="黑体" w:cs="黑体"/>
          <w:color w:val="000000"/>
          <w:sz w:val="28"/>
        </w:rPr>
        <w:t>担保债权及建设工程价款</w:t>
      </w:r>
      <w:r>
        <w:rPr>
          <w:rFonts w:hint="eastAsia" w:ascii="黑体" w:hAnsi="黑体" w:eastAsia="黑体" w:cs="黑体"/>
          <w:color w:val="000000"/>
          <w:sz w:val="28"/>
          <w:lang w:val="en-US" w:eastAsia="zh-CN"/>
        </w:rPr>
        <w:t>优先债权</w:t>
      </w:r>
    </w:p>
    <w:p w14:paraId="04F2F333">
      <w:pPr>
        <w:pStyle w:val="7"/>
        <w:spacing w:line="360" w:lineRule="auto"/>
        <w:ind w:firstLine="560" w:firstLineChars="200"/>
        <w:rPr>
          <w:rFonts w:hint="eastAsia" w:eastAsia="仿宋_GB2312"/>
          <w:lang w:val="en-US" w:eastAsia="zh-CN"/>
        </w:rPr>
      </w:pPr>
      <w:r>
        <w:rPr>
          <w:rFonts w:hint="eastAsia" w:cs="仿宋_GB2312"/>
          <w:color w:val="000000"/>
          <w:sz w:val="28"/>
          <w:lang w:val="en-US" w:eastAsia="zh-CN"/>
        </w:rPr>
        <w:t>1、</w:t>
      </w:r>
      <w:r>
        <w:rPr>
          <w:rFonts w:ascii="仿宋_GB2312" w:hAnsi="仿宋_GB2312" w:eastAsia="仿宋_GB2312" w:cs="仿宋_GB2312"/>
          <w:color w:val="000000"/>
          <w:sz w:val="28"/>
        </w:rPr>
        <w:t>清偿</w:t>
      </w:r>
      <w:r>
        <w:rPr>
          <w:rFonts w:hint="eastAsia" w:cs="仿宋_GB2312"/>
          <w:color w:val="000000"/>
          <w:sz w:val="28"/>
          <w:lang w:val="en-US" w:eastAsia="zh-CN"/>
        </w:rPr>
        <w:t>债权额及清偿比例</w:t>
      </w:r>
    </w:p>
    <w:p w14:paraId="40795814">
      <w:pPr>
        <w:pStyle w:val="7"/>
        <w:spacing w:line="360" w:lineRule="auto"/>
        <w:ind w:firstLine="560" w:firstLineChars="200"/>
        <w:jc w:val="both"/>
        <w:rPr>
          <w:rFonts w:hint="eastAsia" w:cs="仿宋_GB2312"/>
          <w:color w:val="000000"/>
          <w:sz w:val="28"/>
          <w:lang w:val="en-US" w:eastAsia="zh-CN"/>
        </w:rPr>
      </w:pPr>
      <w:r>
        <w:rPr>
          <w:rFonts w:hint="eastAsia" w:cs="仿宋_GB2312"/>
          <w:color w:val="000000"/>
          <w:sz w:val="28"/>
          <w:lang w:val="en-US" w:eastAsia="zh-CN"/>
        </w:rPr>
        <w:t>根据临时管理人截至2025年12月26日出具的债权表及资产评估报告，对于申报的有财产担保债权，其清偿原则如下：若对应担保物的评估价值不低于该笔债权金额，则以该债权金额为限予以足额清偿；若担保物的评估价值低于其担保的债权金额，则以该评估价值为限进行清偿，其差额部分将依法转为普通债权，并参与普通债权的按比例清偿。</w:t>
      </w:r>
    </w:p>
    <w:p w14:paraId="7A512143">
      <w:pPr>
        <w:pStyle w:val="7"/>
        <w:spacing w:line="360" w:lineRule="auto"/>
        <w:ind w:firstLine="560" w:firstLineChars="200"/>
        <w:jc w:val="both"/>
        <w:rPr>
          <w:rFonts w:hint="eastAsia" w:cs="仿宋_GB2312"/>
          <w:color w:val="000000"/>
          <w:sz w:val="28"/>
          <w:lang w:val="en-US" w:eastAsia="zh-CN"/>
        </w:rPr>
      </w:pPr>
    </w:p>
    <w:p w14:paraId="3D57412A">
      <w:pPr>
        <w:pStyle w:val="7"/>
        <w:spacing w:line="360" w:lineRule="auto"/>
        <w:ind w:firstLine="560" w:firstLineChars="200"/>
        <w:jc w:val="both"/>
        <w:rPr>
          <w:rFonts w:hint="eastAsia" w:cs="仿宋_GB2312"/>
          <w:color w:val="000000"/>
          <w:sz w:val="28"/>
          <w:lang w:val="en-US" w:eastAsia="zh-CN"/>
        </w:rPr>
      </w:pPr>
      <w:r>
        <w:rPr>
          <w:rFonts w:hint="eastAsia" w:cs="仿宋_GB2312"/>
          <w:color w:val="000000"/>
          <w:sz w:val="28"/>
          <w:lang w:val="en-US" w:eastAsia="zh-CN"/>
        </w:rPr>
        <w:t>根据临时管理人初步审查结果及评估机构评估数据，目前已确定或已申报为有财产担保债权的14家债权人的担保债权总额共计93,163,682.73元，其中11家债权人的担保物价值可足额覆盖其债权，该部分可足额清偿的担保债权暂计为人民币81,101,264.43元。其余3家债权人因担保物价值无法覆盖其全部债权，其超出担保物价值的部分将列入普通债权范围。</w:t>
      </w:r>
    </w:p>
    <w:p w14:paraId="0FFC12D9">
      <w:pPr>
        <w:pStyle w:val="7"/>
        <w:spacing w:line="360" w:lineRule="auto"/>
        <w:ind w:firstLine="560" w:firstLineChars="200"/>
        <w:jc w:val="both"/>
        <w:rPr>
          <w:rFonts w:hint="eastAsia" w:cs="仿宋_GB2312"/>
          <w:color w:val="000000"/>
          <w:sz w:val="28"/>
          <w:lang w:val="en-US" w:eastAsia="zh-CN"/>
        </w:rPr>
      </w:pPr>
      <w:r>
        <w:rPr>
          <w:rFonts w:hint="eastAsia" w:cs="仿宋_GB2312"/>
          <w:color w:val="000000"/>
          <w:sz w:val="28"/>
          <w:lang w:val="en-US" w:eastAsia="zh-CN"/>
        </w:rPr>
        <w:t>另，为审慎测算重整成本，投资人预估了上述有财产担保债权自2025年6月23日起至人民法院裁定受理重整之日止可能发生的利息，暂计为人民币200万元。该预估利息将纳入优先清偿的担保债权总额范围一并考量。因此，截至目前，</w:t>
      </w:r>
      <w:r>
        <w:rPr>
          <w:rFonts w:hint="eastAsia" w:cs="仿宋_GB2312"/>
          <w:b/>
          <w:bCs/>
          <w:color w:val="000000"/>
          <w:sz w:val="28"/>
          <w:lang w:val="en-US" w:eastAsia="zh-CN"/>
        </w:rPr>
        <w:t>经初步估算可纳入优先清偿的担保债权总额（含预估利息）暂计为人民币83</w:t>
      </w:r>
      <w:r>
        <w:rPr>
          <w:rFonts w:hint="default" w:cs="仿宋_GB2312"/>
          <w:b/>
          <w:bCs/>
          <w:color w:val="000000"/>
          <w:sz w:val="28"/>
          <w:lang w:val="en-US" w:eastAsia="zh-CN"/>
        </w:rPr>
        <w:t>,</w:t>
      </w:r>
      <w:r>
        <w:rPr>
          <w:rFonts w:hint="eastAsia" w:cs="仿宋_GB2312"/>
          <w:b/>
          <w:bCs/>
          <w:color w:val="000000"/>
          <w:sz w:val="28"/>
          <w:lang w:val="en-US" w:eastAsia="zh-CN"/>
        </w:rPr>
        <w:t>101</w:t>
      </w:r>
      <w:r>
        <w:rPr>
          <w:rFonts w:hint="default" w:cs="仿宋_GB2312"/>
          <w:b/>
          <w:bCs/>
          <w:color w:val="000000"/>
          <w:sz w:val="28"/>
          <w:lang w:val="en-US" w:eastAsia="zh-CN"/>
        </w:rPr>
        <w:t>,</w:t>
      </w:r>
      <w:r>
        <w:rPr>
          <w:rFonts w:hint="eastAsia" w:cs="仿宋_GB2312"/>
          <w:b/>
          <w:bCs/>
          <w:color w:val="000000"/>
          <w:sz w:val="28"/>
          <w:lang w:val="en-US" w:eastAsia="zh-CN"/>
        </w:rPr>
        <w:t>264.43元。</w:t>
      </w:r>
    </w:p>
    <w:p w14:paraId="22BDDE2B">
      <w:pPr>
        <w:pStyle w:val="7"/>
        <w:spacing w:line="360" w:lineRule="auto"/>
        <w:ind w:firstLine="562" w:firstLineChars="200"/>
        <w:jc w:val="both"/>
        <w:rPr>
          <w:rFonts w:hint="default" w:eastAsia="仿宋_GB2312"/>
          <w:lang w:val="en-US" w:eastAsia="zh-CN"/>
        </w:rPr>
      </w:pPr>
      <w:r>
        <w:rPr>
          <w:rFonts w:hint="eastAsia" w:cs="仿宋_GB2312"/>
          <w:b/>
          <w:bCs/>
          <w:color w:val="000000"/>
          <w:sz w:val="28"/>
          <w:lang w:val="en-US" w:eastAsia="zh-CN"/>
        </w:rPr>
        <w:t>特别说明：前述债权笔数、申报总额、可足额清偿的担保债权金额、预估利息及合计金额均为基于当前材料的暂估数据，所有债权的最终性质、金额（含利息）及清偿方案，均须以债权人会议核查并经人民法院裁定确认的结果为准。</w:t>
      </w:r>
    </w:p>
    <w:p w14:paraId="2C389C2F">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保障措施</w:t>
      </w:r>
    </w:p>
    <w:p w14:paraId="5333C9A8">
      <w:pPr>
        <w:pStyle w:val="7"/>
        <w:spacing w:line="360" w:lineRule="auto"/>
        <w:ind w:firstLine="560" w:firstLineChars="200"/>
        <w:rPr>
          <w:rFonts w:ascii="仿宋_GB2312" w:hAnsi="仿宋_GB2312" w:eastAsia="仿宋_GB2312" w:cs="仿宋_GB2312"/>
          <w:color w:val="000000"/>
          <w:sz w:val="28"/>
        </w:rPr>
      </w:pPr>
      <w:r>
        <w:rPr>
          <w:rFonts w:ascii="仿宋_GB2312" w:hAnsi="仿宋_GB2312" w:eastAsia="仿宋_GB2312" w:cs="仿宋_GB2312"/>
          <w:color w:val="000000"/>
          <w:sz w:val="28"/>
        </w:rPr>
        <w:t>如</w:t>
      </w:r>
      <w:r>
        <w:rPr>
          <w:rFonts w:hint="eastAsia" w:cs="仿宋_GB2312"/>
          <w:color w:val="000000"/>
          <w:sz w:val="28"/>
          <w:lang w:val="en-US" w:eastAsia="zh-CN"/>
        </w:rPr>
        <w:t>投资人或债权人对</w:t>
      </w:r>
      <w:r>
        <w:rPr>
          <w:rFonts w:ascii="仿宋_GB2312" w:hAnsi="仿宋_GB2312" w:eastAsia="仿宋_GB2312" w:cs="仿宋_GB2312"/>
          <w:color w:val="000000"/>
          <w:sz w:val="28"/>
        </w:rPr>
        <w:t>担保物或工程项目评估价存在争议，应协商解决，必要时</w:t>
      </w:r>
      <w:r>
        <w:rPr>
          <w:rFonts w:hint="eastAsia" w:cs="仿宋_GB2312"/>
          <w:color w:val="000000"/>
          <w:sz w:val="28"/>
          <w:lang w:val="en-US" w:eastAsia="zh-CN"/>
        </w:rPr>
        <w:t>可诉诸法律途径</w:t>
      </w:r>
      <w:r>
        <w:rPr>
          <w:rFonts w:ascii="仿宋_GB2312" w:hAnsi="仿宋_GB2312" w:eastAsia="仿宋_GB2312" w:cs="仿宋_GB2312"/>
          <w:color w:val="000000"/>
          <w:sz w:val="28"/>
        </w:rPr>
        <w:t>。</w:t>
      </w:r>
    </w:p>
    <w:p w14:paraId="29D2DC21">
      <w:pPr>
        <w:pStyle w:val="7"/>
        <w:spacing w:line="360" w:lineRule="auto"/>
        <w:ind w:firstLine="560" w:firstLineChars="200"/>
        <w:rPr>
          <w:rFonts w:hint="eastAsia" w:ascii="黑体" w:hAnsi="黑体" w:eastAsia="黑体" w:cs="黑体"/>
          <w:color w:val="000000"/>
          <w:sz w:val="28"/>
        </w:rPr>
      </w:pPr>
      <w:r>
        <w:rPr>
          <w:rFonts w:hint="eastAsia" w:ascii="黑体" w:hAnsi="黑体" w:eastAsia="黑体" w:cs="黑体"/>
          <w:color w:val="000000"/>
          <w:sz w:val="28"/>
          <w:lang w:val="en-US" w:eastAsia="zh-CN"/>
        </w:rPr>
        <w:t>六、</w:t>
      </w:r>
      <w:r>
        <w:rPr>
          <w:rFonts w:hint="eastAsia" w:ascii="黑体" w:hAnsi="黑体" w:eastAsia="黑体" w:cs="黑体"/>
          <w:color w:val="000000"/>
          <w:sz w:val="28"/>
        </w:rPr>
        <w:t>破产费用与共益债务</w:t>
      </w:r>
    </w:p>
    <w:p w14:paraId="4ADDCC80">
      <w:pPr>
        <w:pStyle w:val="7"/>
        <w:spacing w:line="360" w:lineRule="auto"/>
        <w:ind w:firstLine="560" w:firstLineChars="200"/>
        <w:rPr>
          <w:rFonts w:hint="default" w:cs="仿宋_GB2312"/>
          <w:b/>
          <w:bCs/>
          <w:color w:val="000000"/>
          <w:sz w:val="28"/>
          <w:szCs w:val="24"/>
          <w:lang w:val="en-US" w:eastAsia="zh-CN" w:bidi="ar-SA"/>
        </w:rPr>
      </w:pPr>
      <w:r>
        <w:rPr>
          <w:rFonts w:hint="eastAsia" w:ascii="仿宋_GB2312" w:hAnsi="仿宋_GB2312" w:eastAsia="仿宋_GB2312" w:cs="仿宋_GB2312"/>
          <w:color w:val="000000"/>
          <w:sz w:val="28"/>
          <w:szCs w:val="24"/>
          <w:lang w:val="en-US" w:eastAsia="zh-CN" w:bidi="ar-SA"/>
        </w:rPr>
        <w:t>破产费用包括管理人报酬、诉讼费、公证费、评估费、公告费等，共益债务</w:t>
      </w:r>
      <w:r>
        <w:rPr>
          <w:rFonts w:hint="eastAsia" w:cs="仿宋_GB2312"/>
          <w:color w:val="000000"/>
          <w:sz w:val="28"/>
          <w:szCs w:val="24"/>
          <w:lang w:val="en-US" w:eastAsia="zh-CN" w:bidi="ar-SA"/>
        </w:rPr>
        <w:t>包括：（一）</w:t>
      </w:r>
      <w:r>
        <w:rPr>
          <w:rFonts w:hint="eastAsia" w:ascii="仿宋_GB2312" w:hAnsi="仿宋_GB2312" w:eastAsia="仿宋_GB2312" w:cs="仿宋_GB2312"/>
          <w:color w:val="000000"/>
          <w:sz w:val="28"/>
          <w:szCs w:val="24"/>
          <w:lang w:val="en-US" w:eastAsia="zh-CN" w:bidi="ar-SA"/>
        </w:rPr>
        <w:t>因管理人或者债务人请求对方当事人履行双方均未履行完毕的合同所产生的债务；（二）债务人财产受无因管理所产生的债务；（三）因债务人不当得利所产生的债务；（四）为债务人继续营业而应支付的劳动报酬和社会保险费用以及由此产生的其他债务；（五）管理人或者相关人员执行职务致人损害所产生的债务；（六）债务人财产致人损害所产生的债务。</w:t>
      </w:r>
      <w:r>
        <w:rPr>
          <w:rFonts w:hint="eastAsia" w:cs="仿宋_GB2312"/>
          <w:b/>
          <w:bCs/>
          <w:color w:val="000000"/>
          <w:sz w:val="28"/>
          <w:szCs w:val="24"/>
          <w:lang w:val="en-US" w:eastAsia="zh-CN" w:bidi="ar-SA"/>
        </w:rPr>
        <w:t>破产费用及共益债务随案件进展随时支出，总共暂计5</w:t>
      </w:r>
      <w:r>
        <w:rPr>
          <w:rFonts w:hint="default" w:cs="仿宋_GB2312"/>
          <w:b/>
          <w:bCs/>
          <w:color w:val="000000"/>
          <w:sz w:val="28"/>
          <w:szCs w:val="24"/>
          <w:lang w:val="en-US" w:eastAsia="zh-CN" w:bidi="ar-SA"/>
        </w:rPr>
        <w:t>,</w:t>
      </w:r>
      <w:r>
        <w:rPr>
          <w:rFonts w:hint="eastAsia" w:cs="仿宋_GB2312"/>
          <w:b/>
          <w:bCs/>
          <w:color w:val="000000"/>
          <w:sz w:val="28"/>
          <w:szCs w:val="24"/>
          <w:lang w:val="en-US" w:eastAsia="zh-CN" w:bidi="ar-SA"/>
        </w:rPr>
        <w:t>000</w:t>
      </w:r>
      <w:r>
        <w:rPr>
          <w:rFonts w:hint="default" w:cs="仿宋_GB2312"/>
          <w:b/>
          <w:bCs/>
          <w:color w:val="000000"/>
          <w:sz w:val="28"/>
          <w:szCs w:val="24"/>
          <w:lang w:val="en-US" w:eastAsia="zh-CN" w:bidi="ar-SA"/>
        </w:rPr>
        <w:t>,</w:t>
      </w:r>
      <w:r>
        <w:rPr>
          <w:rFonts w:hint="eastAsia" w:cs="仿宋_GB2312"/>
          <w:b/>
          <w:bCs/>
          <w:color w:val="000000"/>
          <w:sz w:val="28"/>
          <w:szCs w:val="24"/>
          <w:lang w:val="en-US" w:eastAsia="zh-CN" w:bidi="ar-SA"/>
        </w:rPr>
        <w:t>000元100%清偿。</w:t>
      </w:r>
    </w:p>
    <w:p w14:paraId="15F113D5">
      <w:pPr>
        <w:pStyle w:val="7"/>
        <w:spacing w:line="360" w:lineRule="auto"/>
        <w:ind w:firstLine="560" w:firstLineChars="200"/>
        <w:rPr>
          <w:rFonts w:hint="eastAsia" w:ascii="黑体" w:hAnsi="黑体" w:eastAsia="黑体" w:cs="黑体"/>
          <w:b w:val="0"/>
          <w:bCs w:val="0"/>
          <w:color w:val="000000"/>
          <w:sz w:val="28"/>
          <w:szCs w:val="24"/>
          <w:lang w:val="en-US" w:eastAsia="zh-CN" w:bidi="ar-SA"/>
        </w:rPr>
      </w:pPr>
      <w:r>
        <w:rPr>
          <w:rFonts w:hint="eastAsia" w:ascii="黑体" w:hAnsi="黑体" w:eastAsia="黑体" w:cs="黑体"/>
          <w:b w:val="0"/>
          <w:bCs w:val="0"/>
          <w:color w:val="000000"/>
          <w:sz w:val="28"/>
          <w:szCs w:val="24"/>
          <w:lang w:val="en-US" w:eastAsia="zh-CN" w:bidi="ar-SA"/>
        </w:rPr>
        <w:t>七、职工债权</w:t>
      </w:r>
    </w:p>
    <w:p w14:paraId="31F91131">
      <w:pPr>
        <w:pStyle w:val="7"/>
        <w:spacing w:line="360" w:lineRule="auto"/>
        <w:ind w:firstLine="560" w:firstLineChars="200"/>
        <w:rPr>
          <w:rFonts w:hint="eastAsia" w:cs="仿宋_GB2312"/>
          <w:color w:val="000000"/>
          <w:sz w:val="28"/>
          <w:lang w:val="en-US" w:eastAsia="zh-CN"/>
        </w:rPr>
      </w:pPr>
      <w:r>
        <w:rPr>
          <w:rFonts w:hint="eastAsia" w:cs="仿宋_GB2312"/>
          <w:color w:val="000000"/>
          <w:sz w:val="28"/>
          <w:szCs w:val="24"/>
          <w:lang w:val="en-US" w:eastAsia="zh-CN" w:bidi="ar-SA"/>
        </w:rPr>
        <w:t>投资人将根据职工意向、岗位、工作能力等情况，选择解除劳动合同或者继续留用</w:t>
      </w:r>
      <w:r>
        <w:rPr>
          <w:rFonts w:hint="eastAsia" w:ascii="仿宋_GB2312" w:hAnsi="仿宋_GB2312" w:eastAsia="仿宋_GB2312" w:cs="仿宋_GB2312"/>
          <w:color w:val="000000"/>
          <w:sz w:val="28"/>
          <w:szCs w:val="24"/>
          <w:lang w:val="en-US" w:eastAsia="zh-CN" w:bidi="ar-SA"/>
        </w:rPr>
        <w:t>，</w:t>
      </w:r>
      <w:r>
        <w:rPr>
          <w:rFonts w:hint="eastAsia" w:cs="仿宋_GB2312"/>
          <w:color w:val="000000"/>
          <w:sz w:val="28"/>
          <w:szCs w:val="24"/>
          <w:lang w:val="en-US" w:eastAsia="zh-CN" w:bidi="ar-SA"/>
        </w:rPr>
        <w:t>企业进入重整程序前债务人所欠职工薪资、经济补偿金、</w:t>
      </w:r>
      <w:r>
        <w:rPr>
          <w:rFonts w:hint="eastAsia" w:ascii="仿宋_GB2312" w:hAnsi="仿宋_GB2312" w:eastAsia="仿宋_GB2312" w:cs="仿宋_GB2312"/>
          <w:color w:val="000000"/>
          <w:sz w:val="28"/>
          <w:szCs w:val="24"/>
          <w:lang w:val="en-US" w:eastAsia="zh-CN" w:bidi="ar-SA"/>
        </w:rPr>
        <w:t>医疗、伤残补助、抚恤费用</w:t>
      </w:r>
      <w:r>
        <w:rPr>
          <w:rFonts w:hint="eastAsia" w:cs="仿宋_GB2312"/>
          <w:color w:val="000000"/>
          <w:sz w:val="28"/>
          <w:szCs w:val="24"/>
          <w:lang w:val="en-US" w:eastAsia="zh-CN" w:bidi="ar-SA"/>
        </w:rPr>
        <w:t>暂计为5</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154</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416.65元（其中4</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154</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416.65元为截止2025年12月26日管理人统计欠薪数额，因无法最终确定员工劳动合同是否存续，暂计经济补偿金为1</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000</w:t>
      </w:r>
      <w:r>
        <w:rPr>
          <w:rFonts w:hint="default" w:cs="仿宋_GB2312"/>
          <w:color w:val="000000"/>
          <w:sz w:val="28"/>
          <w:szCs w:val="24"/>
          <w:lang w:val="en-US" w:eastAsia="zh-CN" w:bidi="ar-SA"/>
        </w:rPr>
        <w:t>,</w:t>
      </w:r>
      <w:r>
        <w:rPr>
          <w:rFonts w:hint="eastAsia" w:cs="仿宋_GB2312"/>
          <w:color w:val="000000"/>
          <w:sz w:val="28"/>
          <w:szCs w:val="24"/>
          <w:lang w:val="en-US" w:eastAsia="zh-CN" w:bidi="ar-SA"/>
        </w:rPr>
        <w:t>000元），</w:t>
      </w:r>
      <w:r>
        <w:rPr>
          <w:rFonts w:hint="eastAsia" w:cs="仿宋_GB2312"/>
          <w:b/>
          <w:bCs/>
          <w:color w:val="000000"/>
          <w:sz w:val="28"/>
          <w:szCs w:val="24"/>
          <w:lang w:val="en-US" w:eastAsia="zh-CN" w:bidi="ar-SA"/>
        </w:rPr>
        <w:t>100%清偿</w:t>
      </w:r>
      <w:r>
        <w:rPr>
          <w:rFonts w:hint="eastAsia" w:cs="仿宋_GB2312"/>
          <w:color w:val="000000"/>
          <w:sz w:val="28"/>
          <w:szCs w:val="24"/>
          <w:lang w:val="en-US" w:eastAsia="zh-CN" w:bidi="ar-SA"/>
        </w:rPr>
        <w:t>。</w:t>
      </w:r>
      <w:r>
        <w:rPr>
          <w:rFonts w:hint="eastAsia" w:cs="仿宋_GB2312"/>
          <w:color w:val="000000"/>
          <w:sz w:val="28"/>
          <w:lang w:val="en-US" w:eastAsia="zh-CN"/>
        </w:rPr>
        <w:t>上述债权数额仅为职工欠薪总额，待投资人、管理人与全体职工协商确定离职或继续工作后，以工资数额与经济补偿金总和确定最终职工债权总额。</w:t>
      </w:r>
    </w:p>
    <w:p w14:paraId="697757A0">
      <w:pPr>
        <w:pStyle w:val="7"/>
        <w:numPr>
          <w:ilvl w:val="0"/>
          <w:numId w:val="2"/>
        </w:numPr>
        <w:spacing w:line="360" w:lineRule="auto"/>
        <w:ind w:firstLine="560" w:firstLineChars="200"/>
        <w:rPr>
          <w:rFonts w:hint="eastAsia" w:ascii="黑体" w:hAnsi="黑体" w:eastAsia="黑体" w:cs="黑体"/>
          <w:color w:val="000000"/>
          <w:sz w:val="28"/>
          <w:lang w:val="en-US" w:eastAsia="zh-CN"/>
        </w:rPr>
      </w:pPr>
      <w:r>
        <w:rPr>
          <w:rFonts w:hint="eastAsia" w:ascii="黑体" w:hAnsi="黑体" w:eastAsia="黑体" w:cs="黑体"/>
          <w:color w:val="000000"/>
          <w:sz w:val="28"/>
          <w:lang w:val="en-US" w:eastAsia="zh-CN"/>
        </w:rPr>
        <w:t>税款债权</w:t>
      </w:r>
    </w:p>
    <w:p w14:paraId="3E4AB463">
      <w:pPr>
        <w:pStyle w:val="7"/>
        <w:numPr>
          <w:ilvl w:val="0"/>
          <w:numId w:val="0"/>
        </w:numPr>
        <w:spacing w:line="360" w:lineRule="auto"/>
        <w:ind w:firstLine="560" w:firstLineChars="200"/>
        <w:rPr>
          <w:rFonts w:hint="default" w:cs="仿宋_GB2312"/>
          <w:color w:val="000000"/>
          <w:sz w:val="28"/>
          <w:lang w:val="en-US" w:eastAsia="zh-CN"/>
        </w:rPr>
      </w:pPr>
      <w:r>
        <w:rPr>
          <w:rFonts w:hint="default" w:cs="仿宋_GB2312"/>
          <w:color w:val="000000"/>
          <w:sz w:val="28"/>
          <w:lang w:val="en-US" w:eastAsia="zh-CN"/>
        </w:rPr>
        <w:t>欠缴税款</w:t>
      </w:r>
      <w:r>
        <w:rPr>
          <w:rFonts w:hint="eastAsia" w:cs="仿宋_GB2312"/>
          <w:color w:val="000000"/>
          <w:sz w:val="28"/>
          <w:lang w:val="en-US" w:eastAsia="zh-CN"/>
        </w:rPr>
        <w:t>及罚款</w:t>
      </w:r>
      <w:r>
        <w:rPr>
          <w:rFonts w:hint="default" w:cs="仿宋_GB2312"/>
          <w:color w:val="000000"/>
          <w:sz w:val="28"/>
          <w:lang w:val="en-US" w:eastAsia="zh-CN"/>
        </w:rPr>
        <w:t>由管理人核查确认金额后</w:t>
      </w:r>
      <w:r>
        <w:rPr>
          <w:rFonts w:hint="default" w:cs="仿宋_GB2312"/>
          <w:b/>
          <w:bCs/>
          <w:color w:val="000000"/>
          <w:sz w:val="28"/>
          <w:lang w:val="en-US" w:eastAsia="zh-CN"/>
        </w:rPr>
        <w:t>100%足额清偿</w:t>
      </w:r>
      <w:r>
        <w:rPr>
          <w:rFonts w:hint="eastAsia" w:cs="仿宋_GB2312"/>
          <w:color w:val="000000"/>
          <w:sz w:val="28"/>
          <w:lang w:val="en-US" w:eastAsia="zh-CN"/>
        </w:rPr>
        <w:t>，暂计500</w:t>
      </w:r>
      <w:r>
        <w:rPr>
          <w:rFonts w:hint="default" w:cs="仿宋_GB2312"/>
          <w:color w:val="000000"/>
          <w:sz w:val="28"/>
          <w:lang w:val="en-US" w:eastAsia="zh-CN"/>
        </w:rPr>
        <w:t>,</w:t>
      </w:r>
      <w:r>
        <w:rPr>
          <w:rFonts w:hint="eastAsia" w:cs="仿宋_GB2312"/>
          <w:color w:val="000000"/>
          <w:sz w:val="28"/>
          <w:lang w:val="en-US" w:eastAsia="zh-CN"/>
        </w:rPr>
        <w:t>000元</w:t>
      </w:r>
      <w:r>
        <w:rPr>
          <w:rFonts w:hint="default" w:cs="仿宋_GB2312"/>
          <w:color w:val="000000"/>
          <w:sz w:val="28"/>
          <w:lang w:val="en-US" w:eastAsia="zh-CN"/>
        </w:rPr>
        <w:t>。税款清偿完成后，管理人应向投资人和人民法院提供税务清偿证明，确保相关权利义务的履行。</w:t>
      </w:r>
    </w:p>
    <w:p w14:paraId="6E3282C1">
      <w:pPr>
        <w:pStyle w:val="7"/>
        <w:spacing w:line="360" w:lineRule="auto"/>
        <w:ind w:firstLine="560" w:firstLineChars="200"/>
        <w:rPr>
          <w:rFonts w:hint="eastAsia" w:ascii="黑体" w:hAnsi="黑体" w:eastAsia="黑体" w:cs="黑体"/>
          <w:b w:val="0"/>
          <w:bCs w:val="0"/>
        </w:rPr>
      </w:pPr>
      <w:r>
        <w:rPr>
          <w:rFonts w:hint="eastAsia" w:ascii="黑体" w:hAnsi="黑体" w:eastAsia="黑体" w:cs="黑体"/>
          <w:b w:val="0"/>
          <w:bCs w:val="0"/>
          <w:color w:val="000000"/>
          <w:sz w:val="28"/>
          <w:lang w:val="en-US" w:eastAsia="zh-CN"/>
        </w:rPr>
        <w:t>九、</w:t>
      </w:r>
      <w:r>
        <w:rPr>
          <w:rFonts w:hint="eastAsia" w:ascii="黑体" w:hAnsi="黑体" w:eastAsia="黑体" w:cs="黑体"/>
          <w:b w:val="0"/>
          <w:bCs w:val="0"/>
          <w:color w:val="000000"/>
          <w:sz w:val="28"/>
        </w:rPr>
        <w:t>普通债权清偿及比例计算</w:t>
      </w:r>
    </w:p>
    <w:p w14:paraId="58164C39">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普通债权分类与清偿</w:t>
      </w:r>
    </w:p>
    <w:p w14:paraId="6BEC875F">
      <w:pPr>
        <w:pStyle w:val="7"/>
        <w:spacing w:line="360" w:lineRule="auto"/>
        <w:ind w:firstLine="560" w:firstLineChars="200"/>
        <w:jc w:val="both"/>
        <w:rPr>
          <w:rFonts w:hint="eastAsia" w:eastAsia="仿宋_GB2312" w:cs="仿宋_GB2312"/>
          <w:color w:val="000000"/>
          <w:sz w:val="28"/>
          <w:lang w:eastAsia="zh-CN"/>
        </w:rPr>
      </w:pPr>
      <w:r>
        <w:rPr>
          <w:rFonts w:hint="eastAsia" w:ascii="仿宋_GB2312" w:hAnsi="仿宋_GB2312" w:eastAsia="仿宋_GB2312" w:cs="仿宋_GB2312"/>
          <w:color w:val="000000"/>
          <w:sz w:val="28"/>
        </w:rPr>
        <w:t>普通债权清偿的债权总额为人民币168,832,321.4元（该债权金额数据为截止2025年12月26日已申报债权尚未审查完毕及已审查完毕的债权总额153,769,903.1元+投资人预估2025年6月23日至人民法院裁定受理破产重整之日的利息300万元+担保债权核减额12,062,418.3元，最终普通债权金额以人民法院裁定确认数额为准。</w:t>
      </w:r>
      <w:r>
        <w:rPr>
          <w:rFonts w:hint="eastAsia" w:cs="仿宋_GB2312"/>
          <w:color w:val="000000"/>
          <w:sz w:val="28"/>
          <w:lang w:eastAsia="zh-CN"/>
        </w:rPr>
        <w:t>）</w:t>
      </w:r>
    </w:p>
    <w:p w14:paraId="0B7E7529">
      <w:pPr>
        <w:pStyle w:val="7"/>
        <w:spacing w:line="360" w:lineRule="auto"/>
        <w:ind w:firstLine="560" w:firstLineChars="200"/>
        <w:rPr>
          <w:rFonts w:ascii="仿宋_GB2312" w:hAnsi="仿宋_GB2312" w:eastAsia="仿宋_GB2312" w:cs="仿宋_GB2312"/>
          <w:color w:val="000000"/>
          <w:sz w:val="28"/>
        </w:rPr>
      </w:pPr>
      <w:r>
        <w:rPr>
          <w:rFonts w:hint="eastAsia" w:cs="仿宋_GB2312"/>
          <w:color w:val="000000"/>
          <w:sz w:val="28"/>
          <w:lang w:val="en-US" w:eastAsia="zh-CN"/>
        </w:rPr>
        <w:t>2、</w:t>
      </w:r>
      <w:r>
        <w:rPr>
          <w:rFonts w:ascii="仿宋_GB2312" w:hAnsi="仿宋_GB2312" w:eastAsia="仿宋_GB2312" w:cs="仿宋_GB2312"/>
          <w:color w:val="000000"/>
          <w:sz w:val="28"/>
        </w:rPr>
        <w:t>清偿比例计算方法</w:t>
      </w:r>
    </w:p>
    <w:p w14:paraId="7ABA56C2">
      <w:pPr>
        <w:pStyle w:val="7"/>
        <w:spacing w:line="360" w:lineRule="auto"/>
        <w:ind w:firstLine="560" w:firstLineChars="200"/>
        <w:jc w:val="both"/>
        <w:rPr>
          <w:rFonts w:hint="eastAsia" w:cs="仿宋_GB2312"/>
          <w:color w:val="000000"/>
          <w:sz w:val="28"/>
          <w:lang w:val="en-US" w:eastAsia="zh-CN"/>
        </w:rPr>
      </w:pPr>
      <w:r>
        <w:rPr>
          <w:rFonts w:ascii="仿宋_GB2312" w:hAnsi="仿宋_GB2312" w:eastAsia="仿宋_GB2312" w:cs="仿宋_GB2312"/>
          <w:color w:val="000000"/>
          <w:sz w:val="28"/>
        </w:rPr>
        <w:t>具体清偿比例</w:t>
      </w:r>
      <w:r>
        <w:rPr>
          <w:rFonts w:hint="eastAsia" w:cs="仿宋_GB2312"/>
          <w:color w:val="000000"/>
          <w:sz w:val="28"/>
          <w:lang w:val="en-US" w:eastAsia="zh-CN"/>
        </w:rPr>
        <w:t>计算如下：</w:t>
      </w:r>
    </w:p>
    <w:p w14:paraId="07C56DF0">
      <w:pPr>
        <w:pStyle w:val="7"/>
        <w:spacing w:line="360" w:lineRule="auto"/>
        <w:ind w:firstLine="560" w:firstLineChars="200"/>
        <w:jc w:val="left"/>
        <w:rPr>
          <w:rFonts w:hint="eastAsia" w:cs="仿宋_GB2312"/>
          <w:color w:val="000000"/>
          <w:sz w:val="28"/>
          <w:lang w:val="en-US" w:eastAsia="zh-CN"/>
        </w:rPr>
      </w:pPr>
      <w:r>
        <w:rPr>
          <w:rFonts w:hint="eastAsia" w:cs="仿宋_GB2312"/>
          <w:color w:val="000000"/>
          <w:sz w:val="28"/>
          <w:lang w:val="en-US" w:eastAsia="zh-CN"/>
        </w:rPr>
        <w:t>剩余款项计算：投资款130,000,000元-担保债权100%清偿总额83</w:t>
      </w:r>
      <w:r>
        <w:rPr>
          <w:rFonts w:hint="default" w:cs="仿宋_GB2312"/>
          <w:color w:val="000000"/>
          <w:sz w:val="28"/>
          <w:lang w:val="en-US" w:eastAsia="zh-CN"/>
        </w:rPr>
        <w:t>,</w:t>
      </w:r>
      <w:r>
        <w:rPr>
          <w:rFonts w:hint="eastAsia" w:cs="仿宋_GB2312"/>
          <w:color w:val="000000"/>
          <w:sz w:val="28"/>
          <w:lang w:val="en-US" w:eastAsia="zh-CN"/>
        </w:rPr>
        <w:t>101</w:t>
      </w:r>
      <w:r>
        <w:rPr>
          <w:rFonts w:hint="default" w:cs="仿宋_GB2312"/>
          <w:color w:val="000000"/>
          <w:sz w:val="28"/>
          <w:lang w:val="en-US" w:eastAsia="zh-CN"/>
        </w:rPr>
        <w:t>,</w:t>
      </w:r>
      <w:r>
        <w:rPr>
          <w:rFonts w:hint="eastAsia" w:cs="仿宋_GB2312"/>
          <w:color w:val="000000"/>
          <w:sz w:val="28"/>
          <w:lang w:val="en-US" w:eastAsia="zh-CN"/>
        </w:rPr>
        <w:t>264.43元-破产费用与共益债务5,000,000元-欠缴税费及罚款500,000元-职工债权5,154,416.65元=36,244,318.92元</w:t>
      </w:r>
    </w:p>
    <w:p w14:paraId="60BE8321">
      <w:pPr>
        <w:pStyle w:val="7"/>
        <w:spacing w:line="360" w:lineRule="auto"/>
        <w:ind w:firstLine="562" w:firstLineChars="200"/>
        <w:jc w:val="both"/>
        <w:rPr>
          <w:rFonts w:hint="default" w:eastAsia="仿宋_GB2312" w:cs="仿宋_GB2312"/>
          <w:b/>
          <w:bCs/>
          <w:color w:val="000000"/>
          <w:sz w:val="28"/>
          <w:lang w:val="en-US" w:eastAsia="zh-CN"/>
        </w:rPr>
      </w:pPr>
      <w:r>
        <w:rPr>
          <w:rFonts w:hint="eastAsia" w:cs="仿宋_GB2312"/>
          <w:b/>
          <w:bCs/>
          <w:color w:val="000000"/>
          <w:sz w:val="28"/>
          <w:lang w:val="en-US" w:eastAsia="zh-CN"/>
        </w:rPr>
        <w:t>清偿比例：剩余款项36,244,318.92元/普通债权168</w:t>
      </w:r>
      <w:r>
        <w:rPr>
          <w:rFonts w:hint="default" w:cs="仿宋_GB2312"/>
          <w:b/>
          <w:bCs/>
          <w:color w:val="000000"/>
          <w:sz w:val="28"/>
          <w:lang w:val="en-US" w:eastAsia="zh-CN"/>
        </w:rPr>
        <w:t>,</w:t>
      </w:r>
      <w:r>
        <w:rPr>
          <w:rFonts w:hint="eastAsia" w:cs="仿宋_GB2312"/>
          <w:b/>
          <w:bCs/>
          <w:color w:val="000000"/>
          <w:sz w:val="28"/>
          <w:lang w:val="en-US" w:eastAsia="zh-CN"/>
        </w:rPr>
        <w:t>832</w:t>
      </w:r>
      <w:r>
        <w:rPr>
          <w:rFonts w:hint="default" w:cs="仿宋_GB2312"/>
          <w:b/>
          <w:bCs/>
          <w:color w:val="000000"/>
          <w:sz w:val="28"/>
          <w:lang w:val="en-US" w:eastAsia="zh-CN"/>
        </w:rPr>
        <w:t>,</w:t>
      </w:r>
      <w:r>
        <w:rPr>
          <w:rFonts w:hint="eastAsia" w:cs="仿宋_GB2312"/>
          <w:b/>
          <w:bCs/>
          <w:color w:val="000000"/>
          <w:sz w:val="28"/>
          <w:lang w:val="en-US" w:eastAsia="zh-CN"/>
        </w:rPr>
        <w:t>321.4元=21.47%</w:t>
      </w:r>
    </w:p>
    <w:p w14:paraId="51FF7730">
      <w:pPr>
        <w:pStyle w:val="7"/>
        <w:spacing w:line="360" w:lineRule="auto"/>
        <w:ind w:firstLine="562" w:firstLineChars="200"/>
        <w:jc w:val="both"/>
      </w:pPr>
      <w:r>
        <w:rPr>
          <w:rFonts w:hint="eastAsia" w:cs="仿宋_GB2312"/>
          <w:b/>
          <w:bCs/>
          <w:color w:val="000000"/>
          <w:sz w:val="28"/>
          <w:lang w:val="en-US" w:eastAsia="zh-CN"/>
        </w:rPr>
        <w:t>注：为制定本重整计划草案，所使用的债权与费用数据包括：经管理人初步审查、复查确认的债权金额，以及为审慎评估重整成本而由投资人暂估的破产费用、共益债务、职工经济补偿金、税费、尚未审查完毕的债权、2025年6月23日至人民法院裁定进入破产重整程序期间尚未计算的债权利息等项目金额。投资人已在其合理判断范围内，对该等暂估项目尽量按照可能发生的较高金额予以预估。所有前述数据均为本方案现阶段测算之用的暂估信息，不构成任何最终承诺。 其中，债权的最终金额须经债权人会议核查并由人民法院裁定确认；破产费用、共益债务、职工经济补偿金、税费等项目金额，最终以管理人依规审核确定的数额为准。本方案所载的全部清偿安排（包括第九条所示的普通债权清偿比例），将基于前述经法定或规定程序最终确定的全部数据予以调整并执行。</w:t>
      </w:r>
    </w:p>
    <w:p w14:paraId="1B2D654C">
      <w:pPr>
        <w:pStyle w:val="7"/>
        <w:spacing w:line="360" w:lineRule="auto"/>
        <w:ind w:firstLine="560" w:firstLineChars="200"/>
      </w:pPr>
      <w:r>
        <w:rPr>
          <w:rFonts w:hint="eastAsia" w:cs="仿宋_GB2312"/>
          <w:color w:val="000000"/>
          <w:sz w:val="28"/>
          <w:lang w:val="en-US" w:eastAsia="zh-CN"/>
        </w:rPr>
        <w:t>3、</w:t>
      </w:r>
      <w:r>
        <w:rPr>
          <w:rFonts w:ascii="仿宋_GB2312" w:hAnsi="仿宋_GB2312" w:eastAsia="仿宋_GB2312" w:cs="仿宋_GB2312"/>
          <w:color w:val="000000"/>
          <w:sz w:val="28"/>
        </w:rPr>
        <w:t>清偿方式与时间</w:t>
      </w:r>
    </w:p>
    <w:p w14:paraId="14BD5435">
      <w:pPr>
        <w:pStyle w:val="7"/>
        <w:spacing w:line="360" w:lineRule="auto"/>
        <w:ind w:firstLine="560" w:firstLineChars="200"/>
      </w:pPr>
      <w:r>
        <w:rPr>
          <w:rFonts w:ascii="仿宋_GB2312" w:hAnsi="仿宋_GB2312" w:eastAsia="仿宋_GB2312" w:cs="仿宋_GB2312"/>
          <w:color w:val="000000"/>
          <w:sz w:val="28"/>
        </w:rPr>
        <w:t>普通债权清偿采取分期付款方式，分</w:t>
      </w:r>
      <w:r>
        <w:rPr>
          <w:rFonts w:hint="eastAsia" w:cs="仿宋_GB2312"/>
          <w:color w:val="000000"/>
          <w:sz w:val="28"/>
          <w:lang w:val="en-US" w:eastAsia="zh-CN"/>
        </w:rPr>
        <w:t>四</w:t>
      </w:r>
      <w:r>
        <w:rPr>
          <w:rFonts w:ascii="仿宋_GB2312" w:hAnsi="仿宋_GB2312" w:eastAsia="仿宋_GB2312" w:cs="仿宋_GB2312"/>
          <w:color w:val="000000"/>
          <w:sz w:val="28"/>
        </w:rPr>
        <w:t>期完成，具体时间与投资款支付进度一致。清偿进度由管理人定期向</w:t>
      </w:r>
      <w:r>
        <w:rPr>
          <w:rFonts w:hint="eastAsia" w:cs="仿宋_GB2312"/>
          <w:color w:val="000000"/>
          <w:sz w:val="28"/>
          <w:lang w:eastAsia="zh-CN"/>
        </w:rPr>
        <w:t>投资人</w:t>
      </w:r>
      <w:r>
        <w:rPr>
          <w:rFonts w:ascii="仿宋_GB2312" w:hAnsi="仿宋_GB2312" w:eastAsia="仿宋_GB2312" w:cs="仿宋_GB2312"/>
          <w:color w:val="000000"/>
          <w:sz w:val="28"/>
        </w:rPr>
        <w:t>和债权人通报，确保清偿进度的透明和可控。</w:t>
      </w:r>
    </w:p>
    <w:p w14:paraId="2AA2EADF">
      <w:pPr>
        <w:pStyle w:val="7"/>
        <w:spacing w:line="360" w:lineRule="auto"/>
        <w:ind w:firstLine="560" w:firstLineChars="200"/>
        <w:rPr>
          <w:rFonts w:hint="eastAsia" w:ascii="黑体" w:hAnsi="黑体" w:eastAsia="黑体" w:cs="黑体"/>
        </w:rPr>
      </w:pPr>
      <w:r>
        <w:rPr>
          <w:rFonts w:hint="eastAsia" w:ascii="黑体" w:hAnsi="黑体" w:eastAsia="黑体" w:cs="黑体"/>
          <w:color w:val="000000"/>
          <w:sz w:val="28"/>
        </w:rPr>
        <w:t>十</w:t>
      </w:r>
      <w:r>
        <w:rPr>
          <w:rFonts w:hint="eastAsia" w:ascii="黑体" w:hAnsi="黑体" w:eastAsia="黑体" w:cs="黑体"/>
          <w:color w:val="000000"/>
          <w:sz w:val="28"/>
          <w:lang w:val="en-US" w:eastAsia="zh-CN"/>
        </w:rPr>
        <w:t>、</w:t>
      </w:r>
      <w:r>
        <w:rPr>
          <w:rFonts w:hint="eastAsia" w:ascii="黑体" w:hAnsi="黑体" w:eastAsia="黑体" w:cs="黑体"/>
          <w:color w:val="000000"/>
          <w:sz w:val="28"/>
        </w:rPr>
        <w:t>经营管理与人员安排</w:t>
      </w:r>
    </w:p>
    <w:p w14:paraId="1A5B2E9C">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经营管理权</w:t>
      </w:r>
    </w:p>
    <w:p w14:paraId="4ED1508B">
      <w:pPr>
        <w:pStyle w:val="7"/>
        <w:spacing w:line="360" w:lineRule="auto"/>
        <w:ind w:firstLine="560" w:firstLineChars="20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自重整计划获人民法院裁定批准之日起，由投资人及其组建的管理团队全面负责债务人的经营管理工作。投资人有权支配债务人为维持正常运营而开设或沿用的经营账户内的资金，用于支付设备改造、人员工资、原料采购、水电费等经营性支出。</w:t>
      </w:r>
    </w:p>
    <w:p w14:paraId="75CA5D44">
      <w:pPr>
        <w:pStyle w:val="7"/>
        <w:spacing w:line="360" w:lineRule="auto"/>
        <w:ind w:firstLine="560" w:firstLineChars="200"/>
        <w:rPr>
          <w:rFonts w:hint="default" w:eastAsia="仿宋_GB2312"/>
          <w:lang w:val="en-US" w:eastAsia="zh-CN"/>
        </w:rPr>
      </w:pPr>
      <w:r>
        <w:rPr>
          <w:rFonts w:hint="eastAsia" w:ascii="仿宋_GB2312" w:hAnsi="仿宋_GB2312" w:eastAsia="仿宋_GB2312" w:cs="仿宋_GB2312"/>
          <w:color w:val="000000"/>
          <w:sz w:val="28"/>
        </w:rPr>
        <w:t>但投资人转入临时管理人账户的投资款，其用途与拨付应严格按照人民法院批准的重整计划执行，确保债务清偿方案的履行。投资人有权对管理人清偿行为进行监督。</w:t>
      </w:r>
    </w:p>
    <w:p w14:paraId="1F1BA1A3">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人员安排</w:t>
      </w:r>
    </w:p>
    <w:p w14:paraId="3AA6E0ED">
      <w:pPr>
        <w:pStyle w:val="7"/>
        <w:spacing w:line="360" w:lineRule="auto"/>
        <w:ind w:firstLine="560" w:firstLineChars="200"/>
        <w:rPr>
          <w:rFonts w:ascii="仿宋_GB2312" w:hAnsi="仿宋_GB2312" w:eastAsia="仿宋_GB2312" w:cs="仿宋_GB2312"/>
          <w:color w:val="000000"/>
          <w:sz w:val="28"/>
        </w:rPr>
      </w:pPr>
      <w:r>
        <w:rPr>
          <w:rFonts w:hint="eastAsia" w:cs="仿宋_GB2312"/>
          <w:color w:val="000000"/>
          <w:sz w:val="28"/>
          <w:lang w:eastAsia="zh-CN"/>
        </w:rPr>
        <w:t>债务人的原有员工安置，应依据人民法院裁定批准的重整计划执行。在重整计划框架内，投资人有权根据重整后企业的实际经营需要，依法对人员岗位、编制等进行优化调整。自重整计划获法院批准之日起，由投资人组建或指定的管理团队全面负责债务人的经营管理与决策，债务人及其原管理人员应予充分配合，以确保经营管理的平稳过渡与有效运行。</w:t>
      </w:r>
    </w:p>
    <w:p w14:paraId="568C0327">
      <w:pPr>
        <w:pStyle w:val="7"/>
        <w:spacing w:line="360" w:lineRule="auto"/>
        <w:ind w:firstLine="560" w:firstLineChars="200"/>
        <w:rPr>
          <w:rFonts w:hint="default" w:cs="仿宋_GB2312"/>
          <w:color w:val="000000"/>
          <w:sz w:val="28"/>
          <w:lang w:val="en-US" w:eastAsia="zh-CN"/>
        </w:rPr>
      </w:pPr>
      <w:r>
        <w:rPr>
          <w:rFonts w:hint="eastAsia" w:cs="仿宋_GB2312"/>
          <w:color w:val="000000"/>
          <w:sz w:val="28"/>
          <w:lang w:val="en-US" w:eastAsia="zh-CN"/>
        </w:rPr>
        <w:t>3、利润分配与亏损处理</w:t>
      </w:r>
    </w:p>
    <w:p w14:paraId="6A5D7992">
      <w:pPr>
        <w:pStyle w:val="7"/>
        <w:spacing w:line="360" w:lineRule="auto"/>
        <w:ind w:firstLine="562" w:firstLineChars="200"/>
        <w:rPr>
          <w:rFonts w:hint="default" w:cs="仿宋_GB2312"/>
          <w:b/>
          <w:bCs/>
          <w:color w:val="000000"/>
          <w:sz w:val="28"/>
          <w:lang w:val="en-US" w:eastAsia="zh-CN"/>
        </w:rPr>
      </w:pPr>
      <w:r>
        <w:rPr>
          <w:rFonts w:hint="eastAsia" w:cs="仿宋_GB2312"/>
          <w:b/>
          <w:bCs/>
          <w:color w:val="000000"/>
          <w:sz w:val="28"/>
          <w:lang w:val="en-US" w:eastAsia="zh-CN"/>
        </w:rPr>
        <w:t>重整执行阶段，若债务人在经营过程中出现盈利或亏损情况，投资人可自行选择是否继续投资运营，但不得影响或变更重整方案中债务清偿方案的执行。</w:t>
      </w:r>
    </w:p>
    <w:p w14:paraId="16A6E7D5">
      <w:pPr>
        <w:pStyle w:val="7"/>
        <w:spacing w:line="360" w:lineRule="auto"/>
        <w:ind w:firstLine="560" w:firstLineChars="200"/>
        <w:rPr>
          <w:rFonts w:hint="eastAsia" w:ascii="黑体" w:hAnsi="黑体" w:eastAsia="黑体" w:cs="黑体"/>
        </w:rPr>
      </w:pPr>
      <w:r>
        <w:rPr>
          <w:rFonts w:hint="eastAsia" w:ascii="黑体" w:hAnsi="黑体" w:eastAsia="黑体" w:cs="黑体"/>
          <w:color w:val="000000"/>
          <w:sz w:val="28"/>
          <w:lang w:val="en-US" w:eastAsia="zh-CN"/>
        </w:rPr>
        <w:t>十一、</w:t>
      </w:r>
      <w:r>
        <w:rPr>
          <w:rFonts w:hint="eastAsia" w:ascii="黑体" w:hAnsi="黑体" w:eastAsia="黑体" w:cs="黑体"/>
          <w:color w:val="000000"/>
          <w:sz w:val="28"/>
        </w:rPr>
        <w:t>股权无偿让渡与过户安排</w:t>
      </w:r>
    </w:p>
    <w:p w14:paraId="35733444">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股权让渡</w:t>
      </w:r>
    </w:p>
    <w:p w14:paraId="310987D9">
      <w:pPr>
        <w:pStyle w:val="7"/>
        <w:spacing w:line="360" w:lineRule="auto"/>
        <w:ind w:firstLine="560" w:firstLineChars="200"/>
        <w:jc w:val="both"/>
      </w:pPr>
      <w:r>
        <w:rPr>
          <w:rFonts w:ascii="仿宋_GB2312" w:hAnsi="仿宋_GB2312" w:eastAsia="仿宋_GB2312" w:cs="仿宋_GB2312"/>
          <w:color w:val="000000"/>
          <w:sz w:val="28"/>
        </w:rPr>
        <w:t>原股东应将100%股权无偿让渡给</w:t>
      </w:r>
      <w:r>
        <w:rPr>
          <w:rFonts w:hint="eastAsia" w:cs="仿宋_GB2312"/>
          <w:color w:val="000000"/>
          <w:sz w:val="28"/>
          <w:lang w:eastAsia="zh-CN"/>
        </w:rPr>
        <w:t>投资人</w:t>
      </w:r>
      <w:r>
        <w:rPr>
          <w:rFonts w:ascii="仿宋_GB2312" w:hAnsi="仿宋_GB2312" w:eastAsia="仿宋_GB2312" w:cs="仿宋_GB2312"/>
          <w:color w:val="000000"/>
          <w:sz w:val="28"/>
        </w:rPr>
        <w:t>指定的公司，注册资本不变。法定代表人和公司高级管理人员由</w:t>
      </w:r>
      <w:r>
        <w:rPr>
          <w:rFonts w:hint="eastAsia" w:cs="仿宋_GB2312"/>
          <w:color w:val="000000"/>
          <w:sz w:val="28"/>
          <w:lang w:eastAsia="zh-CN"/>
        </w:rPr>
        <w:t>投资人</w:t>
      </w:r>
      <w:r>
        <w:rPr>
          <w:rFonts w:ascii="仿宋_GB2312" w:hAnsi="仿宋_GB2312" w:eastAsia="仿宋_GB2312" w:cs="仿宋_GB2312"/>
          <w:color w:val="000000"/>
          <w:sz w:val="28"/>
        </w:rPr>
        <w:t>指派，确保</w:t>
      </w:r>
      <w:r>
        <w:rPr>
          <w:rFonts w:hint="eastAsia" w:cs="仿宋_GB2312"/>
          <w:color w:val="000000"/>
          <w:sz w:val="28"/>
          <w:lang w:eastAsia="zh-CN"/>
        </w:rPr>
        <w:t>投资人</w:t>
      </w:r>
      <w:r>
        <w:rPr>
          <w:rFonts w:ascii="仿宋_GB2312" w:hAnsi="仿宋_GB2312" w:eastAsia="仿宋_GB2312" w:cs="仿宋_GB2312"/>
          <w:color w:val="000000"/>
          <w:sz w:val="28"/>
        </w:rPr>
        <w:t>对企业的实际控制权。</w:t>
      </w:r>
    </w:p>
    <w:p w14:paraId="1C01EA4A">
      <w:pPr>
        <w:pStyle w:val="7"/>
        <w:spacing w:line="360" w:lineRule="auto"/>
        <w:ind w:firstLine="560" w:firstLineChars="200"/>
      </w:pPr>
      <w:r>
        <w:rPr>
          <w:rFonts w:hint="eastAsia" w:cs="仿宋_GB2312"/>
          <w:color w:val="000000"/>
          <w:sz w:val="28"/>
          <w:lang w:val="en-US" w:eastAsia="zh-CN"/>
        </w:rPr>
        <w:t>2、股权变更</w:t>
      </w:r>
      <w:r>
        <w:rPr>
          <w:rFonts w:ascii="仿宋_GB2312" w:hAnsi="仿宋_GB2312" w:eastAsia="仿宋_GB2312" w:cs="仿宋_GB2312"/>
          <w:color w:val="000000"/>
          <w:sz w:val="28"/>
        </w:rPr>
        <w:t>手续</w:t>
      </w:r>
    </w:p>
    <w:p w14:paraId="402CA5E5">
      <w:pPr>
        <w:pStyle w:val="7"/>
        <w:spacing w:line="360" w:lineRule="auto"/>
        <w:ind w:firstLine="560" w:firstLineChars="200"/>
      </w:pPr>
      <w:r>
        <w:rPr>
          <w:rFonts w:ascii="仿宋_GB2312" w:hAnsi="仿宋_GB2312" w:eastAsia="仿宋_GB2312" w:cs="仿宋_GB2312"/>
          <w:color w:val="000000"/>
          <w:sz w:val="28"/>
        </w:rPr>
        <w:t>自人民法院裁定批准重整方案之日起5日内，</w:t>
      </w:r>
      <w:r>
        <w:rPr>
          <w:rFonts w:hint="eastAsia" w:cs="仿宋_GB2312"/>
          <w:color w:val="000000"/>
          <w:sz w:val="28"/>
          <w:lang w:val="en-US" w:eastAsia="zh-CN"/>
        </w:rPr>
        <w:t>债务人</w:t>
      </w:r>
      <w:r>
        <w:rPr>
          <w:rFonts w:ascii="仿宋_GB2312" w:hAnsi="仿宋_GB2312" w:eastAsia="仿宋_GB2312" w:cs="仿宋_GB2312"/>
          <w:color w:val="000000"/>
          <w:sz w:val="28"/>
        </w:rPr>
        <w:t>应无偿办理股权变更手续。股权变更所需的全部文件由</w:t>
      </w:r>
      <w:r>
        <w:rPr>
          <w:rFonts w:hint="eastAsia" w:cs="仿宋_GB2312"/>
          <w:color w:val="000000"/>
          <w:sz w:val="28"/>
          <w:lang w:val="en-US" w:eastAsia="zh-CN"/>
        </w:rPr>
        <w:t>双方</w:t>
      </w:r>
      <w:r>
        <w:rPr>
          <w:rFonts w:ascii="仿宋_GB2312" w:hAnsi="仿宋_GB2312" w:eastAsia="仿宋_GB2312" w:cs="仿宋_GB2312"/>
          <w:color w:val="000000"/>
          <w:sz w:val="28"/>
        </w:rPr>
        <w:t>及管理人共同准备，</w:t>
      </w:r>
      <w:r>
        <w:rPr>
          <w:rFonts w:hint="eastAsia" w:cs="仿宋_GB2312"/>
          <w:color w:val="000000"/>
          <w:sz w:val="28"/>
          <w:lang w:val="en-US" w:eastAsia="zh-CN"/>
        </w:rPr>
        <w:t>债务人</w:t>
      </w:r>
      <w:r>
        <w:rPr>
          <w:rFonts w:ascii="仿宋_GB2312" w:hAnsi="仿宋_GB2312" w:eastAsia="仿宋_GB2312" w:cs="仿宋_GB2312"/>
          <w:color w:val="000000"/>
          <w:sz w:val="28"/>
        </w:rPr>
        <w:t>应积极配合，确保股权变更及时顺利完成。</w:t>
      </w:r>
    </w:p>
    <w:p w14:paraId="0B8CA431">
      <w:pPr>
        <w:pStyle w:val="7"/>
        <w:spacing w:line="360" w:lineRule="auto"/>
        <w:ind w:firstLine="560" w:firstLineChars="200"/>
      </w:pPr>
      <w:r>
        <w:rPr>
          <w:rFonts w:hint="eastAsia" w:cs="仿宋_GB2312"/>
          <w:color w:val="000000"/>
          <w:sz w:val="28"/>
          <w:lang w:val="en-US" w:eastAsia="zh-CN"/>
        </w:rPr>
        <w:t>3、</w:t>
      </w:r>
      <w:r>
        <w:rPr>
          <w:rFonts w:ascii="仿宋_GB2312" w:hAnsi="仿宋_GB2312" w:eastAsia="仿宋_GB2312" w:cs="仿宋_GB2312"/>
          <w:color w:val="000000"/>
          <w:sz w:val="28"/>
        </w:rPr>
        <w:t>保障措施</w:t>
      </w:r>
    </w:p>
    <w:p w14:paraId="15F4D878">
      <w:pPr>
        <w:pStyle w:val="7"/>
        <w:spacing w:line="360" w:lineRule="auto"/>
        <w:ind w:firstLine="560" w:firstLineChars="200"/>
      </w:pPr>
      <w:r>
        <w:rPr>
          <w:rFonts w:ascii="仿宋_GB2312" w:hAnsi="仿宋_GB2312" w:eastAsia="仿宋_GB2312" w:cs="仿宋_GB2312"/>
          <w:color w:val="000000"/>
          <w:sz w:val="28"/>
        </w:rPr>
        <w:t>如原股东拒绝办理股权变更，</w:t>
      </w:r>
      <w:r>
        <w:rPr>
          <w:rFonts w:hint="eastAsia" w:cs="仿宋_GB2312"/>
          <w:color w:val="000000"/>
          <w:sz w:val="28"/>
          <w:lang w:eastAsia="zh-CN"/>
        </w:rPr>
        <w:t>投资人</w:t>
      </w:r>
      <w:r>
        <w:rPr>
          <w:rFonts w:ascii="仿宋_GB2312" w:hAnsi="仿宋_GB2312" w:eastAsia="仿宋_GB2312" w:cs="仿宋_GB2312"/>
          <w:color w:val="000000"/>
          <w:sz w:val="28"/>
        </w:rPr>
        <w:t>有权请求人民法院强制执行。股权变更完成后，</w:t>
      </w:r>
      <w:r>
        <w:rPr>
          <w:rFonts w:hint="eastAsia" w:cs="仿宋_GB2312"/>
          <w:color w:val="000000"/>
          <w:sz w:val="28"/>
          <w:lang w:eastAsia="zh-CN"/>
        </w:rPr>
        <w:t>投资人</w:t>
      </w:r>
      <w:r>
        <w:rPr>
          <w:rFonts w:ascii="仿宋_GB2312" w:hAnsi="仿宋_GB2312" w:eastAsia="仿宋_GB2312" w:cs="仿宋_GB2312"/>
          <w:color w:val="000000"/>
          <w:sz w:val="28"/>
        </w:rPr>
        <w:t>指定人员全面接管企业经营管理权，确保企业经营的连续性和稳定性。</w:t>
      </w:r>
    </w:p>
    <w:p w14:paraId="4F92229E">
      <w:pPr>
        <w:pStyle w:val="7"/>
        <w:spacing w:line="360" w:lineRule="auto"/>
        <w:ind w:firstLine="560" w:firstLineChars="200"/>
        <w:rPr>
          <w:rFonts w:hint="eastAsia" w:ascii="黑体" w:hAnsi="黑体" w:eastAsia="黑体" w:cs="黑体"/>
        </w:rPr>
      </w:pPr>
      <w:r>
        <w:rPr>
          <w:rFonts w:hint="eastAsia" w:ascii="黑体" w:hAnsi="黑体" w:eastAsia="黑体" w:cs="黑体"/>
          <w:color w:val="000000"/>
          <w:sz w:val="28"/>
        </w:rPr>
        <w:t>十</w:t>
      </w:r>
      <w:r>
        <w:rPr>
          <w:rFonts w:hint="eastAsia" w:ascii="黑体" w:hAnsi="黑体" w:eastAsia="黑体" w:cs="黑体"/>
          <w:color w:val="000000"/>
          <w:sz w:val="28"/>
          <w:lang w:val="en-US" w:eastAsia="zh-CN"/>
        </w:rPr>
        <w:t>二、</w:t>
      </w:r>
      <w:r>
        <w:rPr>
          <w:rFonts w:hint="eastAsia" w:ascii="黑体" w:hAnsi="黑体" w:eastAsia="黑体" w:cs="黑体"/>
          <w:color w:val="000000"/>
          <w:sz w:val="28"/>
        </w:rPr>
        <w:t>管理人与法院协同机制</w:t>
      </w:r>
    </w:p>
    <w:p w14:paraId="4C027491">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管理人职责</w:t>
      </w:r>
    </w:p>
    <w:p w14:paraId="3439B607">
      <w:pPr>
        <w:pStyle w:val="7"/>
        <w:spacing w:line="360" w:lineRule="auto"/>
        <w:ind w:firstLine="560" w:firstLineChars="200"/>
      </w:pPr>
      <w:r>
        <w:rPr>
          <w:rFonts w:ascii="仿宋_GB2312" w:hAnsi="仿宋_GB2312" w:eastAsia="仿宋_GB2312" w:cs="仿宋_GB2312"/>
          <w:color w:val="000000"/>
          <w:sz w:val="28"/>
        </w:rPr>
        <w:t>管理人负责重整计划的编制、债权核查、资产评估、资金监管等工作。管理人应定期向</w:t>
      </w:r>
      <w:r>
        <w:rPr>
          <w:rFonts w:hint="eastAsia" w:cs="仿宋_GB2312"/>
          <w:color w:val="000000"/>
          <w:sz w:val="28"/>
          <w:lang w:eastAsia="zh-CN"/>
        </w:rPr>
        <w:t>投资人</w:t>
      </w:r>
      <w:r>
        <w:rPr>
          <w:rFonts w:ascii="仿宋_GB2312" w:hAnsi="仿宋_GB2312" w:eastAsia="仿宋_GB2312" w:cs="仿宋_GB2312"/>
          <w:color w:val="000000"/>
          <w:sz w:val="28"/>
        </w:rPr>
        <w:t>、人民法院及债权人报告重整进度，确保各方知情权和参与权。</w:t>
      </w:r>
    </w:p>
    <w:p w14:paraId="3C9DC9E5">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法院协同</w:t>
      </w:r>
    </w:p>
    <w:p w14:paraId="798C6B9A">
      <w:pPr>
        <w:pStyle w:val="7"/>
        <w:spacing w:line="360" w:lineRule="auto"/>
        <w:ind w:firstLine="560" w:firstLineChars="200"/>
        <w:rPr>
          <w:rFonts w:ascii="仿宋_GB2312" w:hAnsi="仿宋_GB2312" w:eastAsia="仿宋_GB2312" w:cs="仿宋_GB2312"/>
          <w:color w:val="000000"/>
          <w:sz w:val="28"/>
        </w:rPr>
      </w:pPr>
      <w:r>
        <w:rPr>
          <w:rFonts w:ascii="仿宋_GB2312" w:hAnsi="仿宋_GB2312" w:eastAsia="仿宋_GB2312" w:cs="仿宋_GB2312"/>
          <w:color w:val="000000"/>
          <w:sz w:val="28"/>
        </w:rPr>
        <w:t>管理人应及时向人民法院汇报重整执行情况，并协助法院裁定相关事项。</w:t>
      </w:r>
      <w:r>
        <w:rPr>
          <w:rFonts w:hint="eastAsia" w:cs="仿宋_GB2312"/>
          <w:color w:val="000000"/>
          <w:sz w:val="28"/>
          <w:lang w:eastAsia="zh-CN"/>
        </w:rPr>
        <w:t>投资人</w:t>
      </w:r>
      <w:r>
        <w:rPr>
          <w:rFonts w:hint="eastAsia" w:cs="仿宋_GB2312"/>
          <w:color w:val="000000"/>
          <w:sz w:val="28"/>
          <w:lang w:val="en-US" w:eastAsia="zh-CN"/>
        </w:rPr>
        <w:t>可</w:t>
      </w:r>
      <w:r>
        <w:rPr>
          <w:rFonts w:ascii="仿宋_GB2312" w:hAnsi="仿宋_GB2312" w:eastAsia="仿宋_GB2312" w:cs="仿宋_GB2312"/>
          <w:color w:val="000000"/>
          <w:sz w:val="28"/>
        </w:rPr>
        <w:t>参与法院和管理人组织的重整协调会议，提出合理建议，保障投资人权益。</w:t>
      </w:r>
    </w:p>
    <w:p w14:paraId="5C58224B">
      <w:pPr>
        <w:pStyle w:val="7"/>
        <w:spacing w:line="360" w:lineRule="auto"/>
        <w:ind w:firstLine="560" w:firstLineChars="200"/>
        <w:rPr>
          <w:rFonts w:hint="eastAsia" w:ascii="黑体" w:hAnsi="黑体" w:eastAsia="黑体" w:cs="黑体"/>
        </w:rPr>
      </w:pPr>
      <w:r>
        <w:rPr>
          <w:rFonts w:hint="eastAsia" w:ascii="黑体" w:hAnsi="黑体" w:eastAsia="黑体" w:cs="黑体"/>
          <w:color w:val="000000"/>
          <w:sz w:val="28"/>
          <w:lang w:val="en-US" w:eastAsia="zh-CN"/>
        </w:rPr>
        <w:t>十三、</w:t>
      </w:r>
      <w:r>
        <w:rPr>
          <w:rFonts w:hint="eastAsia" w:ascii="黑体" w:hAnsi="黑体" w:eastAsia="黑体" w:cs="黑体"/>
          <w:color w:val="000000"/>
          <w:sz w:val="28"/>
        </w:rPr>
        <w:t>重整计划变更与调整机制</w:t>
      </w:r>
    </w:p>
    <w:p w14:paraId="0E49FC93">
      <w:pPr>
        <w:pStyle w:val="7"/>
        <w:spacing w:line="360" w:lineRule="auto"/>
        <w:ind w:firstLine="560" w:firstLineChars="200"/>
      </w:pPr>
      <w:r>
        <w:rPr>
          <w:rFonts w:hint="eastAsia" w:cs="仿宋_GB2312"/>
          <w:color w:val="000000"/>
          <w:sz w:val="28"/>
          <w:lang w:val="en-US" w:eastAsia="zh-CN"/>
        </w:rPr>
        <w:t>1、</w:t>
      </w:r>
      <w:r>
        <w:rPr>
          <w:rFonts w:ascii="仿宋_GB2312" w:hAnsi="仿宋_GB2312" w:eastAsia="仿宋_GB2312" w:cs="仿宋_GB2312"/>
          <w:color w:val="000000"/>
          <w:sz w:val="28"/>
        </w:rPr>
        <w:t>变更情形</w:t>
      </w:r>
    </w:p>
    <w:p w14:paraId="2C518C41">
      <w:pPr>
        <w:pStyle w:val="7"/>
        <w:spacing w:line="360" w:lineRule="auto"/>
        <w:ind w:firstLine="560" w:firstLineChars="200"/>
      </w:pPr>
      <w:r>
        <w:rPr>
          <w:rFonts w:ascii="仿宋_GB2312" w:hAnsi="仿宋_GB2312" w:eastAsia="仿宋_GB2312" w:cs="仿宋_GB2312"/>
          <w:color w:val="000000"/>
          <w:sz w:val="28"/>
        </w:rPr>
        <w:t>因法律政策变化、债权金额调整、企业经营状况发生重大变化等原因需变更重整计划时，管理人应及时通知</w:t>
      </w:r>
      <w:r>
        <w:rPr>
          <w:rFonts w:hint="eastAsia" w:cs="仿宋_GB2312"/>
          <w:color w:val="000000"/>
          <w:sz w:val="28"/>
          <w:lang w:eastAsia="zh-CN"/>
        </w:rPr>
        <w:t>投资人</w:t>
      </w:r>
      <w:r>
        <w:rPr>
          <w:rFonts w:ascii="仿宋_GB2312" w:hAnsi="仿宋_GB2312" w:eastAsia="仿宋_GB2312" w:cs="仿宋_GB2312"/>
          <w:color w:val="000000"/>
          <w:sz w:val="28"/>
        </w:rPr>
        <w:t>。</w:t>
      </w:r>
      <w:r>
        <w:rPr>
          <w:rFonts w:hint="eastAsia" w:cs="仿宋_GB2312"/>
          <w:color w:val="000000"/>
          <w:sz w:val="28"/>
          <w:lang w:eastAsia="zh-CN"/>
        </w:rPr>
        <w:t>投资人</w:t>
      </w:r>
      <w:r>
        <w:rPr>
          <w:rFonts w:ascii="仿宋_GB2312" w:hAnsi="仿宋_GB2312" w:eastAsia="仿宋_GB2312" w:cs="仿宋_GB2312"/>
          <w:color w:val="000000"/>
          <w:sz w:val="28"/>
        </w:rPr>
        <w:t>有权参与重整计划变更方案的制定，并提出调整建议。</w:t>
      </w:r>
    </w:p>
    <w:p w14:paraId="31269415">
      <w:pPr>
        <w:pStyle w:val="7"/>
        <w:spacing w:line="360" w:lineRule="auto"/>
        <w:ind w:firstLine="560" w:firstLineChars="200"/>
      </w:pPr>
      <w:r>
        <w:rPr>
          <w:rFonts w:hint="eastAsia" w:cs="仿宋_GB2312"/>
          <w:color w:val="000000"/>
          <w:sz w:val="28"/>
          <w:lang w:val="en-US" w:eastAsia="zh-CN"/>
        </w:rPr>
        <w:t>2、</w:t>
      </w:r>
      <w:r>
        <w:rPr>
          <w:rFonts w:ascii="仿宋_GB2312" w:hAnsi="仿宋_GB2312" w:eastAsia="仿宋_GB2312" w:cs="仿宋_GB2312"/>
          <w:color w:val="000000"/>
          <w:sz w:val="28"/>
        </w:rPr>
        <w:t>变更程序</w:t>
      </w:r>
    </w:p>
    <w:p w14:paraId="420CE132">
      <w:pPr>
        <w:pStyle w:val="7"/>
        <w:spacing w:line="360" w:lineRule="auto"/>
        <w:ind w:firstLine="560" w:firstLineChars="200"/>
        <w:rPr>
          <w:rFonts w:hint="eastAsia" w:cs="仿宋_GB2312"/>
          <w:color w:val="000000"/>
          <w:sz w:val="28"/>
          <w:lang w:eastAsia="zh-CN"/>
        </w:rPr>
      </w:pPr>
      <w:r>
        <w:rPr>
          <w:rFonts w:ascii="仿宋_GB2312" w:hAnsi="仿宋_GB2312" w:eastAsia="仿宋_GB2312" w:cs="仿宋_GB2312"/>
          <w:color w:val="000000"/>
          <w:sz w:val="28"/>
        </w:rPr>
        <w:t>重整计划的变更需经债权人会议表决通过，并报人民法院裁定</w:t>
      </w:r>
      <w:r>
        <w:rPr>
          <w:rFonts w:hint="eastAsia" w:cs="仿宋_GB2312"/>
          <w:color w:val="000000"/>
          <w:sz w:val="28"/>
          <w:lang w:eastAsia="zh-CN"/>
        </w:rPr>
        <w:t>。</w:t>
      </w:r>
    </w:p>
    <w:p w14:paraId="5FEA56FE">
      <w:pPr>
        <w:pStyle w:val="7"/>
        <w:spacing w:line="360" w:lineRule="auto"/>
        <w:ind w:firstLine="560" w:firstLineChars="200"/>
        <w:rPr>
          <w:rFonts w:hint="eastAsia" w:cs="仿宋_GB2312"/>
          <w:color w:val="000000"/>
          <w:sz w:val="28"/>
          <w:lang w:eastAsia="zh-CN"/>
        </w:rPr>
      </w:pPr>
    </w:p>
    <w:p w14:paraId="749A146A">
      <w:pPr>
        <w:pStyle w:val="7"/>
        <w:spacing w:line="360" w:lineRule="auto"/>
        <w:ind w:firstLine="560" w:firstLineChars="200"/>
        <w:rPr>
          <w:rFonts w:hint="eastAsia" w:cs="仿宋_GB2312"/>
          <w:color w:val="000000"/>
          <w:sz w:val="28"/>
          <w:lang w:eastAsia="zh-CN"/>
        </w:rPr>
      </w:pPr>
    </w:p>
    <w:p w14:paraId="3C5C6191">
      <w:pPr>
        <w:pStyle w:val="7"/>
        <w:spacing w:line="360" w:lineRule="auto"/>
        <w:ind w:firstLine="560" w:firstLineChars="200"/>
        <w:rPr>
          <w:rFonts w:hint="eastAsia" w:cs="仿宋_GB2312"/>
          <w:color w:val="000000"/>
          <w:sz w:val="28"/>
          <w:lang w:eastAsia="zh-CN"/>
        </w:rPr>
      </w:pPr>
    </w:p>
    <w:p w14:paraId="76A656F3">
      <w:pPr>
        <w:pStyle w:val="7"/>
        <w:spacing w:line="360" w:lineRule="auto"/>
        <w:ind w:firstLine="4760" w:firstLineChars="1700"/>
        <w:rPr>
          <w:rFonts w:hint="eastAsia" w:cs="仿宋_GB2312"/>
          <w:color w:val="000000"/>
          <w:sz w:val="28"/>
          <w:lang w:val="en-US" w:eastAsia="zh-CN"/>
        </w:rPr>
      </w:pPr>
      <w:r>
        <w:rPr>
          <w:rFonts w:hint="eastAsia" w:cs="仿宋_GB2312"/>
          <w:color w:val="000000"/>
          <w:sz w:val="28"/>
          <w:lang w:val="en-US" w:eastAsia="zh-CN"/>
        </w:rPr>
        <w:t>徐州普方工艺品有限公司</w:t>
      </w:r>
    </w:p>
    <w:p w14:paraId="7F8940AB">
      <w:pPr>
        <w:pStyle w:val="7"/>
        <w:spacing w:line="360" w:lineRule="auto"/>
        <w:ind w:firstLine="5320" w:firstLineChars="1900"/>
        <w:rPr>
          <w:rFonts w:hint="default" w:cs="仿宋_GB2312"/>
          <w:color w:val="000000"/>
          <w:sz w:val="28"/>
          <w:lang w:val="en-US" w:eastAsia="zh-CN"/>
        </w:rPr>
      </w:pPr>
      <w:r>
        <w:rPr>
          <w:rFonts w:hint="eastAsia" w:cs="仿宋_GB2312"/>
          <w:color w:val="000000"/>
          <w:sz w:val="28"/>
          <w:lang w:val="en-US" w:eastAsia="zh-CN"/>
        </w:rPr>
        <w:t>2025年12月26日</w:t>
      </w:r>
    </w:p>
    <w:p w14:paraId="0DCF901D">
      <w:pPr>
        <w:pStyle w:val="7"/>
        <w:spacing w:line="360" w:lineRule="auto"/>
        <w:ind w:firstLine="480" w:firstLineChars="200"/>
        <w:jc w:val="both"/>
        <w:rPr>
          <w:rFonts w:hint="default" w:ascii="仿宋_GB2312" w:hAnsi="仿宋_GB2312" w:eastAsia="仿宋_GB2312" w:cs="仿宋_GB2312"/>
          <w:sz w:val="24"/>
          <w:szCs w:val="24"/>
          <w:lang w:val="en-US" w:eastAsia="zh-CN"/>
        </w:rPr>
      </w:pPr>
    </w:p>
    <w:sectPr>
      <w:footerReference r:id="rId3" w:type="default"/>
      <w:pgSz w:w="11906" w:h="16838"/>
      <w:pgMar w:top="1440" w:right="1802" w:bottom="1440" w:left="1802"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18030">
    <w:altName w:val="方正仿宋_GBK"/>
    <w:panose1 w:val="02000000000000000000"/>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B60A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3A307">
                          <w:pPr>
                            <w:pStyle w:val="2"/>
                          </w:pPr>
                          <w:r>
                            <w:fldChar w:fldCharType="begin"/>
                          </w:r>
                          <w:r>
                            <w:rPr>
                              <w:rFonts w:ascii="仿宋_GB2312" w:hAnsi="仿宋_GB2312" w:eastAsia="仿宋_GB2312" w:cs="仿宋_GB2312"/>
                            </w:rPr>
                            <w:instrText xml:space="preserve"> PAGE  \* MERGEFORMAT </w:instrText>
                          </w:r>
                          <w:r>
                            <w:fldChar w:fldCharType="separate"/>
                          </w:r>
                          <w:r>
                            <w:rPr>
                              <w:rFonts w:ascii="仿宋_GB2312" w:hAnsi="仿宋_GB2312" w:eastAsia="仿宋_GB2312" w:cs="仿宋_GB2312"/>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893A307">
                    <w:pPr>
                      <w:pStyle w:val="2"/>
                    </w:pPr>
                    <w:r>
                      <w:fldChar w:fldCharType="begin"/>
                    </w:r>
                    <w:r>
                      <w:rPr>
                        <w:rFonts w:ascii="仿宋_GB2312" w:hAnsi="仿宋_GB2312" w:eastAsia="仿宋_GB2312" w:cs="仿宋_GB2312"/>
                      </w:rPr>
                      <w:instrText xml:space="preserve"> PAGE  \* MERGEFORMAT </w:instrText>
                    </w:r>
                    <w:r>
                      <w:fldChar w:fldCharType="separate"/>
                    </w:r>
                    <w:r>
                      <w:rPr>
                        <w:rFonts w:ascii="仿宋_GB2312" w:hAnsi="仿宋_GB2312" w:eastAsia="仿宋_GB2312" w:cs="仿宋_GB2312"/>
                      </w:rP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ED43D"/>
    <w:multiLevelType w:val="singleLevel"/>
    <w:tmpl w:val="BB6ED43D"/>
    <w:lvl w:ilvl="0" w:tentative="0">
      <w:start w:val="2"/>
      <w:numFmt w:val="chineseCounting"/>
      <w:suff w:val="space"/>
      <w:lvlText w:val="%1、"/>
      <w:lvlJc w:val="left"/>
      <w:rPr>
        <w:rFonts w:hint="eastAsia"/>
      </w:rPr>
    </w:lvl>
  </w:abstractNum>
  <w:abstractNum w:abstractNumId="1">
    <w:nsid w:val="FF73A35B"/>
    <w:multiLevelType w:val="singleLevel"/>
    <w:tmpl w:val="FF73A35B"/>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FE5A6FE"/>
    <w:rsid w:val="2DF73978"/>
    <w:rsid w:val="37D725B3"/>
    <w:rsid w:val="5B7FE60B"/>
    <w:rsid w:val="5EEB250F"/>
    <w:rsid w:val="5EFB862A"/>
    <w:rsid w:val="5EFF95BB"/>
    <w:rsid w:val="5FCEC721"/>
    <w:rsid w:val="6ABFE269"/>
    <w:rsid w:val="6BDFD856"/>
    <w:rsid w:val="6BFF573D"/>
    <w:rsid w:val="6F729E2B"/>
    <w:rsid w:val="77F4EFFF"/>
    <w:rsid w:val="7B5DBBC0"/>
    <w:rsid w:val="7BCF8D8C"/>
    <w:rsid w:val="7BF9E51B"/>
    <w:rsid w:val="7CDF9DAB"/>
    <w:rsid w:val="7E0FA34A"/>
    <w:rsid w:val="7EF92914"/>
    <w:rsid w:val="7F1B22EF"/>
    <w:rsid w:val="7F93349D"/>
    <w:rsid w:val="7FDE54B8"/>
    <w:rsid w:val="95FF2D85"/>
    <w:rsid w:val="AFFF7228"/>
    <w:rsid w:val="BC0D4361"/>
    <w:rsid w:val="BFAE9CF9"/>
    <w:rsid w:val="BFE5A6FE"/>
    <w:rsid w:val="CFCE7EE3"/>
    <w:rsid w:val="DFF473A5"/>
    <w:rsid w:val="EFDFFB52"/>
    <w:rsid w:val="EFFBFA28"/>
    <w:rsid w:val="F63529BB"/>
    <w:rsid w:val="F79EF44C"/>
    <w:rsid w:val="F7DF00C2"/>
    <w:rsid w:val="FC5F10FF"/>
    <w:rsid w:val="FCFB5CB5"/>
    <w:rsid w:val="FFEA56FF"/>
    <w:rsid w:val="FFEF395F"/>
    <w:rsid w:val="FFFFC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sz w:val="21"/>
      <w:szCs w:val="22"/>
      <w:lang w:val="en-US" w:eastAsia="en-US"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null5"/>
    <w:hidden/>
    <w:uiPriority w:val="0"/>
    <w:rPr>
      <w:rFonts w:hint="eastAsia" w:ascii="仿宋_GB2312" w:hAnsi="仿宋_GB2312" w:eastAsia="仿宋_GB2312" w:cs="仿宋_GB2312"/>
      <w:sz w:val="24"/>
      <w:szCs w:val="24"/>
      <w:lang w:val="en-US" w:eastAsia="zh-CN" w:bidi="ar-SA"/>
    </w:rPr>
  </w:style>
  <w:style w:type="paragraph" w:customStyle="1" w:styleId="8">
    <w:name w:val="null15"/>
    <w:hidden/>
    <w:uiPriority w:val="0"/>
    <w:rPr>
      <w:rFonts w:hint="eastAsia" w:ascii="宋体" w:hAnsi="宋体" w:eastAsia="宋体" w:cs="宋体"/>
      <w:sz w:val="24"/>
      <w:szCs w:val="24"/>
      <w:lang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6</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2025-08-18T10:02:00Z</dcterms:created>
  <dc:creator>icou</dc:creator>
  <cp:lastModifiedBy>〖两袖清风〗</cp:lastModifiedBy>
  <dcterms:modified xsi:type="dcterms:W3CDTF">2025-12-27T01:32:47Z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8DF9FC2917AF0121BFC64E69BD183A46_43</vt:lpwstr>
  </property>
  <property fmtid="{D5CDD505-2E9C-101B-9397-08002B2CF9AE}" pid="3" name="KSOProductBuildVer">
    <vt:lpwstr>2052-7.3.1.8967</vt:lpwstr>
  </property>
</Properties>
</file>