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82148">
      <w:pPr>
        <w:widowControl/>
        <w:shd w:val="clear" w:color="auto" w:fill="FFFFFF"/>
        <w:jc w:val="center"/>
        <w:rPr>
          <w:rFonts w:hint="eastAsia" w:ascii="微软雅黑" w:hAnsi="微软雅黑" w:eastAsia="微软雅黑" w:cs="Tahoma"/>
          <w:color w:val="000000"/>
          <w:kern w:val="0"/>
          <w:sz w:val="36"/>
          <w:szCs w:val="36"/>
        </w:rPr>
      </w:pPr>
      <w:bookmarkStart w:id="0" w:name="_GoBack"/>
      <w:r>
        <w:rPr>
          <w:rFonts w:hint="eastAsia" w:ascii="微软雅黑" w:hAnsi="微软雅黑" w:eastAsia="微软雅黑" w:cs="Tahoma"/>
          <w:color w:val="000000"/>
          <w:kern w:val="0"/>
          <w:sz w:val="36"/>
          <w:szCs w:val="36"/>
        </w:rPr>
        <w:t>关于</w:t>
      </w:r>
      <w:r>
        <w:rPr>
          <w:rFonts w:hint="eastAsia" w:ascii="微软雅黑" w:hAnsi="微软雅黑" w:eastAsia="微软雅黑" w:cs="Tahoma"/>
          <w:color w:val="000000"/>
          <w:kern w:val="0"/>
          <w:sz w:val="36"/>
          <w:szCs w:val="36"/>
          <w:lang w:eastAsia="zh-CN"/>
        </w:rPr>
        <w:t>北京智周教育科技有限公司</w:t>
      </w:r>
      <w:r>
        <w:rPr>
          <w:rFonts w:hint="eastAsia" w:ascii="微软雅黑" w:hAnsi="微软雅黑" w:eastAsia="微软雅黑" w:cs="Tahoma"/>
          <w:color w:val="000000"/>
          <w:kern w:val="0"/>
          <w:sz w:val="36"/>
          <w:szCs w:val="36"/>
        </w:rPr>
        <w:t>拍卖公告</w:t>
      </w:r>
    </w:p>
    <w:p w14:paraId="68286F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45" w:afterAutospacing="0" w:line="300" w:lineRule="atLeast"/>
        <w:ind w:left="0" w:right="0" w:firstLine="375"/>
        <w:jc w:val="left"/>
        <w:rPr>
          <w:rFonts w:ascii="微软雅黑" w:hAnsi="微软雅黑" w:eastAsia="微软雅黑" w:cs="微软雅黑"/>
          <w:i w:val="0"/>
          <w:iCs w:val="0"/>
          <w:caps w:val="0"/>
          <w:color w:val="000000"/>
          <w:spacing w:val="0"/>
          <w:sz w:val="30"/>
          <w:szCs w:val="30"/>
          <w:shd w:val="clear" w:fill="FFFFFF"/>
        </w:rPr>
      </w:pPr>
    </w:p>
    <w:p w14:paraId="70768F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45" w:afterAutospacing="0" w:line="300" w:lineRule="atLeast"/>
        <w:ind w:left="0" w:right="0" w:firstLine="375"/>
        <w:jc w:val="left"/>
        <w:rPr>
          <w:rFonts w:ascii="微软雅黑" w:hAnsi="微软雅黑" w:eastAsia="微软雅黑" w:cs="微软雅黑"/>
          <w:i w:val="0"/>
          <w:iCs w:val="0"/>
          <w:caps w:val="0"/>
          <w:color w:val="000000"/>
          <w:spacing w:val="0"/>
          <w:sz w:val="27"/>
          <w:szCs w:val="27"/>
        </w:rPr>
      </w:pPr>
      <w:r>
        <w:rPr>
          <w:rFonts w:ascii="微软雅黑" w:hAnsi="微软雅黑" w:eastAsia="微软雅黑" w:cs="微软雅黑"/>
          <w:i w:val="0"/>
          <w:iCs w:val="0"/>
          <w:caps w:val="0"/>
          <w:color w:val="000000"/>
          <w:spacing w:val="0"/>
          <w:sz w:val="30"/>
          <w:szCs w:val="30"/>
          <w:shd w:val="clear" w:fill="FFFFFF"/>
        </w:rPr>
        <w:t>北京智周教育科技</w:t>
      </w:r>
      <w:r>
        <w:rPr>
          <w:rFonts w:hint="eastAsia" w:ascii="微软雅黑" w:hAnsi="微软雅黑" w:eastAsia="微软雅黑" w:cs="微软雅黑"/>
          <w:i w:val="0"/>
          <w:iCs w:val="0"/>
          <w:caps w:val="0"/>
          <w:color w:val="000000"/>
          <w:spacing w:val="0"/>
          <w:sz w:val="30"/>
          <w:szCs w:val="30"/>
          <w:shd w:val="clear" w:fill="FFFFFF"/>
        </w:rPr>
        <w:t>有限公司管理人</w:t>
      </w:r>
      <w:r>
        <w:rPr>
          <w:rFonts w:hint="eastAsia" w:ascii="微软雅黑" w:hAnsi="微软雅黑" w:eastAsia="微软雅黑" w:cs="微软雅黑"/>
          <w:i w:val="0"/>
          <w:iCs w:val="0"/>
          <w:caps w:val="0"/>
          <w:color w:val="FF0000"/>
          <w:spacing w:val="0"/>
          <w:sz w:val="30"/>
          <w:szCs w:val="30"/>
          <w:shd w:val="clear" w:fill="FFFFFF"/>
        </w:rPr>
        <w:t>将于2025年12月9日10时至2025年12月10日10时止（延时除外）</w:t>
      </w:r>
      <w:r>
        <w:rPr>
          <w:rFonts w:hint="eastAsia" w:ascii="微软雅黑" w:hAnsi="微软雅黑" w:eastAsia="微软雅黑" w:cs="微软雅黑"/>
          <w:i w:val="0"/>
          <w:iCs w:val="0"/>
          <w:caps w:val="0"/>
          <w:color w:val="000000"/>
          <w:spacing w:val="0"/>
          <w:sz w:val="30"/>
          <w:szCs w:val="30"/>
          <w:shd w:val="clear" w:fill="FFFFFF"/>
        </w:rPr>
        <w:t>在京东拍卖破产强清平台（处置单位：北京智周教育科技有限公司管理人，监督单位：北京市第一中级人民法院，网址：https://auction.jd.com/bankrupt.html）进行公开拍卖活动，现公告如下：</w:t>
      </w:r>
      <w:r>
        <w:rPr>
          <w:rFonts w:hint="eastAsia" w:ascii="微软雅黑" w:hAnsi="微软雅黑" w:eastAsia="微软雅黑" w:cs="微软雅黑"/>
          <w:i w:val="0"/>
          <w:iCs w:val="0"/>
          <w:caps w:val="0"/>
          <w:color w:val="00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一、拍卖标的</w:t>
      </w:r>
      <w:r>
        <w:rPr>
          <w:rFonts w:hint="eastAsia" w:ascii="微软雅黑" w:hAnsi="微软雅黑" w:eastAsia="微软雅黑" w:cs="微软雅黑"/>
          <w:i w:val="0"/>
          <w:iCs w:val="0"/>
          <w:caps w:val="0"/>
          <w:color w:val="FF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北京智周教育科技有限公司对外应收账款债权具体如下：</w:t>
      </w:r>
    </w:p>
    <w:p w14:paraId="196993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起拍价：</w:t>
      </w:r>
      <w:r>
        <w:rPr>
          <w:rFonts w:hint="eastAsia" w:ascii="微软雅黑" w:hAnsi="微软雅黑" w:eastAsia="微软雅黑" w:cs="微软雅黑"/>
          <w:i w:val="0"/>
          <w:iCs w:val="0"/>
          <w:caps w:val="0"/>
          <w:color w:val="FF0000"/>
          <w:spacing w:val="0"/>
          <w:sz w:val="30"/>
          <w:szCs w:val="30"/>
          <w:shd w:val="clear" w:fill="FFFFFF"/>
        </w:rPr>
        <w:t>17,418,050元，</w:t>
      </w:r>
      <w:r>
        <w:rPr>
          <w:rFonts w:hint="eastAsia" w:ascii="微软雅黑" w:hAnsi="微软雅黑" w:eastAsia="微软雅黑" w:cs="微软雅黑"/>
          <w:i w:val="0"/>
          <w:iCs w:val="0"/>
          <w:caps w:val="0"/>
          <w:color w:val="000000"/>
          <w:spacing w:val="0"/>
          <w:sz w:val="30"/>
          <w:szCs w:val="30"/>
          <w:shd w:val="clear" w:fill="FFFFFF"/>
        </w:rPr>
        <w:t>保证金：</w:t>
      </w:r>
      <w:r>
        <w:rPr>
          <w:rFonts w:hint="eastAsia" w:ascii="微软雅黑" w:hAnsi="微软雅黑" w:eastAsia="微软雅黑" w:cs="微软雅黑"/>
          <w:i w:val="0"/>
          <w:iCs w:val="0"/>
          <w:caps w:val="0"/>
          <w:color w:val="FF0000"/>
          <w:spacing w:val="0"/>
          <w:sz w:val="30"/>
          <w:szCs w:val="30"/>
          <w:shd w:val="clear" w:fill="FFFFFF"/>
        </w:rPr>
        <w:t>871,000元，</w:t>
      </w:r>
      <w:r>
        <w:rPr>
          <w:rFonts w:hint="eastAsia" w:ascii="微软雅黑" w:hAnsi="微软雅黑" w:eastAsia="微软雅黑" w:cs="微软雅黑"/>
          <w:i w:val="0"/>
          <w:iCs w:val="0"/>
          <w:caps w:val="0"/>
          <w:color w:val="000000"/>
          <w:spacing w:val="0"/>
          <w:sz w:val="30"/>
          <w:szCs w:val="30"/>
          <w:shd w:val="clear" w:fill="FFFFFF"/>
        </w:rPr>
        <w:t>增价幅度：</w:t>
      </w:r>
      <w:r>
        <w:rPr>
          <w:rFonts w:hint="eastAsia" w:ascii="微软雅黑" w:hAnsi="微软雅黑" w:eastAsia="微软雅黑" w:cs="微软雅黑"/>
          <w:i w:val="0"/>
          <w:iCs w:val="0"/>
          <w:caps w:val="0"/>
          <w:color w:val="FF0000"/>
          <w:spacing w:val="0"/>
          <w:sz w:val="30"/>
          <w:szCs w:val="30"/>
          <w:shd w:val="clear" w:fill="FFFFFF"/>
        </w:rPr>
        <w:t>174,200元及其整数倍。</w:t>
      </w:r>
    </w:p>
    <w:tbl>
      <w:tblPr>
        <w:tblStyle w:val="3"/>
        <w:tblW w:w="8522"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77"/>
        <w:gridCol w:w="4025"/>
        <w:gridCol w:w="2105"/>
        <w:gridCol w:w="1615"/>
      </w:tblGrid>
      <w:tr w14:paraId="166C457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blHeader/>
          <w:jc w:val="center"/>
        </w:trPr>
        <w:tc>
          <w:tcPr>
            <w:tcW w:w="777" w:type="dxa"/>
            <w:tcBorders>
              <w:top w:val="single" w:color="000000" w:sz="6" w:space="0"/>
              <w:left w:val="single" w:color="000000" w:sz="6" w:space="0"/>
              <w:bottom w:val="single" w:color="000000" w:sz="6" w:space="0"/>
              <w:right w:val="single" w:color="000000" w:sz="6" w:space="0"/>
            </w:tcBorders>
            <w:shd w:val="clear" w:color="auto" w:fill="D9D9D9"/>
            <w:tcMar>
              <w:top w:w="75" w:type="dxa"/>
              <w:left w:w="75" w:type="dxa"/>
              <w:bottom w:w="75" w:type="dxa"/>
              <w:right w:w="75" w:type="dxa"/>
            </w:tcMar>
            <w:vAlign w:val="center"/>
          </w:tcPr>
          <w:p w14:paraId="42F010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b/>
                <w:sz w:val="28"/>
              </w:rPr>
            </w:pPr>
            <w:r>
              <w:rPr>
                <w:rStyle w:val="5"/>
                <w:rFonts w:ascii="仿宋" w:hAnsi="仿宋" w:eastAsia="仿宋" w:cs="仿宋"/>
                <w:b/>
                <w:bCs/>
                <w:sz w:val="28"/>
                <w:szCs w:val="28"/>
              </w:rPr>
              <w:t>序号</w:t>
            </w:r>
          </w:p>
        </w:tc>
        <w:tc>
          <w:tcPr>
            <w:tcW w:w="4025" w:type="dxa"/>
            <w:tcBorders>
              <w:top w:val="single" w:color="000000" w:sz="6" w:space="0"/>
              <w:left w:val="single" w:color="000000" w:sz="6" w:space="0"/>
              <w:bottom w:val="single" w:color="000000" w:sz="6" w:space="0"/>
              <w:right w:val="single" w:color="000000" w:sz="6" w:space="0"/>
            </w:tcBorders>
            <w:shd w:val="clear" w:color="auto" w:fill="D9D9D9"/>
            <w:tcMar>
              <w:top w:w="75" w:type="dxa"/>
              <w:left w:w="75" w:type="dxa"/>
              <w:bottom w:w="75" w:type="dxa"/>
              <w:right w:w="75" w:type="dxa"/>
            </w:tcMar>
            <w:vAlign w:val="center"/>
          </w:tcPr>
          <w:p w14:paraId="3FF009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b/>
                <w:sz w:val="28"/>
              </w:rPr>
            </w:pPr>
            <w:r>
              <w:rPr>
                <w:rStyle w:val="5"/>
                <w:rFonts w:hint="eastAsia" w:ascii="仿宋" w:hAnsi="仿宋" w:eastAsia="仿宋" w:cs="仿宋"/>
                <w:b/>
                <w:bCs/>
                <w:sz w:val="28"/>
                <w:szCs w:val="28"/>
              </w:rPr>
              <w:t>债务人名称</w:t>
            </w:r>
          </w:p>
        </w:tc>
        <w:tc>
          <w:tcPr>
            <w:tcW w:w="2105" w:type="dxa"/>
            <w:tcBorders>
              <w:top w:val="single" w:color="000000" w:sz="6" w:space="0"/>
              <w:left w:val="single" w:color="000000" w:sz="6" w:space="0"/>
              <w:bottom w:val="single" w:color="000000" w:sz="6" w:space="0"/>
              <w:right w:val="single" w:color="000000" w:sz="6" w:space="0"/>
            </w:tcBorders>
            <w:shd w:val="clear" w:color="auto" w:fill="D9D9D9"/>
            <w:tcMar>
              <w:top w:w="75" w:type="dxa"/>
              <w:left w:w="75" w:type="dxa"/>
              <w:bottom w:w="75" w:type="dxa"/>
              <w:right w:w="75" w:type="dxa"/>
            </w:tcMar>
            <w:vAlign w:val="center"/>
          </w:tcPr>
          <w:p w14:paraId="6AAFD2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b/>
                <w:sz w:val="28"/>
              </w:rPr>
            </w:pPr>
            <w:r>
              <w:rPr>
                <w:rStyle w:val="5"/>
                <w:rFonts w:hint="eastAsia" w:ascii="仿宋" w:hAnsi="仿宋" w:eastAsia="仿宋" w:cs="仿宋"/>
                <w:b/>
                <w:bCs/>
                <w:sz w:val="28"/>
                <w:szCs w:val="28"/>
              </w:rPr>
              <w:t>债权金额（元）</w:t>
            </w:r>
          </w:p>
        </w:tc>
        <w:tc>
          <w:tcPr>
            <w:tcW w:w="1615" w:type="dxa"/>
            <w:tcBorders>
              <w:top w:val="single" w:color="000000" w:sz="6" w:space="0"/>
              <w:left w:val="single" w:color="000000" w:sz="6" w:space="0"/>
              <w:bottom w:val="single" w:color="000000" w:sz="6" w:space="0"/>
              <w:right w:val="single" w:color="000000" w:sz="6" w:space="0"/>
            </w:tcBorders>
            <w:shd w:val="clear" w:color="auto" w:fill="D9D9D9"/>
            <w:tcMar>
              <w:top w:w="75" w:type="dxa"/>
              <w:left w:w="75" w:type="dxa"/>
              <w:bottom w:w="75" w:type="dxa"/>
              <w:right w:w="75" w:type="dxa"/>
            </w:tcMar>
            <w:vAlign w:val="center"/>
          </w:tcPr>
          <w:p w14:paraId="112988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b/>
                <w:sz w:val="28"/>
              </w:rPr>
            </w:pPr>
            <w:r>
              <w:rPr>
                <w:rStyle w:val="5"/>
                <w:rFonts w:hint="eastAsia" w:ascii="仿宋" w:hAnsi="仿宋" w:eastAsia="仿宋" w:cs="仿宋"/>
                <w:b/>
                <w:bCs/>
                <w:sz w:val="28"/>
                <w:szCs w:val="28"/>
              </w:rPr>
              <w:t>债权说明</w:t>
            </w:r>
          </w:p>
        </w:tc>
      </w:tr>
      <w:tr w14:paraId="760DF02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2CDE7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1</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18D34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北京朝来绿色家园物业管理中心</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59648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10,450.00</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7A166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房屋押金</w:t>
            </w:r>
          </w:p>
        </w:tc>
      </w:tr>
      <w:tr w14:paraId="0D5EA4F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B7E41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2</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C6DEC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上海携程宏睿国际旅行社有限公司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2F15C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55</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EC36B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其他应收款</w:t>
            </w:r>
          </w:p>
        </w:tc>
      </w:tr>
      <w:tr w14:paraId="4B85E53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DF3BB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3</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2A0C7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北京众合天下管理咨询有限公司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3F784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70,000.00</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0AEE9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房屋押金</w:t>
            </w:r>
          </w:p>
        </w:tc>
      </w:tr>
      <w:tr w14:paraId="36B4033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5F692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4</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513A3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北京市宝能物业管理有限公司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E4AB0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119,508.48</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7EA9C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房屋押金</w:t>
            </w:r>
          </w:p>
        </w:tc>
      </w:tr>
      <w:tr w14:paraId="066960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71AD0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5</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C4184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北京未立方物业管理有限公司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B7031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383,000.00</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EF34D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房屋押金</w:t>
            </w:r>
          </w:p>
        </w:tc>
      </w:tr>
      <w:tr w14:paraId="0C545F0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D40B3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6</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FB040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北京瀚海智业国际科技发展有限公司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6F57C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2,845,336.00</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3F448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房屋押金</w:t>
            </w:r>
          </w:p>
        </w:tc>
      </w:tr>
      <w:tr w14:paraId="2A2DA7D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8DE2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7</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EBA81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合肥道济信息技术有限公司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2D1C7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40,505,050.08</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C32B8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关联方借款</w:t>
            </w:r>
          </w:p>
        </w:tc>
      </w:tr>
      <w:tr w14:paraId="4C07333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5155B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8</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50805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千闻云计算科技（北京）有限公司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36DBB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5,232,458.05</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9EFD1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关联方借款</w:t>
            </w:r>
          </w:p>
        </w:tc>
      </w:tr>
      <w:tr w14:paraId="2B09DA3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77"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4C273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9</w:t>
            </w:r>
          </w:p>
        </w:tc>
        <w:tc>
          <w:tcPr>
            <w:tcW w:w="40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08A84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苏州谦问万答吧教育科技有限公司</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220C9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sz w:val="28"/>
              </w:rPr>
            </w:pPr>
            <w:r>
              <w:rPr>
                <w:rFonts w:hint="eastAsia" w:ascii="仿宋" w:hAnsi="仿宋" w:eastAsia="仿宋" w:cs="仿宋"/>
                <w:sz w:val="28"/>
                <w:szCs w:val="28"/>
              </w:rPr>
              <w:t>600,000.00</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DD514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sz w:val="28"/>
              </w:rPr>
            </w:pPr>
            <w:r>
              <w:rPr>
                <w:rFonts w:hint="eastAsia" w:ascii="仿宋" w:hAnsi="仿宋" w:eastAsia="仿宋" w:cs="仿宋"/>
                <w:sz w:val="28"/>
                <w:szCs w:val="28"/>
              </w:rPr>
              <w:t>关联方借款</w:t>
            </w:r>
          </w:p>
        </w:tc>
      </w:tr>
      <w:tr w14:paraId="2C4FF3D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4025"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D712F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center"/>
              <w:textAlignment w:val="center"/>
              <w:rPr>
                <w:rFonts w:ascii="仿宋" w:eastAsia="仿宋"/>
                <w:b/>
                <w:sz w:val="28"/>
              </w:rPr>
            </w:pPr>
            <w:r>
              <w:rPr>
                <w:rStyle w:val="5"/>
                <w:rFonts w:hint="eastAsia" w:ascii="仿宋" w:hAnsi="仿宋" w:eastAsia="仿宋" w:cs="仿宋"/>
                <w:b/>
                <w:bCs/>
                <w:sz w:val="28"/>
                <w:szCs w:val="28"/>
              </w:rPr>
              <w:t>合计</w:t>
            </w:r>
          </w:p>
        </w:tc>
        <w:tc>
          <w:tcPr>
            <w:tcW w:w="210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B8B8A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napToGrid w:val="0"/>
              <w:spacing w:before="0" w:beforeAutospacing="0" w:after="0" w:afterAutospacing="0" w:line="240" w:lineRule="auto"/>
              <w:ind w:left="0" w:leftChars="0" w:right="0" w:rightChars="0" w:firstLine="0" w:firstLineChars="0"/>
              <w:jc w:val="right"/>
              <w:textAlignment w:val="center"/>
              <w:rPr>
                <w:rFonts w:ascii="仿宋" w:eastAsia="仿宋"/>
                <w:b/>
                <w:sz w:val="28"/>
              </w:rPr>
            </w:pPr>
            <w:r>
              <w:rPr>
                <w:rStyle w:val="5"/>
                <w:rFonts w:hint="eastAsia" w:ascii="仿宋" w:hAnsi="仿宋" w:eastAsia="仿宋" w:cs="仿宋"/>
                <w:b/>
                <w:bCs/>
                <w:sz w:val="28"/>
                <w:szCs w:val="28"/>
              </w:rPr>
              <w:t>49,765,857.61</w:t>
            </w:r>
          </w:p>
        </w:tc>
        <w:tc>
          <w:tcPr>
            <w:tcW w:w="16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6016BBE">
            <w:pPr>
              <w:keepNext w:val="0"/>
              <w:keepLines w:val="0"/>
              <w:widowControl/>
              <w:suppressLineNumbers w:val="0"/>
              <w:snapToGrid w:val="0"/>
              <w:spacing w:line="240" w:lineRule="auto"/>
              <w:ind w:left="0" w:leftChars="0" w:right="0" w:rightChars="0" w:firstLine="0" w:firstLineChars="0"/>
              <w:jc w:val="center"/>
              <w:rPr>
                <w:rFonts w:ascii="仿宋" w:eastAsia="仿宋"/>
                <w:b/>
                <w:sz w:val="28"/>
              </w:rPr>
            </w:pPr>
          </w:p>
        </w:tc>
      </w:tr>
    </w:tbl>
    <w:p w14:paraId="5B0CEA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p w14:paraId="324C2A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特别提示（请竞买人重点关注）：</w:t>
      </w:r>
    </w:p>
    <w:p w14:paraId="747922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管理人未接管到对外应收债权的形成文件，包括但不限于房屋租赁合同、借款合同、采购合同、收款收据、对账确认文件等债权凭证及交易证明材料、完整的支付凭证，债权可能全部或部分无效、不存在、无法追回、真实性存在瑕疵等；</w:t>
      </w:r>
    </w:p>
    <w:p w14:paraId="5F3A1E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2、对外应收债权可能存在已超过诉讼时效或其他相关的法定期间或其他原因已部分消灭，以及存在其他因合同约定、债务人实际已履行、发票未开、被抵销、撤销以及其他原因或纠纷等导致无法收回、产生损失的风险；</w:t>
      </w:r>
    </w:p>
    <w:p w14:paraId="57C6F8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3、债权可能存在因不符合约定的付款条件等情形导致债权存在争议、无法收回、产生损失的风险；</w:t>
      </w:r>
    </w:p>
    <w:p w14:paraId="6169B6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4、与债权相关的债务人或担保人或第三方可能存在破产、被解散、被注销、被撤销、被关闭、被吊销、歇业、下落不明以及其他主体存续性瑕疵的情形；</w:t>
      </w:r>
    </w:p>
    <w:p w14:paraId="45952E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5、对外应收债权可能存在因其他原因而未成立、未生效、无效、被撤销、已部分（或全部）消灭或不能被强制执行的情形；</w:t>
      </w:r>
    </w:p>
    <w:p w14:paraId="092C25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6、与债权有关的证据材料（包括但不限于合同、结算单、财务凭证、法律文书等）存在不真实、不完整、原件缺失、不存在或内容冲突等导致债权存在争议、无法收回、产生损失的可能，从而影响债权成立或权利行使；债权可能因相关人员已达成的相关免责协议导致丧失权利基础；</w:t>
      </w:r>
    </w:p>
    <w:p w14:paraId="0321F9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7、债权文件可能存在因与债权文件清单记载不一致导致债权存在争议、无法收回、产生损失等，可能存在已经被其他债权人或第三人收取的情形风险；</w:t>
      </w:r>
    </w:p>
    <w:p w14:paraId="61D9CC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8、就债权提起诉讼可能存在反诉要求赔偿违约金等债权存在争议、无法收回、产生损失的风险；涉诉应收债权可能存在败诉、不能变更诉讼主体、执行主体等诉讼风险；</w:t>
      </w:r>
    </w:p>
    <w:p w14:paraId="0C2810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9、对外应收债权的相关债务人可能存在单位名称不明确（账目记载的名称不准确）、地址不详、无法联系且通过公开方式无法查询明确地址等情况，导致债权转让通知可能无法有效送达债务人的，买受人不得据此主张管理人承担任何责任；</w:t>
      </w:r>
    </w:p>
    <w:p w14:paraId="14A363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10、因对外应收债权的特殊性，在后续催收过程中与债务人单位可能涉及的税务问题，竞买人应自行调查、判断；</w:t>
      </w:r>
    </w:p>
    <w:p w14:paraId="02D0FB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11、其他已经或尚未发现的可能导致应收债权存在争议、不存在、无法收回、产生损失等风险；</w:t>
      </w:r>
    </w:p>
    <w:p w14:paraId="36E776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12、关于税、费，因标的物转让权属发生变更所涉及的一切税、费和可能需要补交的相关税、费等均由买受人承担，有意者请自行向税务部门咨询购买上述财产需缴纳的税费种类、税率等。竞价结束后，交易环节产生的一切税、费，包括但不限于增值税及附加、印花税等均由竞买人承担，未明确缴费义务人的费用由买受人承担；</w:t>
      </w:r>
    </w:p>
    <w:p w14:paraId="081531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13、竞买人一旦作出竞买决定，即表明竞买人确认知悉标的债权可能存在的瑕疵和风险,竞买人自愿承担受让该等标的债权后可能承受的一切风险以及由该等风险所造成的一切损失或无法实现的预期利益；</w:t>
      </w:r>
    </w:p>
    <w:p w14:paraId="2ADF2D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14、管理人将秉持诚信原则，以管理人接管和调查的材料为限提供给竞买人所需资料，管理人和拍卖辅助机构不对标的任何权利负担或瑕疵承担责任。竞买人根据自身需求可自行调查、了解、核实。未尽事宜，管理人和拍卖辅助机构不承担任何责任；</w:t>
      </w:r>
    </w:p>
    <w:p w14:paraId="4ACC2D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40"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30"/>
          <w:szCs w:val="30"/>
          <w:shd w:val="clear" w:fill="FFFFFF"/>
        </w:rPr>
        <w:t>15、其他未尽事宜由竞买人自行了解。</w:t>
      </w:r>
    </w:p>
    <w:p w14:paraId="654356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7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二、咨询、展示看样的时间与方式</w:t>
      </w:r>
    </w:p>
    <w:p w14:paraId="501679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本管理人已委托</w:t>
      </w:r>
      <w:r>
        <w:rPr>
          <w:rStyle w:val="5"/>
          <w:rFonts w:hint="eastAsia" w:ascii="微软雅黑" w:hAnsi="微软雅黑" w:eastAsia="微软雅黑" w:cs="微软雅黑"/>
          <w:b/>
          <w:bCs/>
          <w:i w:val="0"/>
          <w:iCs w:val="0"/>
          <w:caps w:val="0"/>
          <w:color w:val="000000"/>
          <w:spacing w:val="0"/>
          <w:sz w:val="30"/>
          <w:szCs w:val="30"/>
          <w:shd w:val="clear" w:fill="FFFFFF"/>
        </w:rPr>
        <w:t>北京强裕信息技术有限公司</w:t>
      </w:r>
      <w:r>
        <w:rPr>
          <w:rFonts w:hint="eastAsia" w:ascii="微软雅黑" w:hAnsi="微软雅黑" w:eastAsia="微软雅黑" w:cs="微软雅黑"/>
          <w:i w:val="0"/>
          <w:iCs w:val="0"/>
          <w:caps w:val="0"/>
          <w:color w:val="000000"/>
          <w:spacing w:val="0"/>
          <w:sz w:val="30"/>
          <w:szCs w:val="30"/>
          <w:shd w:val="clear" w:fill="FFFFFF"/>
        </w:rPr>
        <w:t>共同办理咨询、看样相关拍卖辅助事务。有意者可自本公告发布之日起至竞价前一个工作日工作时间内咨询上述标的的相关情况。联系人：刘先生，咨询电话：18721717137。因该资产系无形资产，故本项拍卖不提供现场看样服务。</w:t>
      </w:r>
    </w:p>
    <w:p w14:paraId="51E598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三、标的已知优先购买权人：无。</w:t>
      </w:r>
    </w:p>
    <w:p w14:paraId="0E6A84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竞价标的如若存在优先购买权人，优先购买权人参加竞买的，应于竞价活动开始5个工作日前向上拍机构或管理人提交合法有效的证明（登记的证件信息必须与京东实名认证相一致），资格经本上拍机构或公司确认后才能以优先购买权人的身份参与竞买，逾期不提交的，视为放弃对本标的物享有优先购买权。本标的优先购买权人未参加竞价，亦视为放弃优先购买权。</w:t>
      </w:r>
      <w:r>
        <w:rPr>
          <w:rFonts w:hint="eastAsia" w:ascii="微软雅黑" w:hAnsi="微软雅黑" w:eastAsia="微软雅黑" w:cs="微软雅黑"/>
          <w:i w:val="0"/>
          <w:iCs w:val="0"/>
          <w:caps w:val="0"/>
          <w:color w:val="00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四、对上述标的权属有异议者，竞价开始前5天与管理人联系。与本标的物有利害关系的当事人可参加竞价，不参加竞价的请关注本次竞价活动的整个过程。</w:t>
      </w:r>
    </w:p>
    <w:p w14:paraId="6D2DFE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五、竞价方式</w:t>
      </w:r>
    </w:p>
    <w:p w14:paraId="716371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（一）竞价从起拍价开始以递增出价方式竞价，增价幅度由管理人确定，竞买人以低于起拍价出价的无效。</w:t>
      </w:r>
    </w:p>
    <w:p w14:paraId="6D76FA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（二）本次竞价活动设置延时出价功能，在竞价活动结束前，每最后5分钟如果有竞买人出价，就自动延迟5分钟。</w:t>
      </w:r>
    </w:p>
    <w:p w14:paraId="76D20D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（三）本次拍卖保留价为起拍价。</w:t>
      </w:r>
    </w:p>
    <w:p w14:paraId="1C155F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六、保证金与余款交纳</w:t>
      </w:r>
    </w:p>
    <w:p w14:paraId="5A73F4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6D8831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竞价成交后，标的物竞得者原锁定的保证金自动转入管理人指定账户。买受人应于成交之时起</w:t>
      </w:r>
      <w:r>
        <w:rPr>
          <w:rFonts w:hint="eastAsia" w:ascii="微软雅黑" w:hAnsi="微软雅黑" w:eastAsia="微软雅黑" w:cs="微软雅黑"/>
          <w:i w:val="0"/>
          <w:iCs w:val="0"/>
          <w:caps w:val="0"/>
          <w:color w:val="FF0000"/>
          <w:spacing w:val="0"/>
          <w:sz w:val="30"/>
          <w:szCs w:val="30"/>
          <w:shd w:val="clear" w:fill="FFFFFF"/>
        </w:rPr>
        <w:t>3个工作日内</w:t>
      </w:r>
      <w:r>
        <w:rPr>
          <w:rFonts w:hint="eastAsia" w:ascii="微软雅黑" w:hAnsi="微软雅黑" w:eastAsia="微软雅黑" w:cs="微软雅黑"/>
          <w:i w:val="0"/>
          <w:iCs w:val="0"/>
          <w:caps w:val="0"/>
          <w:color w:val="000000"/>
          <w:spacing w:val="0"/>
          <w:sz w:val="30"/>
          <w:szCs w:val="30"/>
          <w:shd w:val="clear" w:fill="FFFFFF"/>
        </w:rPr>
        <w:t>将竞价成交价余款（扣除保证金后的余款）缴入管理人指定账户</w:t>
      </w:r>
      <w:r>
        <w:rPr>
          <w:rFonts w:hint="eastAsia" w:ascii="微软雅黑" w:hAnsi="微软雅黑" w:eastAsia="微软雅黑" w:cs="微软雅黑"/>
          <w:i w:val="0"/>
          <w:iCs w:val="0"/>
          <w:caps w:val="0"/>
          <w:color w:val="FF0000"/>
          <w:spacing w:val="0"/>
          <w:sz w:val="30"/>
          <w:szCs w:val="30"/>
          <w:shd w:val="clear" w:fill="FFFFFF"/>
        </w:rPr>
        <w:t>（户名：北京智周教育科技有限公司管理人；账号：8110701012602817799；开户行：中信银行北京三元桥支行）</w:t>
      </w:r>
      <w:r>
        <w:rPr>
          <w:rFonts w:hint="eastAsia" w:ascii="微软雅黑" w:hAnsi="微软雅黑" w:eastAsia="微软雅黑" w:cs="微软雅黑"/>
          <w:i w:val="0"/>
          <w:iCs w:val="0"/>
          <w:caps w:val="0"/>
          <w:color w:val="000000"/>
          <w:spacing w:val="0"/>
          <w:sz w:val="30"/>
          <w:szCs w:val="30"/>
          <w:shd w:val="clear" w:fill="FFFFFF"/>
        </w:rPr>
        <w:t>，注明“破产案号：（2024）京01破314号；款项性质：拍卖款”。逾期则视为买受人违约，竞买保证金不予退还。</w:t>
      </w:r>
    </w:p>
    <w:p w14:paraId="2EA2E0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买受人应于成交之时起</w:t>
      </w:r>
      <w:r>
        <w:rPr>
          <w:rFonts w:hint="eastAsia" w:ascii="微软雅黑" w:hAnsi="微软雅黑" w:eastAsia="微软雅黑" w:cs="微软雅黑"/>
          <w:i w:val="0"/>
          <w:iCs w:val="0"/>
          <w:caps w:val="0"/>
          <w:color w:val="FF0000"/>
          <w:spacing w:val="0"/>
          <w:sz w:val="30"/>
          <w:szCs w:val="30"/>
          <w:shd w:val="clear" w:fill="FFFFFF"/>
        </w:rPr>
        <w:t>3个工作日内将成交价2%</w:t>
      </w:r>
      <w:r>
        <w:rPr>
          <w:rFonts w:hint="eastAsia" w:ascii="微软雅黑" w:hAnsi="微软雅黑" w:eastAsia="微软雅黑" w:cs="微软雅黑"/>
          <w:i w:val="0"/>
          <w:iCs w:val="0"/>
          <w:caps w:val="0"/>
          <w:color w:val="000000"/>
          <w:spacing w:val="0"/>
          <w:sz w:val="30"/>
          <w:szCs w:val="30"/>
          <w:shd w:val="clear" w:fill="FFFFFF"/>
        </w:rPr>
        <w:t>的综合服务费汇款至北京强裕信息技术有限公司指定账户</w:t>
      </w:r>
      <w:r>
        <w:rPr>
          <w:rFonts w:hint="eastAsia" w:ascii="微软雅黑" w:hAnsi="微软雅黑" w:eastAsia="微软雅黑" w:cs="微软雅黑"/>
          <w:i w:val="0"/>
          <w:iCs w:val="0"/>
          <w:caps w:val="0"/>
          <w:color w:val="FF0000"/>
          <w:spacing w:val="0"/>
          <w:sz w:val="30"/>
          <w:szCs w:val="30"/>
          <w:shd w:val="clear" w:fill="FFFFFF"/>
        </w:rPr>
        <w:t>（户名：北京强裕信息技术有限公司，开户银行：北京农村商银行大钟寺支行，账号：0420000103000008270）</w:t>
      </w:r>
      <w:r>
        <w:rPr>
          <w:rFonts w:hint="eastAsia" w:ascii="微软雅黑" w:hAnsi="微软雅黑" w:eastAsia="微软雅黑" w:cs="微软雅黑"/>
          <w:i w:val="0"/>
          <w:iCs w:val="0"/>
          <w:caps w:val="0"/>
          <w:color w:val="000000"/>
          <w:spacing w:val="0"/>
          <w:sz w:val="30"/>
          <w:szCs w:val="30"/>
          <w:shd w:val="clear" w:fill="FFFFFF"/>
        </w:rPr>
        <w:t>。不收费情形仅指流拍、撤回、中止。</w:t>
      </w:r>
    </w:p>
    <w:p w14:paraId="639004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30"/>
          <w:szCs w:val="30"/>
          <w:shd w:val="clear" w:fill="FFFFFF"/>
        </w:rPr>
        <w:t>特别提示：本标的物存在2%的综合服务费及0.5%软件服务费由买受人承担。</w:t>
      </w:r>
    </w:p>
    <w:p w14:paraId="509442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七、移交与过户</w:t>
      </w:r>
    </w:p>
    <w:p w14:paraId="30C7D6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1、买受人在交齐所有成交款后</w:t>
      </w:r>
      <w:r>
        <w:rPr>
          <w:rFonts w:hint="eastAsia" w:ascii="微软雅黑" w:hAnsi="微软雅黑" w:eastAsia="微软雅黑" w:cs="微软雅黑"/>
          <w:i w:val="0"/>
          <w:iCs w:val="0"/>
          <w:caps w:val="0"/>
          <w:color w:val="FF0000"/>
          <w:spacing w:val="0"/>
          <w:sz w:val="30"/>
          <w:szCs w:val="30"/>
          <w:shd w:val="clear" w:fill="FFFFFF"/>
        </w:rPr>
        <w:t>5个工作日内</w:t>
      </w:r>
      <w:r>
        <w:rPr>
          <w:rFonts w:hint="eastAsia" w:ascii="微软雅黑" w:hAnsi="微软雅黑" w:eastAsia="微软雅黑" w:cs="微软雅黑"/>
          <w:i w:val="0"/>
          <w:iCs w:val="0"/>
          <w:caps w:val="0"/>
          <w:color w:val="000000"/>
          <w:spacing w:val="0"/>
          <w:sz w:val="30"/>
          <w:szCs w:val="30"/>
          <w:shd w:val="clear" w:fill="FFFFFF"/>
        </w:rPr>
        <w:t>（凭付款凭证及相关身份材料、委托手续等原件）到管理人处办理交接手续并签署《拍卖成交确认书》，管理人将《拍卖成交确认书》及（可能）持有的标的债权相关资料移交买受人即视为管理人完成拍卖标的物移交。竞买人逾期未办理交接手续，视为竞买人放弃竞价标的，管理人将自行处置，且不退还竞买人交纳的全部款项。</w:t>
      </w:r>
    </w:p>
    <w:p w14:paraId="3FF41B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2.管理人不负责刊登对外应收债权转让公告、通知，相关公告、通知或文书送达由买受人自行负责，管理人予以必要的协助，所发生的费用由买受人承担。如因债务人名称不准确、债务人地址不详、下落不明、债务人已吊销、注销等导致买受人无法将债权转让通知送达债务人的，相关风险及不利后果由买受人自行承担。</w:t>
      </w:r>
    </w:p>
    <w:p w14:paraId="2CDACD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八、风险提示</w:t>
      </w:r>
    </w:p>
    <w:p w14:paraId="201213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一）竞买人应当具备完全民事行为能力。竞买人也可根据《竞买须知》相关规定委托代理人（具备完全民事行为能力的自然人）进行竞买。拍卖标的的登记状态以移交时的现状为准，请竞买人务必自行向有关部门询问清楚，慎重决定是否购买，竞拍成功后因过户或工商变更存在问题的，管理人概不负责。</w:t>
      </w:r>
    </w:p>
    <w:p w14:paraId="1E5D48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19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二）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1F28CF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三）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47AF7E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四）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59AEBF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（五）管理人、上拍机构对此次竞价标的物所作的说明和提供的图片、文字资料等，仅供竞买人参考，不构成对标的物的任何担保，不作为对竞买人参与此次竞价的建议，仅提供竞买人参考。</w:t>
      </w:r>
      <w:r>
        <w:rPr>
          <w:rStyle w:val="5"/>
          <w:rFonts w:hint="eastAsia" w:ascii="微软雅黑" w:hAnsi="微软雅黑" w:eastAsia="微软雅黑" w:cs="微软雅黑"/>
          <w:b/>
          <w:bCs/>
          <w:i w:val="0"/>
          <w:iCs w:val="0"/>
          <w:caps w:val="0"/>
          <w:color w:val="000000"/>
          <w:spacing w:val="0"/>
          <w:sz w:val="30"/>
          <w:szCs w:val="30"/>
          <w:shd w:val="clear" w:fill="FFFFFF"/>
        </w:rPr>
        <w:t>（特别提醒：竞买人一旦作出竞买决定，即表明已完全了解，并接受标的物的现状和一切已知及未知的瑕疵，责任自负。）</w:t>
      </w:r>
    </w:p>
    <w:p w14:paraId="066F6E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（六）因标的物本身价值较高，起拍价、保证金、竞价成交数额较大。为避免在在线支付的过程中，因银行限额而导致无法支付的问题，请根据《竞买须知》相关规定进行充分准备。</w:t>
      </w:r>
    </w:p>
    <w:p w14:paraId="7198B7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七）本次拍卖公告所作的情况说明，仅为竞买人参与竞买提供参考，不能作为竞买人判断、权衡价值的最终依据，竞买人根据自身需求可自行调查、了解、核实。管理人对标的物描述、外观、质量、包装差异等不作担保，由买受人自行承担相关责任，由此产生的问题也不影响竞价成交结果及成交价格。</w:t>
      </w:r>
    </w:p>
    <w:p w14:paraId="726518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（八）本次拍卖标的物情况较为复杂，已无法找到标的物当年相关购置票据和说明书等，如本公告中关于标的物的描述与实物不符，以其实物现状为准，管理人与法院均不承担本公告中标的物的瑕疵保证责任。</w:t>
      </w:r>
    </w:p>
    <w:p w14:paraId="2B4408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（九）管理人将标的物交付至买受人后风险转移至买受人，管理人对交付后可能产生的风险、纠纷及任何后果均不承担任何责任。</w:t>
      </w:r>
    </w:p>
    <w:p w14:paraId="5EDDE8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（十）本标的物无发票、无保修及其他凭证提供。</w:t>
      </w:r>
    </w:p>
    <w:p w14:paraId="6620A4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17EA7B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00" w:lineRule="atLeast"/>
        <w:ind w:left="0" w:right="0" w:firstLine="375"/>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十、竞买人在竞价前请务必仔细阅读相应标的竞买公告、须知、标的详情。本公告其他未尽事宜，请向管理人咨询。</w:t>
      </w:r>
    </w:p>
    <w:p w14:paraId="21A922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05" w:beforeAutospacing="0" w:after="105" w:afterAutospacing="0"/>
        <w:ind w:left="0" w:right="0" w:firstLine="375"/>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十一、本公告由管理人制定发布，解释权归管理人。</w:t>
      </w:r>
      <w:r>
        <w:rPr>
          <w:rFonts w:hint="eastAsia" w:ascii="微软雅黑" w:hAnsi="微软雅黑" w:eastAsia="微软雅黑" w:cs="微软雅黑"/>
          <w:i w:val="0"/>
          <w:iCs w:val="0"/>
          <w:caps w:val="0"/>
          <w:color w:val="00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咨询电话：18721717137，联系地址：北京市海淀区丹棱街18号创富大厦9层901室</w:t>
      </w:r>
    </w:p>
    <w:p w14:paraId="252051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凡发现竞价中有违规行为，可如实举报。</w:t>
      </w:r>
      <w:r>
        <w:rPr>
          <w:rFonts w:hint="eastAsia" w:ascii="微软雅黑" w:hAnsi="微软雅黑" w:eastAsia="微软雅黑" w:cs="微软雅黑"/>
          <w:i w:val="0"/>
          <w:iCs w:val="0"/>
          <w:caps w:val="0"/>
          <w:color w:val="00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举报监督电话：010-82605518</w:t>
      </w:r>
    </w:p>
    <w:p w14:paraId="69F270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315"/>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京东技术咨询电话：4006229586</w:t>
      </w:r>
      <w:r>
        <w:rPr>
          <w:rFonts w:hint="eastAsia" w:ascii="微软雅黑" w:hAnsi="微软雅黑" w:eastAsia="微软雅黑" w:cs="微软雅黑"/>
          <w:i w:val="0"/>
          <w:iCs w:val="0"/>
          <w:caps w:val="0"/>
          <w:color w:val="000000"/>
          <w:spacing w:val="0"/>
          <w:sz w:val="30"/>
          <w:szCs w:val="30"/>
          <w:shd w:val="clear" w:fill="FFFFFF"/>
        </w:rPr>
        <w:br w:type="textWrapping"/>
      </w:r>
      <w:r>
        <w:rPr>
          <w:rFonts w:hint="eastAsia" w:ascii="微软雅黑" w:hAnsi="微软雅黑" w:eastAsia="微软雅黑" w:cs="微软雅黑"/>
          <w:i w:val="0"/>
          <w:iCs w:val="0"/>
          <w:caps w:val="0"/>
          <w:color w:val="000000"/>
          <w:spacing w:val="0"/>
          <w:sz w:val="30"/>
          <w:szCs w:val="30"/>
          <w:shd w:val="clear" w:fill="FFFFFF"/>
        </w:rPr>
        <w:t>此公告在“京东网”上发布，网址:</w:t>
      </w:r>
      <w:r>
        <w:rPr>
          <w:rFonts w:hint="eastAsia" w:ascii="微软雅黑" w:hAnsi="微软雅黑" w:eastAsia="微软雅黑" w:cs="微软雅黑"/>
          <w:i w:val="0"/>
          <w:iCs w:val="0"/>
          <w:caps w:val="0"/>
          <w:color w:val="0000EE"/>
          <w:spacing w:val="0"/>
          <w:sz w:val="27"/>
          <w:szCs w:val="27"/>
          <w:u w:val="single"/>
          <w:shd w:val="clear" w:fill="FFFFFF"/>
        </w:rPr>
        <w:fldChar w:fldCharType="begin"/>
      </w:r>
      <w:r>
        <w:rPr>
          <w:rFonts w:hint="eastAsia" w:ascii="微软雅黑" w:hAnsi="微软雅黑" w:eastAsia="微软雅黑" w:cs="微软雅黑"/>
          <w:i w:val="0"/>
          <w:iCs w:val="0"/>
          <w:caps w:val="0"/>
          <w:color w:val="0000EE"/>
          <w:spacing w:val="0"/>
          <w:sz w:val="27"/>
          <w:szCs w:val="27"/>
          <w:u w:val="single"/>
          <w:shd w:val="clear" w:fill="FFFFFF"/>
        </w:rPr>
        <w:instrText xml:space="preserve"> HYPERLINK "https://auction.jd.com/bankrupt.html" </w:instrText>
      </w:r>
      <w:r>
        <w:rPr>
          <w:rFonts w:hint="eastAsia" w:ascii="微软雅黑" w:hAnsi="微软雅黑" w:eastAsia="微软雅黑" w:cs="微软雅黑"/>
          <w:i w:val="0"/>
          <w:iCs w:val="0"/>
          <w:caps w:val="0"/>
          <w:color w:val="0000EE"/>
          <w:spacing w:val="0"/>
          <w:sz w:val="27"/>
          <w:szCs w:val="27"/>
          <w:u w:val="single"/>
          <w:shd w:val="clear" w:fill="FFFFFF"/>
        </w:rPr>
        <w:fldChar w:fldCharType="separate"/>
      </w:r>
      <w:r>
        <w:rPr>
          <w:rStyle w:val="6"/>
          <w:rFonts w:hint="eastAsia" w:ascii="微软雅黑" w:hAnsi="微软雅黑" w:eastAsia="微软雅黑" w:cs="微软雅黑"/>
          <w:i w:val="0"/>
          <w:iCs w:val="0"/>
          <w:caps w:val="0"/>
          <w:color w:val="0000EE"/>
          <w:spacing w:val="0"/>
          <w:sz w:val="30"/>
          <w:szCs w:val="30"/>
          <w:u w:val="single"/>
          <w:shd w:val="clear" w:fill="FFFFFF"/>
        </w:rPr>
        <w:t>https://auction.jd.com/bankrupt.html</w:t>
      </w:r>
      <w:r>
        <w:rPr>
          <w:rFonts w:hint="eastAsia" w:ascii="微软雅黑" w:hAnsi="微软雅黑" w:eastAsia="微软雅黑" w:cs="微软雅黑"/>
          <w:i w:val="0"/>
          <w:iCs w:val="0"/>
          <w:caps w:val="0"/>
          <w:color w:val="0000EE"/>
          <w:spacing w:val="0"/>
          <w:sz w:val="27"/>
          <w:szCs w:val="27"/>
          <w:u w:val="single"/>
          <w:shd w:val="clear" w:fill="FFFFFF"/>
        </w:rPr>
        <w:fldChar w:fldCharType="end"/>
      </w:r>
      <w:r>
        <w:rPr>
          <w:rFonts w:hint="eastAsia" w:ascii="微软雅黑" w:hAnsi="微软雅黑" w:eastAsia="微软雅黑" w:cs="微软雅黑"/>
          <w:i w:val="0"/>
          <w:iCs w:val="0"/>
          <w:caps w:val="0"/>
          <w:color w:val="000000"/>
          <w:spacing w:val="0"/>
          <w:sz w:val="30"/>
          <w:szCs w:val="30"/>
          <w:shd w:val="clear" w:fill="FFFFFF"/>
        </w:rPr>
        <w:t>。</w:t>
      </w:r>
    </w:p>
    <w:p w14:paraId="47E38E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right="0"/>
        <w:jc w:val="both"/>
        <w:rPr>
          <w:rFonts w:hint="eastAsia" w:ascii="微软雅黑" w:hAnsi="微软雅黑" w:eastAsia="微软雅黑" w:cs="微软雅黑"/>
          <w:i w:val="0"/>
          <w:iCs w:val="0"/>
          <w:caps w:val="0"/>
          <w:color w:val="000000"/>
          <w:spacing w:val="0"/>
          <w:sz w:val="27"/>
          <w:szCs w:val="27"/>
        </w:rPr>
      </w:pPr>
    </w:p>
    <w:p w14:paraId="529A89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00" w:lineRule="atLeast"/>
        <w:ind w:left="0" w:right="0" w:firstLine="375"/>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北京智周教育科技有限公司管理人</w:t>
      </w:r>
    </w:p>
    <w:p w14:paraId="73D847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0"/>
          <w:szCs w:val="30"/>
          <w:shd w:val="clear" w:fill="FFFFFF"/>
        </w:rPr>
        <w:t>二〇二五年十二月一日</w:t>
      </w:r>
    </w:p>
    <w:p w14:paraId="655C08DC"/>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D198E"/>
    <w:rsid w:val="05292264"/>
    <w:rsid w:val="13765CAF"/>
    <w:rsid w:val="1C561E8C"/>
    <w:rsid w:val="200B1487"/>
    <w:rsid w:val="26836DB8"/>
    <w:rsid w:val="26F34BDE"/>
    <w:rsid w:val="2FDE152F"/>
    <w:rsid w:val="305655FB"/>
    <w:rsid w:val="37346EDE"/>
    <w:rsid w:val="45341FAD"/>
    <w:rsid w:val="45D14EB4"/>
    <w:rsid w:val="47DC187E"/>
    <w:rsid w:val="4E125654"/>
    <w:rsid w:val="4E69061B"/>
    <w:rsid w:val="53095C1D"/>
    <w:rsid w:val="57F966E2"/>
    <w:rsid w:val="5FB76A00"/>
    <w:rsid w:val="65651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4232</Words>
  <Characters>4521</Characters>
  <Lines>0</Lines>
  <Paragraphs>0</Paragraphs>
  <TotalTime>1</TotalTime>
  <ScaleCrop>false</ScaleCrop>
  <LinksUpToDate>false</LinksUpToDate>
  <CharactersWithSpaces>4547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2025-10-11T03:09:00Z</dcterms:created>
  <dc:creator>a</dc:creator>
  <cp:lastModifiedBy>夏云</cp:lastModifiedBy>
  <dcterms:modified xsi:type="dcterms:W3CDTF">2025-12-01T08:29:54Z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eyJoZGlkIjoiNjJiNjRmOGVkZWQzYzY0MjIyZDgzMGQ5ZDAwZTYyY2MiLCJ1c2VySWQiOiIyNDkwMjg1MzQifQ==</vt:lpwstr>
  </property>
  <property fmtid="{D5CDD505-2E9C-101B-9397-08002B2CF9AE}" pid="4" name="ICV">
    <vt:lpwstr>A6E64D4DA1B14F63B6FF81682C3E7797_13</vt:lpwstr>
  </property>
</Properties>
</file>