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F4E53B">
      <w:pPr>
        <w:spacing w:line="360" w:lineRule="auto"/>
        <w:jc w:val="center"/>
        <w:rPr>
          <w:rFonts w:asciiTheme="minorEastAsia" w:hAnsiTheme="minorEastAsia"/>
          <w:b/>
          <w:sz w:val="36"/>
          <w:szCs w:val="36"/>
        </w:rPr>
      </w:pPr>
      <w:r>
        <w:rPr>
          <w:rFonts w:hint="eastAsia" w:asciiTheme="minorEastAsia" w:hAnsiTheme="minorEastAsia"/>
          <w:b/>
          <w:sz w:val="36"/>
          <w:szCs w:val="36"/>
        </w:rPr>
        <w:t>关于北京太平洋邓禄普纺织品有限公司拥有的商标2项的竞买公告</w:t>
      </w:r>
    </w:p>
    <w:p w14:paraId="650ABC35">
      <w:pPr>
        <w:spacing w:line="360" w:lineRule="auto"/>
        <w:jc w:val="center"/>
        <w:rPr>
          <w:rFonts w:asciiTheme="minorEastAsia" w:hAnsiTheme="minorEastAsia"/>
          <w:sz w:val="24"/>
          <w:szCs w:val="24"/>
        </w:rPr>
      </w:pPr>
    </w:p>
    <w:p w14:paraId="67E32ACC">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北京太平洋邓禄普纺织品有限公司（以下简称“太平洋”）管理人将于</w:t>
      </w:r>
      <w:r>
        <w:rPr>
          <w:rFonts w:asciiTheme="minorEastAsia" w:hAnsiTheme="minorEastAsia"/>
          <w:sz w:val="24"/>
          <w:szCs w:val="24"/>
        </w:rPr>
        <w:t>20</w:t>
      </w:r>
      <w:r>
        <w:rPr>
          <w:rFonts w:hint="eastAsia" w:asciiTheme="minorEastAsia" w:hAnsiTheme="minorEastAsia"/>
          <w:sz w:val="24"/>
          <w:szCs w:val="24"/>
        </w:rPr>
        <w:t>25</w:t>
      </w:r>
      <w:r>
        <w:rPr>
          <w:rFonts w:asciiTheme="minorEastAsia" w:hAnsiTheme="minorEastAsia"/>
          <w:sz w:val="24"/>
          <w:szCs w:val="24"/>
        </w:rPr>
        <w:t>年</w:t>
      </w:r>
      <w:r>
        <w:rPr>
          <w:rFonts w:hint="eastAsia" w:asciiTheme="minorEastAsia" w:hAnsiTheme="minorEastAsia"/>
          <w:sz w:val="24"/>
          <w:szCs w:val="24"/>
        </w:rPr>
        <w:t>1</w:t>
      </w:r>
      <w:r>
        <w:rPr>
          <w:rFonts w:hint="eastAsia" w:asciiTheme="minorEastAsia" w:hAnsiTheme="minorEastAsia"/>
          <w:sz w:val="24"/>
          <w:szCs w:val="24"/>
          <w:lang w:val="en-US" w:eastAsia="zh-CN"/>
        </w:rPr>
        <w:t>2</w:t>
      </w:r>
      <w:r>
        <w:rPr>
          <w:rFonts w:hint="eastAsia" w:asciiTheme="minorEastAsia" w:hAnsiTheme="minorEastAsia"/>
          <w:sz w:val="24"/>
          <w:szCs w:val="24"/>
        </w:rPr>
        <w:t>月</w:t>
      </w:r>
      <w:r>
        <w:rPr>
          <w:rFonts w:hint="eastAsia" w:asciiTheme="minorEastAsia" w:hAnsiTheme="minorEastAsia"/>
          <w:sz w:val="24"/>
          <w:szCs w:val="24"/>
          <w:lang w:val="en-US" w:eastAsia="zh-CN"/>
        </w:rPr>
        <w:t>11</w:t>
      </w:r>
      <w:r>
        <w:rPr>
          <w:rFonts w:hint="eastAsia" w:asciiTheme="minorEastAsia" w:hAnsiTheme="minorEastAsia"/>
          <w:sz w:val="24"/>
          <w:szCs w:val="24"/>
        </w:rPr>
        <w:t>日</w:t>
      </w:r>
      <w:r>
        <w:rPr>
          <w:rFonts w:asciiTheme="minorEastAsia" w:hAnsiTheme="minorEastAsia"/>
          <w:sz w:val="24"/>
          <w:szCs w:val="24"/>
        </w:rPr>
        <w:t>10时至20</w:t>
      </w:r>
      <w:r>
        <w:rPr>
          <w:rFonts w:hint="eastAsia" w:asciiTheme="minorEastAsia" w:hAnsiTheme="minorEastAsia"/>
          <w:sz w:val="24"/>
          <w:szCs w:val="24"/>
        </w:rPr>
        <w:t>25</w:t>
      </w:r>
      <w:r>
        <w:rPr>
          <w:rFonts w:asciiTheme="minorEastAsia" w:hAnsiTheme="minorEastAsia"/>
          <w:sz w:val="24"/>
          <w:szCs w:val="24"/>
        </w:rPr>
        <w:t>年</w:t>
      </w:r>
      <w:r>
        <w:rPr>
          <w:rFonts w:hint="eastAsia" w:asciiTheme="minorEastAsia" w:hAnsiTheme="minorEastAsia"/>
          <w:sz w:val="24"/>
          <w:szCs w:val="24"/>
        </w:rPr>
        <w:t>1</w:t>
      </w:r>
      <w:r>
        <w:rPr>
          <w:rFonts w:hint="eastAsia" w:asciiTheme="minorEastAsia" w:hAnsiTheme="minorEastAsia"/>
          <w:sz w:val="24"/>
          <w:szCs w:val="24"/>
          <w:lang w:val="en-US" w:eastAsia="zh-CN"/>
        </w:rPr>
        <w:t>2</w:t>
      </w:r>
      <w:r>
        <w:rPr>
          <w:rFonts w:hint="eastAsia" w:asciiTheme="minorEastAsia" w:hAnsiTheme="minorEastAsia"/>
          <w:sz w:val="24"/>
          <w:szCs w:val="24"/>
        </w:rPr>
        <w:t>月</w:t>
      </w:r>
      <w:r>
        <w:rPr>
          <w:rFonts w:hint="eastAsia" w:asciiTheme="minorEastAsia" w:hAnsiTheme="minorEastAsia"/>
          <w:sz w:val="24"/>
          <w:szCs w:val="24"/>
          <w:lang w:val="en-US" w:eastAsia="zh-CN"/>
        </w:rPr>
        <w:t>12</w:t>
      </w:r>
      <w:r>
        <w:rPr>
          <w:rFonts w:hint="eastAsia" w:asciiTheme="minorEastAsia" w:hAnsiTheme="minorEastAsia"/>
          <w:sz w:val="24"/>
          <w:szCs w:val="24"/>
        </w:rPr>
        <w:t>日</w:t>
      </w:r>
      <w:r>
        <w:rPr>
          <w:rFonts w:asciiTheme="minorEastAsia" w:hAnsiTheme="minorEastAsia"/>
          <w:sz w:val="24"/>
          <w:szCs w:val="24"/>
        </w:rPr>
        <w:t>10时</w:t>
      </w:r>
      <w:r>
        <w:rPr>
          <w:rFonts w:hint="eastAsia" w:asciiTheme="minorEastAsia" w:hAnsiTheme="minorEastAsia"/>
          <w:sz w:val="24"/>
          <w:szCs w:val="24"/>
        </w:rPr>
        <w:t>止（延时的除外）在阿里资产·破产网络平台上（网址：</w:t>
      </w:r>
      <w:r>
        <w:t xml:space="preserve"> </w:t>
      </w:r>
      <w:r>
        <w:rPr>
          <w:rFonts w:asciiTheme="minorEastAsia" w:hAnsiTheme="minorEastAsia"/>
          <w:sz w:val="24"/>
          <w:szCs w:val="24"/>
        </w:rPr>
        <w:t>https://susong.taobao.com/</w:t>
      </w:r>
      <w:r>
        <w:rPr>
          <w:rFonts w:hint="eastAsia" w:asciiTheme="minorEastAsia" w:hAnsiTheme="minorEastAsia"/>
          <w:sz w:val="24"/>
          <w:szCs w:val="24"/>
        </w:rPr>
        <w:t>）进行公开拍卖活动，现公告如下：</w:t>
      </w:r>
    </w:p>
    <w:p w14:paraId="10EDC362">
      <w:pPr>
        <w:numPr>
          <w:ilvl w:val="0"/>
          <w:numId w:val="1"/>
        </w:num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拍卖标的物情况简介</w:t>
      </w:r>
    </w:p>
    <w:p w14:paraId="0C6D2FF7">
      <w:pPr>
        <w:spacing w:line="360" w:lineRule="auto"/>
        <w:ind w:firstLine="482" w:firstLineChars="200"/>
        <w:rPr>
          <w:rFonts w:asciiTheme="minorEastAsia" w:hAnsiTheme="minorEastAsia"/>
          <w:color w:val="000000" w:themeColor="text1"/>
          <w:sz w:val="24"/>
          <w:szCs w:val="24"/>
          <w14:textFill>
            <w14:solidFill>
              <w14:schemeClr w14:val="tx1"/>
            </w14:solidFill>
          </w14:textFill>
        </w:rPr>
      </w:pPr>
      <w:r>
        <w:rPr>
          <w:rFonts w:hint="eastAsia" w:asciiTheme="minorEastAsia" w:hAnsiTheme="minorEastAsia"/>
          <w:b/>
          <w:bCs/>
          <w:sz w:val="24"/>
          <w:szCs w:val="24"/>
        </w:rPr>
        <w:t>标的物名称</w:t>
      </w:r>
      <w:r>
        <w:rPr>
          <w:rFonts w:hint="eastAsia" w:asciiTheme="minorEastAsia" w:hAnsiTheme="minorEastAsia"/>
          <w:sz w:val="24"/>
          <w:szCs w:val="24"/>
        </w:rPr>
        <w:t>：</w:t>
      </w:r>
      <w:r>
        <w:rPr>
          <w:rFonts w:hint="eastAsia" w:asciiTheme="minorEastAsia" w:hAnsiTheme="minorEastAsia"/>
          <w:color w:val="000000" w:themeColor="text1"/>
          <w:sz w:val="24"/>
          <w:szCs w:val="24"/>
          <w14:textFill>
            <w14:solidFill>
              <w14:schemeClr w14:val="tx1"/>
            </w14:solidFill>
          </w14:textFill>
        </w:rPr>
        <w:t>北京太平洋邓禄普纺织品有限公司拥有的商标2项</w:t>
      </w:r>
    </w:p>
    <w:p w14:paraId="53D5D465">
      <w:pPr>
        <w:spacing w:line="360" w:lineRule="auto"/>
        <w:ind w:firstLine="482" w:firstLineChars="200"/>
        <w:rPr>
          <w:rFonts w:asciiTheme="minorEastAsia" w:hAnsiTheme="minorEastAsia"/>
          <w:sz w:val="24"/>
          <w:szCs w:val="24"/>
        </w:rPr>
      </w:pPr>
      <w:r>
        <w:rPr>
          <w:rFonts w:hint="eastAsia" w:asciiTheme="minorEastAsia" w:hAnsiTheme="minorEastAsia"/>
          <w:b/>
          <w:bCs/>
          <w:sz w:val="24"/>
          <w:szCs w:val="24"/>
        </w:rPr>
        <w:t>起拍价</w:t>
      </w:r>
      <w:r>
        <w:rPr>
          <w:rFonts w:hint="eastAsia" w:asciiTheme="minorEastAsia" w:hAnsiTheme="minorEastAsia"/>
          <w:sz w:val="24"/>
          <w:szCs w:val="24"/>
        </w:rPr>
        <w:t>：</w:t>
      </w:r>
      <w:r>
        <w:rPr>
          <w:rFonts w:hint="eastAsia" w:asciiTheme="minorEastAsia" w:hAnsiTheme="minorEastAsia"/>
          <w:b/>
          <w:bCs/>
          <w:color w:val="FF0000"/>
          <w:sz w:val="24"/>
          <w:szCs w:val="24"/>
          <w:lang w:val="en-US" w:eastAsia="zh-CN"/>
        </w:rPr>
        <w:t>2,087.68</w:t>
      </w:r>
      <w:r>
        <w:rPr>
          <w:rFonts w:hint="eastAsia" w:asciiTheme="minorEastAsia" w:hAnsiTheme="minorEastAsia"/>
          <w:sz w:val="24"/>
          <w:szCs w:val="24"/>
        </w:rPr>
        <w:t xml:space="preserve"> 元，保证金：</w:t>
      </w:r>
      <w:r>
        <w:rPr>
          <w:rFonts w:hint="eastAsia" w:asciiTheme="minorEastAsia" w:hAnsiTheme="minorEastAsia"/>
          <w:b/>
          <w:bCs/>
          <w:color w:val="FF0000"/>
          <w:sz w:val="24"/>
          <w:szCs w:val="24"/>
          <w:lang w:val="en-US" w:eastAsia="zh-CN"/>
        </w:rPr>
        <w:t>418</w:t>
      </w:r>
      <w:r>
        <w:rPr>
          <w:rFonts w:hint="eastAsia" w:asciiTheme="minorEastAsia" w:hAnsiTheme="minorEastAsia"/>
          <w:sz w:val="24"/>
          <w:szCs w:val="24"/>
        </w:rPr>
        <w:t>元，增价幅度：</w:t>
      </w:r>
      <w:r>
        <w:rPr>
          <w:rFonts w:hint="eastAsia" w:asciiTheme="minorEastAsia" w:hAnsiTheme="minorEastAsia"/>
          <w:b/>
          <w:bCs/>
          <w:color w:val="FF0000"/>
          <w:sz w:val="24"/>
          <w:szCs w:val="24"/>
        </w:rPr>
        <w:t>500</w:t>
      </w:r>
      <w:r>
        <w:rPr>
          <w:rFonts w:hint="eastAsia" w:asciiTheme="minorEastAsia" w:hAnsiTheme="minorEastAsia"/>
          <w:sz w:val="24"/>
          <w:szCs w:val="24"/>
        </w:rPr>
        <w:t>元(或整倍数)。</w:t>
      </w:r>
    </w:p>
    <w:p w14:paraId="4D421356">
      <w:pPr>
        <w:spacing w:line="360" w:lineRule="auto"/>
        <w:ind w:firstLine="482" w:firstLineChars="200"/>
        <w:rPr>
          <w:rFonts w:asciiTheme="minorEastAsia" w:hAnsiTheme="minorEastAsia"/>
          <w:b/>
          <w:bCs/>
          <w:color w:val="FF0000"/>
          <w:sz w:val="24"/>
          <w:szCs w:val="24"/>
        </w:rPr>
      </w:pPr>
      <w:r>
        <w:rPr>
          <w:rFonts w:hint="eastAsia" w:asciiTheme="minorEastAsia" w:hAnsiTheme="minorEastAsia"/>
          <w:b/>
          <w:bCs/>
          <w:color w:val="FF0000"/>
          <w:sz w:val="24"/>
          <w:szCs w:val="24"/>
        </w:rPr>
        <w:t>标的物特别情况说明：</w:t>
      </w:r>
    </w:p>
    <w:p w14:paraId="7AECB29D">
      <w:pPr>
        <w:spacing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1、关于商标资产管理人未接管到相关证书原件及其他相关材料，拍卖成交后以现状进行交付。买受人在缴纳完全部款项后7日内到管理人处，办理商标转让的相关文件交接。如买受人未在规定时间内与管理人办理交接的，因此造成的相关经济损失或导致无法进行过户转让的一切风险由买受人自行承担责任。竞买人竞买前需自行向相关部门咨询，并接受标的物一切已知和未知瑕疵，自愿承担投资风险。商标转让所发生的一切相关费用由买受人承担。</w:t>
      </w:r>
    </w:p>
    <w:p w14:paraId="658D3236">
      <w:pPr>
        <w:spacing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2、拍卖标的物的有关信息，包括但不限于名称、注册号、申请日期、有效日期、权利是否完整、权利取得方式、权利范围、状态等，均以国家知识产权局等相关部门登记记载的实时状态为准。官方网站上披露的信息可能存在未及时更新等原因导致与实际情况不符的情况。竞买人负责自行调查核实拍卖标的物实际情况。管理人对于拍卖标的物的详细情况、使用情况及有无许可他人使用等情况不作担保，亦不能保证拍卖标的物及其附属权利的有效性、完整性、完好性；管理人不能保证拍卖标的物能够正常使用，亦不提供任何形式的售后服务。</w:t>
      </w:r>
    </w:p>
    <w:p w14:paraId="74CC2126">
      <w:pPr>
        <w:spacing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3、拍卖成交后，本拍卖标的物的转让登记、过户、补证、续展、抗辩、答辩等手续由买受人自行办理（请自行向有关部门咨询补证、转让、续展、登记、撤三答辩等手续，并请立即办理相应手续），管理人不承诺可以办理成功。如果不能办理成功的，买受人自行承担风险，已经支付的成交款不予返还。办理上述手续所涉及的一切税费、可能产生的费用等均由买受人自行承担。</w:t>
      </w:r>
    </w:p>
    <w:p w14:paraId="56209F59">
      <w:pPr>
        <w:spacing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4、拍卖成交后，买受人不得以拍卖标的物不存在、名称等信息不准确、权利已丧失（含被撤销、无效、被宣告无效、失效）或有瑕疵、数量存在短缺、欠缴税/费、司法查封、权利凭证缺失、无法正常使用、无法过户等方面存在问题或公告规则不合理、不公平等为由提出异议、主张竞价无效、悔拍、向管理人及拍卖辅助机构索偿。拍卖标的物成交后，前述相关状况由买受人负责解决，所有责任由买受人承担，所产生的费用由买受人自行承担，管理人不做任何担保或承诺，亦不承担披露信息不准确或不全等情形的后果。</w:t>
      </w:r>
    </w:p>
    <w:p w14:paraId="3C8DEC94">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重要提示：</w:t>
      </w:r>
    </w:p>
    <w:p w14:paraId="2BB9BC0A">
      <w:pPr>
        <w:spacing w:line="360" w:lineRule="auto"/>
        <w:ind w:firstLine="480" w:firstLineChars="200"/>
        <w:rPr>
          <w:rFonts w:asciiTheme="minorEastAsia" w:hAnsiTheme="minorEastAsia"/>
          <w:bCs/>
          <w:color w:val="000000" w:themeColor="text1"/>
          <w:sz w:val="24"/>
          <w:szCs w:val="24"/>
          <w14:textFill>
            <w14:solidFill>
              <w14:schemeClr w14:val="tx1"/>
            </w14:solidFill>
          </w14:textFill>
        </w:rPr>
      </w:pPr>
      <w:r>
        <w:rPr>
          <w:rFonts w:hint="eastAsia" w:asciiTheme="minorEastAsia" w:hAnsiTheme="minorEastAsia"/>
          <w:bCs/>
          <w:color w:val="000000" w:themeColor="text1"/>
          <w:sz w:val="24"/>
          <w:szCs w:val="24"/>
          <w14:textFill>
            <w14:solidFill>
              <w14:schemeClr w14:val="tx1"/>
            </w14:solidFill>
          </w14:textFill>
        </w:rPr>
        <w:t>1、本次拍卖标的物商标相关状况系管理人通过公开渠道查询而来，拍卖标的物已知及可能存在的瑕疵已在本次拍卖资料中作了详尽的说明，管理人不确定标的物有无其他瑕疵、有无权利负担，标的物以其现状为准，拍卖人对拍卖标的物所作的说明和提供的图片等，仅供竞买人参考，不构成对标的物的任何担保。竞买人应对拍卖标的物的实际状况、权利负担情况以及瑕疵（含显性、隐性瑕疵）等自行调查核实、承担投资风险。竞拍人请亲自调查核实拍卖标的物相关情况并在参加竞拍前到相关部门查询了解标的物是否可转让、权利负担、标的物状态、剩余保护期限等信息，确认标的物状况。凡参与竞拍即视为竞拍人了解详情和确认标的物现状，并接受标的物的现状和一切已知及未知的瑕疵。因标的物现状及存在瑕疵、权利负担等原因导致无法转让、拖延移交增加的费用、影响转让后使用等风险均由买受人自负，管理人不作任何承诺。</w:t>
      </w:r>
    </w:p>
    <w:p w14:paraId="0F6F900C">
      <w:pPr>
        <w:spacing w:line="360" w:lineRule="auto"/>
        <w:ind w:firstLine="480" w:firstLineChars="200"/>
        <w:rPr>
          <w:rFonts w:asciiTheme="minorEastAsia" w:hAnsiTheme="minorEastAsia"/>
          <w:bCs/>
          <w:color w:val="000000" w:themeColor="text1"/>
          <w:sz w:val="24"/>
          <w:szCs w:val="24"/>
          <w14:textFill>
            <w14:solidFill>
              <w14:schemeClr w14:val="tx1"/>
            </w14:solidFill>
          </w14:textFill>
        </w:rPr>
      </w:pPr>
      <w:r>
        <w:rPr>
          <w:rFonts w:hint="eastAsia" w:asciiTheme="minorEastAsia" w:hAnsiTheme="minorEastAsia"/>
          <w:bCs/>
          <w:color w:val="000000" w:themeColor="text1"/>
          <w:sz w:val="24"/>
          <w:szCs w:val="24"/>
          <w14:textFill>
            <w14:solidFill>
              <w14:schemeClr w14:val="tx1"/>
            </w14:solidFill>
          </w14:textFill>
        </w:rPr>
        <w:t>2、因本次拍卖标的物为无形资产，无实物可供竞买人看样，除拍卖文件披露外，请竞买人自行调查该无形资产使用价值、实际状况及存在的瑕疵（含显性、隐性瑕疵），竞买人决定参与竞买的，视为对标的物完全了解，并接受标的物一切已知和未知瑕疵，自愿承担投资风险。</w:t>
      </w:r>
    </w:p>
    <w:p w14:paraId="45F5C99E">
      <w:pPr>
        <w:spacing w:line="360" w:lineRule="auto"/>
        <w:ind w:firstLine="480" w:firstLineChars="200"/>
        <w:rPr>
          <w:rFonts w:asciiTheme="minorEastAsia" w:hAnsiTheme="minorEastAsia"/>
          <w:bCs/>
          <w:color w:val="000000" w:themeColor="text1"/>
          <w:sz w:val="24"/>
          <w:szCs w:val="24"/>
          <w14:textFill>
            <w14:solidFill>
              <w14:schemeClr w14:val="tx1"/>
            </w14:solidFill>
          </w14:textFill>
        </w:rPr>
      </w:pPr>
      <w:r>
        <w:rPr>
          <w:rFonts w:hint="eastAsia" w:asciiTheme="minorEastAsia" w:hAnsiTheme="minorEastAsia"/>
          <w:bCs/>
          <w:color w:val="000000" w:themeColor="text1"/>
          <w:sz w:val="24"/>
          <w:szCs w:val="24"/>
          <w14:textFill>
            <w14:solidFill>
              <w14:schemeClr w14:val="tx1"/>
            </w14:solidFill>
          </w14:textFill>
        </w:rPr>
        <w:t>3、商标能否办理权利转让登记，请竞买人自行向有关部门咨询，管理人不作任何承诺。参与竞买的需自行前往相关部门了解商标情况，再决定是否参与竞买，如参与竞买的则视为对标的物的情况已知，责任自负。如果不能办理过户的，买受人自行承担风险，已经支付的成交款不予返还，买受人不能因此悔拍。</w:t>
      </w:r>
    </w:p>
    <w:p w14:paraId="01448127">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4、其他未尽事宜由买受人自行了解。</w:t>
      </w:r>
    </w:p>
    <w:p w14:paraId="3C1B64F9">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二、咨询、展示、看样的时间与方式</w:t>
      </w:r>
    </w:p>
    <w:p w14:paraId="01FD79F5">
      <w:pPr>
        <w:spacing w:line="360" w:lineRule="auto"/>
        <w:ind w:firstLine="480" w:firstLineChars="200"/>
        <w:rPr>
          <w:rFonts w:asciiTheme="minorEastAsia" w:hAnsiTheme="minorEastAsia"/>
          <w:b/>
          <w:color w:val="FF0000"/>
          <w:sz w:val="24"/>
          <w:szCs w:val="24"/>
        </w:rPr>
      </w:pPr>
      <w:r>
        <w:rPr>
          <w:rFonts w:hint="eastAsia" w:asciiTheme="minorEastAsia" w:hAnsiTheme="minorEastAsia"/>
          <w:sz w:val="24"/>
          <w:szCs w:val="24"/>
        </w:rPr>
        <w:t>自公告之日起至拍卖结束之日止接受咨询（工作时间内），统一安排现场看样。本管理人已委托北京嘉运亨通拍卖有限公司协助办理咨询、预展事务，有意者请与联系（联系电话：王女士：</w:t>
      </w:r>
      <w:r>
        <w:rPr>
          <w:rFonts w:asciiTheme="minorEastAsia" w:hAnsiTheme="minorEastAsia"/>
          <w:sz w:val="24"/>
          <w:szCs w:val="24"/>
        </w:rPr>
        <w:t>18201408042</w:t>
      </w:r>
      <w:r>
        <w:rPr>
          <w:rFonts w:hint="eastAsia" w:asciiTheme="minorEastAsia" w:hAnsiTheme="minorEastAsia"/>
          <w:sz w:val="24"/>
          <w:szCs w:val="24"/>
        </w:rPr>
        <w:t>，李先生：13552572522）。</w:t>
      </w:r>
      <w:r>
        <w:rPr>
          <w:rFonts w:hint="eastAsia" w:asciiTheme="minorEastAsia" w:hAnsiTheme="minorEastAsia"/>
          <w:b/>
          <w:color w:val="FF0000"/>
          <w:sz w:val="24"/>
          <w:szCs w:val="24"/>
        </w:rPr>
        <w:t>因拍卖标的物无实物可供竞买人看样，请竞买人自行调查该资产的价值与瑕疵，详细情况可向相关部门了解，参与拍卖的竞买人视为对标的物的一切瑕疵（包括隐性瑕疵和显性瑕疵）已知，责任自负，请谨慎参拍。管理人与拍卖辅助机构不对标的物的任何权利负担或瑕疵承担责任。竞买人一旦作出竞买决定，即表明已完全了解，并接受标的物的现状和一切已知及未知的瑕疵。</w:t>
      </w:r>
    </w:p>
    <w:p w14:paraId="743C4E3E">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三、竞买人条件</w:t>
      </w:r>
    </w:p>
    <w:p w14:paraId="4892A11A">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3C3B47AD">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w:t>
      </w:r>
      <w:r>
        <w:rPr>
          <w:rFonts w:hint="eastAsia" w:asciiTheme="minorEastAsia" w:hAnsiTheme="minorEastAsia"/>
          <w:color w:val="000000" w:themeColor="text1"/>
          <w:sz w:val="24"/>
          <w:szCs w:val="24"/>
          <w14:textFill>
            <w14:solidFill>
              <w14:schemeClr w14:val="tx1"/>
            </w14:solidFill>
          </w14:textFill>
        </w:rPr>
        <w:t>竞买人（</w:t>
      </w:r>
      <w:r>
        <w:rPr>
          <w:rFonts w:hint="eastAsia" w:asciiTheme="minorEastAsia" w:hAnsiTheme="minorEastAsia"/>
          <w:sz w:val="24"/>
          <w:szCs w:val="24"/>
        </w:rPr>
        <w:t>公民、法人和其他组织</w:t>
      </w:r>
      <w:r>
        <w:rPr>
          <w:rFonts w:hint="eastAsia" w:asciiTheme="minorEastAsia" w:hAnsiTheme="minorEastAsia"/>
          <w:color w:val="000000" w:themeColor="text1"/>
          <w:sz w:val="24"/>
          <w:szCs w:val="24"/>
          <w14:textFill>
            <w14:solidFill>
              <w14:schemeClr w14:val="tx1"/>
            </w14:solidFill>
          </w14:textFill>
        </w:rPr>
        <w:t>）可委托他人（</w:t>
      </w:r>
      <w:r>
        <w:rPr>
          <w:rFonts w:hint="eastAsia" w:asciiTheme="minorEastAsia" w:hAnsiTheme="minorEastAsia"/>
          <w:sz w:val="24"/>
          <w:szCs w:val="24"/>
        </w:rPr>
        <w:t>公民、法人和其他组织</w:t>
      </w:r>
      <w:r>
        <w:rPr>
          <w:rFonts w:hint="eastAsia" w:asciiTheme="minorEastAsia" w:hAnsiTheme="minorEastAsia"/>
          <w:color w:val="000000" w:themeColor="text1"/>
          <w:sz w:val="24"/>
          <w:szCs w:val="24"/>
          <w14:textFill>
            <w14:solidFill>
              <w14:schemeClr w14:val="tx1"/>
            </w14:solidFill>
          </w14:textFill>
        </w:rPr>
        <w:t>）参与拍卖。</w:t>
      </w:r>
      <w:r>
        <w:rPr>
          <w:rFonts w:hint="eastAsia" w:asciiTheme="minorEastAsia" w:hAnsiTheme="minorEastAsia"/>
          <w:sz w:val="24"/>
          <w:szCs w:val="24"/>
        </w:rPr>
        <w:t>但须在拍卖开始日的</w:t>
      </w:r>
      <w:r>
        <w:rPr>
          <w:rFonts w:hint="eastAsia" w:asciiTheme="minorEastAsia" w:hAnsiTheme="minorEastAsia"/>
          <w:color w:val="000000" w:themeColor="text1"/>
          <w:sz w:val="24"/>
          <w:szCs w:val="24"/>
          <w14:textFill>
            <w14:solidFill>
              <w14:schemeClr w14:val="tx1"/>
            </w14:solidFill>
          </w14:textFill>
        </w:rPr>
        <w:t>两日</w:t>
      </w:r>
      <w:r>
        <w:rPr>
          <w:rFonts w:hint="eastAsia" w:asciiTheme="minorEastAsia" w:hAnsiTheme="minorEastAsia"/>
          <w:sz w:val="24"/>
          <w:szCs w:val="24"/>
        </w:rPr>
        <w:t>前与管理人沟通办理委托手续；竞买成功后，竞买人（公民、法人和其他组织）或其委托代理人应到管理人处办理交付或权属转移手续。如委托手续不全，竞买活动认定为委托代理人的个人行为。因不符合条件参加竞买的，由竞买人自行承担相应的法律责任。</w:t>
      </w:r>
    </w:p>
    <w:p w14:paraId="49397A89">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3、负责承办本案件的人民法院、破产企业管理人、网络服务提供者、承担拍卖辅助工作的社会机构或者组织的工作人员及其近亲属不得参与竞买，并不得委托他人代为竞买与其行为相关的拍卖标的物。</w:t>
      </w:r>
    </w:p>
    <w:p w14:paraId="3D1EA692">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4、因不符合条件参加竞买的，由竞买人/买受人自行承担相应的法律责任。</w:t>
      </w:r>
    </w:p>
    <w:p w14:paraId="5BE90FD8">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四、优先购买权人</w:t>
      </w:r>
    </w:p>
    <w:p w14:paraId="1711C563">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1、本标的物优先购买权人：</w:t>
      </w:r>
    </w:p>
    <w:p w14:paraId="1FCE1A5E">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优先购买权人应于本公告发布之日起3日内向管理人联系，提供相关证明材料，办理相关手续。逾期未提供材料或办理手续者，视为自动放弃优先购买权。</w:t>
      </w:r>
    </w:p>
    <w:p w14:paraId="40D652DA">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优先购买权人参加竞买的，应向管理人提交合法有效的证明，经管理人确认资格及顺位后才能参与竞买，逾期不提交的，视为放弃对标的物享有优先购买权。管理人在正式拍卖日前将经确认的优先权购买人资格和顺位信息，审报网络平台技术部门，录入平台系统。</w:t>
      </w:r>
    </w:p>
    <w:p w14:paraId="793552B4">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3、优先购买权人参与竞买的，与其他竞买人以相同的价格出价，没有更高出价的，标的物由优先购买权人竞得。</w:t>
      </w:r>
    </w:p>
    <w:p w14:paraId="0DB2B79C">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1C3A84A9">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五、拍卖延时</w:t>
      </w:r>
    </w:p>
    <w:p w14:paraId="0C000896">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本次拍卖活动设置延时出价功能，在拍卖活动结束前，每最后5分钟如果有竞买人出价，就自动延迟5分钟。</w:t>
      </w:r>
    </w:p>
    <w:p w14:paraId="78561704">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六、拍卖方式</w:t>
      </w:r>
    </w:p>
    <w:p w14:paraId="19BDDAF5">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本次拍卖采取有保留价的增价拍卖方式，保留价即为起拍价，至少一人报名且出价不低于起拍价，方可成交。无人报名或出价的，竞价会流拍。</w:t>
      </w:r>
    </w:p>
    <w:p w14:paraId="2385AF10">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七、税费及其他费用承担</w:t>
      </w:r>
    </w:p>
    <w:p w14:paraId="5A99CC48">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本次拍卖活动计价货币为人民币。本次拍卖成交价不含税费及其他费用。标的物转让登记手续由买受人办理，管理人将给予必要的协助。标的物转让登记买卖双方所涉及的一切税费及明确的或潜在的一切关联费用均由买受人自行承担。买受人在竞买前应向所涉税务局部门确认成交后应缴纳的税费标准。标的物变更登记所产生的费用及其他费用均由买受人承担。</w:t>
      </w:r>
    </w:p>
    <w:p w14:paraId="593ECD55">
      <w:pPr>
        <w:spacing w:line="360" w:lineRule="auto"/>
        <w:ind w:firstLine="482"/>
        <w:rPr>
          <w:rFonts w:cs="宋体" w:asciiTheme="minorEastAsia" w:hAnsiTheme="minorEastAsia"/>
          <w:b/>
          <w:sz w:val="24"/>
        </w:rPr>
      </w:pPr>
      <w:r>
        <w:rPr>
          <w:rFonts w:cs="宋体" w:asciiTheme="minorEastAsia" w:hAnsiTheme="minorEastAsia"/>
          <w:b/>
          <w:sz w:val="24"/>
        </w:rPr>
        <w:t>八、签署成交文件</w:t>
      </w:r>
    </w:p>
    <w:p w14:paraId="5958144A">
      <w:pPr>
        <w:spacing w:line="360" w:lineRule="auto"/>
        <w:ind w:firstLine="482"/>
        <w:rPr>
          <w:rFonts w:cs="宋体" w:asciiTheme="minorEastAsia" w:hAnsiTheme="minorEastAsia"/>
          <w:bCs/>
          <w:sz w:val="24"/>
        </w:rPr>
      </w:pPr>
      <w:r>
        <w:rPr>
          <w:rFonts w:cs="宋体" w:asciiTheme="minorEastAsia" w:hAnsiTheme="minorEastAsia"/>
          <w:bCs/>
          <w:sz w:val="24"/>
        </w:rPr>
        <w:t>买受人须在拍卖成交之日起三日内（遇节假日顺延）凭缴纳拍卖保证金平台生成的竞买号及相关身份材料到管理人处签署拍卖成交确认文件。</w:t>
      </w:r>
    </w:p>
    <w:p w14:paraId="230F2FA1">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九、保证金和余款支付</w:t>
      </w:r>
    </w:p>
    <w:p w14:paraId="18A2F7AD">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拍卖竞价前将通过网拍系统在竞买人支付宝账户内冻结相应资金作为应缴的保证金，拍卖结束后未能竞得者冻结的保证金自动解冻，冻结期间不计利息。本标的物竞得者原冻结的保证金自动转入指定账户冲抵价款。拍卖余款由竞得者在拍卖成交（即竞价成功日，下同）后</w:t>
      </w:r>
      <w:r>
        <w:rPr>
          <w:rFonts w:hint="eastAsia" w:asciiTheme="minorEastAsia" w:hAnsiTheme="minorEastAsia"/>
          <w:b/>
          <w:color w:val="FF0000"/>
          <w:sz w:val="24"/>
          <w:szCs w:val="24"/>
        </w:rPr>
        <w:t>十个工作日</w:t>
      </w:r>
      <w:r>
        <w:rPr>
          <w:rFonts w:hint="eastAsia" w:asciiTheme="minorEastAsia" w:hAnsiTheme="minorEastAsia"/>
          <w:sz w:val="24"/>
          <w:szCs w:val="24"/>
        </w:rPr>
        <w:t>内缴纳至管理人指定账户：</w:t>
      </w:r>
    </w:p>
    <w:p w14:paraId="760F65FD">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户  名：北京太平洋邓禄普纺织品有限公司管理人</w:t>
      </w:r>
    </w:p>
    <w:p w14:paraId="47C8A0A8">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开户行：中国工商银行股份有限公司北京大郊亭支行</w:t>
      </w:r>
    </w:p>
    <w:p w14:paraId="76C82FB5">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账  户：</w:t>
      </w:r>
      <w:r>
        <w:rPr>
          <w:rFonts w:asciiTheme="minorEastAsia" w:hAnsiTheme="minorEastAsia"/>
          <w:b/>
          <w:color w:val="FF0000"/>
          <w:sz w:val="24"/>
          <w:szCs w:val="24"/>
        </w:rPr>
        <w:t>0200048439200323074</w:t>
      </w:r>
    </w:p>
    <w:p w14:paraId="10BBDAA4">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2、支付宝网上付款方式：登录我的淘宝-我的拍卖支付，付款教程：https://www.taobao.com/market/paimai/sf-helpcenter.php?path=sf-hc-right-content5#q8）</w:t>
      </w:r>
    </w:p>
    <w:p w14:paraId="11BF73D0">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破产企业资产拍卖因标的物本身价值，其起拍价、保证金、竞拍成交价格相对较高的，竞买人参与竞拍，支付保证金及余款可能会碰到当天限额无法支付的情况，请竞买人根据自身情况选择网上充值银行。各大银行充值和支付的限额情况可上网查询，网址：https://www.taobao.com/market/paimai/sf-helpcenter.php?path=sf-hc-right-content5#q1</w:t>
      </w:r>
    </w:p>
    <w:p w14:paraId="78CAA8CF">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拍卖成交后买受人悔拍（包括但不限于买受人未在拍卖成交后十个工作日内将拍卖成交全部余款缴入指定账户，以及买受人明示或暗示其悔拍等情形）的，管理人可重新委托拍卖，买受人交纳的保证金不予退还，计入债务人财产。保证金数额不足以弥补拍卖费用损失以及重新拍卖价款低于原拍卖价款的差价的，管理人可向悔拍人追索。重新拍卖时，原买受人不得参加竞买。</w:t>
      </w:r>
    </w:p>
    <w:p w14:paraId="11BAFA86">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特别提示：</w:t>
      </w:r>
    </w:p>
    <w:p w14:paraId="4D299AC1">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综合服务费由拍卖辅助机构收取（按照成交价格的2%计算，封顶不超过200万元）买受人需在成交之后十个工作日内将综合服务费汇款至北京嘉运亨通拍卖有限公司指定账户【户名：北京嘉运亨通拍卖有限公司；开户行：招商银行股份有限公司北京崇文门支行；账号：110945693810201；以到账时间为准】。</w:t>
      </w:r>
    </w:p>
    <w:p w14:paraId="5022C12B">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软件服务费由阿里拍卖平台收取，付费方式及软件服务费金额等请详见《阿里拍卖平台破产资产处置频道收费规则》。买受人须于成交后十个工作日内通过线上完成相应费用的支付后，保证金将转为部分成交价款转至管理人的支付宝账户。</w:t>
      </w:r>
    </w:p>
    <w:p w14:paraId="60596D67">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上述综合服务费和软件服务费，买受人逾期未全额缴纳的，阿里拍卖平台和拍卖辅助机构可对其进行依法追缴。买受人缴纳相关费用后如需索取发票的，买受人可与拍卖辅助机构联系开具或在阿里支付系统中查看已完成支付的软件服务费记录并点击申请开票。</w:t>
      </w:r>
    </w:p>
    <w:p w14:paraId="61C70000">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十、拍品交付</w:t>
      </w:r>
    </w:p>
    <w:p w14:paraId="2A57FC4F">
      <w:pPr>
        <w:spacing w:line="360" w:lineRule="auto"/>
        <w:ind w:firstLine="482" w:firstLineChars="200"/>
        <w:rPr>
          <w:rFonts w:asciiTheme="minorEastAsia" w:hAnsiTheme="minorEastAsia"/>
          <w:b/>
          <w:bCs/>
          <w:sz w:val="24"/>
          <w:szCs w:val="24"/>
          <w:u w:val="single"/>
        </w:rPr>
      </w:pPr>
      <w:r>
        <w:rPr>
          <w:rFonts w:hint="eastAsia" w:asciiTheme="minorEastAsia" w:hAnsiTheme="minorEastAsia"/>
          <w:b/>
          <w:bCs/>
          <w:sz w:val="24"/>
          <w:szCs w:val="24"/>
          <w:u w:val="single"/>
        </w:rPr>
        <w:t>1、买受人在缴纳完全部拍卖款项后，持有效身份证明及签署好的拍卖成交文件，自行前往相关主管部门办理登记转让手续，管理人给予必要的配合。买受人逾期不办理的，应支付由此产生的一切费用，并承担本标的物可能发生的一切后果。管理人和拍卖辅助机构不对权属变更做任何担保。</w:t>
      </w:r>
    </w:p>
    <w:p w14:paraId="0C77234A">
      <w:pPr>
        <w:spacing w:line="360" w:lineRule="auto"/>
        <w:ind w:firstLine="482" w:firstLineChars="200"/>
        <w:rPr>
          <w:rFonts w:asciiTheme="minorEastAsia" w:hAnsiTheme="minorEastAsia"/>
          <w:b/>
          <w:bCs/>
          <w:sz w:val="24"/>
          <w:szCs w:val="24"/>
          <w:u w:val="single"/>
        </w:rPr>
      </w:pPr>
      <w:r>
        <w:rPr>
          <w:rFonts w:hint="eastAsia" w:asciiTheme="minorEastAsia" w:hAnsiTheme="minorEastAsia"/>
          <w:b/>
          <w:bCs/>
          <w:sz w:val="24"/>
          <w:szCs w:val="24"/>
          <w:u w:val="single"/>
        </w:rPr>
        <w:t>2、标的物能否办理登记转让手续及办理登记转让手续的时间请竞买人在竞买前自行到相关职能部门咨询确认，标的物现状及存在瑕疵等原因不能或者延迟办理过户手续的造成的费用增加的后果由买受人承担。买受人不得以办理权属变更登记时间过长或不能办理为由进行悔拍，或者要求管理人承担任何责任以及赔偿任何损失。管理人不作登记转让的任何承诺。</w:t>
      </w:r>
    </w:p>
    <w:p w14:paraId="51919763">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十一、</w:t>
      </w:r>
      <w:r>
        <w:rPr>
          <w:rFonts w:hint="eastAsia" w:asciiTheme="minorEastAsia" w:hAnsiTheme="minorEastAsia"/>
          <w:sz w:val="24"/>
          <w:szCs w:val="24"/>
        </w:rPr>
        <w:t>依照相关法律规定，竞买人成功竞得网拍标的物后，淘宝网拍平台将生成相应《网络竞价成功确认书》，该材料仅为竞价成功确认书，载明实际买受人姓名、网拍竞买号信息，非《拍卖成交确认书》。</w:t>
      </w:r>
    </w:p>
    <w:p w14:paraId="59699212">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十二、</w:t>
      </w:r>
      <w:r>
        <w:rPr>
          <w:rFonts w:hint="eastAsia" w:asciiTheme="minorEastAsia" w:hAnsiTheme="minorEastAsia"/>
          <w:sz w:val="24"/>
          <w:szCs w:val="24"/>
        </w:rPr>
        <w:t>竞买人在拍卖竞价前请务必再仔细阅读《竞买须知》、《拍卖标的物调查情况表》。本《竞买公告》其他未尽事宜，请向管理人咨询；拍卖标的物详情请咨询管理人。</w:t>
      </w:r>
    </w:p>
    <w:p w14:paraId="4215A5F7">
      <w:pPr>
        <w:spacing w:line="360" w:lineRule="auto"/>
        <w:ind w:firstLine="482" w:firstLineChars="200"/>
        <w:rPr>
          <w:rFonts w:asciiTheme="minorEastAsia" w:hAnsiTheme="minorEastAsia"/>
          <w:bCs/>
          <w:sz w:val="24"/>
          <w:szCs w:val="24"/>
        </w:rPr>
      </w:pPr>
      <w:r>
        <w:rPr>
          <w:rFonts w:hint="eastAsia" w:asciiTheme="minorEastAsia" w:hAnsiTheme="minorEastAsia"/>
          <w:b/>
          <w:sz w:val="24"/>
          <w:szCs w:val="24"/>
        </w:rPr>
        <w:t>十三、</w:t>
      </w:r>
      <w:r>
        <w:rPr>
          <w:rFonts w:hint="eastAsia" w:asciiTheme="minorEastAsia" w:hAnsiTheme="minorEastAsia"/>
          <w:bCs/>
          <w:sz w:val="24"/>
          <w:szCs w:val="24"/>
        </w:rPr>
        <w:t>破产案件监督单位：北京市第一中级人民法院;</w:t>
      </w:r>
    </w:p>
    <w:p w14:paraId="538CBE02">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咨询电话：王女士：</w:t>
      </w:r>
      <w:r>
        <w:rPr>
          <w:rFonts w:asciiTheme="minorEastAsia" w:hAnsiTheme="minorEastAsia"/>
          <w:sz w:val="24"/>
          <w:szCs w:val="24"/>
        </w:rPr>
        <w:t>18201408042</w:t>
      </w:r>
      <w:r>
        <w:rPr>
          <w:rFonts w:hint="eastAsia" w:asciiTheme="minorEastAsia" w:hAnsiTheme="minorEastAsia"/>
          <w:sz w:val="24"/>
          <w:szCs w:val="24"/>
        </w:rPr>
        <w:t>，李先生：13552572522</w:t>
      </w:r>
    </w:p>
    <w:p w14:paraId="5962454A">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淘宝技术咨询：400-822-2870；</w:t>
      </w:r>
    </w:p>
    <w:p w14:paraId="2A091DAC">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法院监督电话：010-68639038。</w:t>
      </w:r>
    </w:p>
    <w:p w14:paraId="3AC417A4">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本次拍卖活动最终解释权归北京太平洋邓禄普纺织品有限公司管理人所有。</w:t>
      </w:r>
    </w:p>
    <w:p w14:paraId="0FCBC559">
      <w:pPr>
        <w:spacing w:line="360" w:lineRule="auto"/>
        <w:ind w:firstLine="480" w:firstLineChars="200"/>
        <w:rPr>
          <w:rFonts w:asciiTheme="minorEastAsia" w:hAnsiTheme="minorEastAsia"/>
          <w:sz w:val="24"/>
          <w:szCs w:val="24"/>
        </w:rPr>
      </w:pPr>
      <w:r>
        <w:rPr>
          <w:rFonts w:asciiTheme="minorEastAsia" w:hAnsiTheme="minorEastAsia"/>
          <w:sz w:val="24"/>
          <w:szCs w:val="24"/>
        </w:rPr>
        <w:t xml:space="preserve">                                                                          </w:t>
      </w:r>
    </w:p>
    <w:p w14:paraId="2559F25F">
      <w:pPr>
        <w:spacing w:line="360" w:lineRule="auto"/>
        <w:ind w:firstLine="480" w:firstLineChars="200"/>
        <w:jc w:val="right"/>
        <w:rPr>
          <w:rFonts w:asciiTheme="minorEastAsia" w:hAnsiTheme="minorEastAsia"/>
          <w:sz w:val="24"/>
          <w:szCs w:val="24"/>
        </w:rPr>
      </w:pPr>
      <w:r>
        <w:rPr>
          <w:rFonts w:hint="eastAsia" w:asciiTheme="minorEastAsia" w:hAnsiTheme="minorEastAsia"/>
          <w:sz w:val="24"/>
          <w:szCs w:val="24"/>
        </w:rPr>
        <w:t>北京太平洋邓禄普纺织品有限公司管理人</w:t>
      </w:r>
    </w:p>
    <w:p w14:paraId="06B3E561">
      <w:pPr>
        <w:spacing w:line="360" w:lineRule="auto"/>
        <w:ind w:firstLine="480" w:firstLineChars="200"/>
        <w:jc w:val="right"/>
        <w:rPr>
          <w:rFonts w:asciiTheme="minorEastAsia" w:hAnsiTheme="minorEastAsia"/>
          <w:sz w:val="24"/>
          <w:szCs w:val="24"/>
        </w:rPr>
      </w:pPr>
      <w:r>
        <w:rPr>
          <w:rFonts w:hint="eastAsia" w:asciiTheme="minorEastAsia" w:hAnsiTheme="minorEastAsia"/>
          <w:sz w:val="24"/>
          <w:szCs w:val="24"/>
        </w:rPr>
        <w:t>二〇二五年十</w:t>
      </w:r>
      <w:r>
        <w:rPr>
          <w:rFonts w:hint="eastAsia" w:asciiTheme="minorEastAsia" w:hAnsiTheme="minorEastAsia"/>
          <w:sz w:val="24"/>
          <w:szCs w:val="24"/>
          <w:lang w:val="en-US" w:eastAsia="zh-CN"/>
        </w:rPr>
        <w:t>二</w:t>
      </w:r>
      <w:r>
        <w:rPr>
          <w:rFonts w:hint="eastAsia" w:asciiTheme="minorEastAsia" w:hAnsiTheme="minorEastAsia"/>
          <w:sz w:val="24"/>
          <w:szCs w:val="24"/>
        </w:rPr>
        <w:t>月</w:t>
      </w:r>
      <w:r>
        <w:rPr>
          <w:rFonts w:hint="eastAsia" w:asciiTheme="minorEastAsia" w:hAnsiTheme="minorEastAsia"/>
          <w:sz w:val="24"/>
          <w:szCs w:val="24"/>
          <w:lang w:val="en-US" w:eastAsia="zh-CN"/>
        </w:rPr>
        <w:t>三</w:t>
      </w:r>
      <w:r>
        <w:rPr>
          <w:rFonts w:hint="eastAsia" w:asciiTheme="minorEastAsia" w:hAnsiTheme="minorEastAsia"/>
          <w:sz w:val="24"/>
          <w:szCs w:val="24"/>
        </w:rPr>
        <w:t>日</w:t>
      </w:r>
    </w:p>
    <w:p w14:paraId="3E737CED">
      <w:pPr>
        <w:spacing w:line="360" w:lineRule="auto"/>
        <w:rPr>
          <w:rFonts w:asciiTheme="minorEastAsia" w:hAnsiTheme="minorEastAsia"/>
          <w:sz w:val="24"/>
          <w:szCs w:val="24"/>
        </w:rPr>
      </w:pPr>
    </w:p>
    <w:p w14:paraId="6F8C5CE6">
      <w:pPr>
        <w:spacing w:line="360" w:lineRule="auto"/>
        <w:jc w:val="center"/>
        <w:rPr>
          <w:rFonts w:asciiTheme="minorEastAsia" w:hAnsiTheme="minorEastAsia"/>
          <w:b/>
          <w:sz w:val="44"/>
          <w:szCs w:val="44"/>
        </w:rPr>
      </w:pPr>
    </w:p>
    <w:p w14:paraId="76D4C45C">
      <w:pPr>
        <w:spacing w:line="360" w:lineRule="auto"/>
        <w:jc w:val="center"/>
        <w:rPr>
          <w:rFonts w:asciiTheme="minorEastAsia" w:hAnsiTheme="minorEastAsia"/>
          <w:b/>
          <w:sz w:val="44"/>
          <w:szCs w:val="44"/>
        </w:rPr>
      </w:pPr>
    </w:p>
    <w:p w14:paraId="5B7DF156">
      <w:pPr>
        <w:spacing w:line="360" w:lineRule="auto"/>
        <w:jc w:val="center"/>
        <w:rPr>
          <w:rFonts w:asciiTheme="minorEastAsia" w:hAnsiTheme="minorEastAsia"/>
          <w:b/>
          <w:sz w:val="44"/>
          <w:szCs w:val="44"/>
        </w:rPr>
      </w:pPr>
      <w:r>
        <w:rPr>
          <w:rFonts w:hint="eastAsia" w:asciiTheme="minorEastAsia" w:hAnsiTheme="minorEastAsia"/>
          <w:b/>
          <w:sz w:val="44"/>
          <w:szCs w:val="44"/>
        </w:rPr>
        <w:t>竞 买 须 知</w:t>
      </w:r>
    </w:p>
    <w:p w14:paraId="09A04A16">
      <w:pPr>
        <w:spacing w:line="360" w:lineRule="auto"/>
        <w:ind w:firstLine="480" w:firstLineChars="200"/>
        <w:rPr>
          <w:rFonts w:asciiTheme="minorEastAsia" w:hAnsiTheme="minorEastAsia"/>
          <w:sz w:val="24"/>
          <w:szCs w:val="24"/>
        </w:rPr>
      </w:pPr>
      <w:r>
        <w:rPr>
          <w:rFonts w:asciiTheme="minorEastAsia" w:hAnsiTheme="minorEastAsia"/>
          <w:sz w:val="24"/>
          <w:szCs w:val="24"/>
        </w:rPr>
        <w:t xml:space="preserve"> </w:t>
      </w:r>
    </w:p>
    <w:p w14:paraId="6546D94C">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北京太平洋邓禄普纺织品有限公司管理人将于2</w:t>
      </w:r>
      <w:r>
        <w:rPr>
          <w:rFonts w:asciiTheme="minorEastAsia" w:hAnsiTheme="minorEastAsia"/>
          <w:sz w:val="24"/>
          <w:szCs w:val="24"/>
        </w:rPr>
        <w:t>0</w:t>
      </w:r>
      <w:r>
        <w:rPr>
          <w:rFonts w:hint="eastAsia" w:asciiTheme="minorEastAsia" w:hAnsiTheme="minorEastAsia"/>
          <w:sz w:val="24"/>
          <w:szCs w:val="24"/>
        </w:rPr>
        <w:t>25</w:t>
      </w:r>
      <w:r>
        <w:rPr>
          <w:rFonts w:asciiTheme="minorEastAsia" w:hAnsiTheme="minorEastAsia"/>
          <w:sz w:val="24"/>
          <w:szCs w:val="24"/>
        </w:rPr>
        <w:t>年</w:t>
      </w:r>
      <w:r>
        <w:rPr>
          <w:rFonts w:hint="eastAsia" w:asciiTheme="minorEastAsia" w:hAnsiTheme="minorEastAsia"/>
          <w:sz w:val="24"/>
          <w:szCs w:val="24"/>
        </w:rPr>
        <w:t>1</w:t>
      </w:r>
      <w:r>
        <w:rPr>
          <w:rFonts w:hint="eastAsia" w:asciiTheme="minorEastAsia" w:hAnsiTheme="minorEastAsia"/>
          <w:sz w:val="24"/>
          <w:szCs w:val="24"/>
          <w:lang w:val="en-US" w:eastAsia="zh-CN"/>
        </w:rPr>
        <w:t>2</w:t>
      </w:r>
      <w:r>
        <w:rPr>
          <w:rFonts w:hint="eastAsia" w:asciiTheme="minorEastAsia" w:hAnsiTheme="minorEastAsia"/>
          <w:sz w:val="24"/>
          <w:szCs w:val="24"/>
        </w:rPr>
        <w:t>月</w:t>
      </w:r>
      <w:r>
        <w:rPr>
          <w:rFonts w:hint="eastAsia" w:asciiTheme="minorEastAsia" w:hAnsiTheme="minorEastAsia"/>
          <w:sz w:val="24"/>
          <w:szCs w:val="24"/>
          <w:lang w:val="en-US" w:eastAsia="zh-CN"/>
        </w:rPr>
        <w:t>11</w:t>
      </w:r>
      <w:r>
        <w:rPr>
          <w:rFonts w:hint="eastAsia" w:asciiTheme="minorEastAsia" w:hAnsiTheme="minorEastAsia"/>
          <w:sz w:val="24"/>
          <w:szCs w:val="24"/>
        </w:rPr>
        <w:t>日</w:t>
      </w:r>
      <w:r>
        <w:rPr>
          <w:rFonts w:asciiTheme="minorEastAsia" w:hAnsiTheme="minorEastAsia"/>
          <w:sz w:val="24"/>
          <w:szCs w:val="24"/>
        </w:rPr>
        <w:t>10时至20</w:t>
      </w:r>
      <w:r>
        <w:rPr>
          <w:rFonts w:hint="eastAsia" w:asciiTheme="minorEastAsia" w:hAnsiTheme="minorEastAsia"/>
          <w:sz w:val="24"/>
          <w:szCs w:val="24"/>
        </w:rPr>
        <w:t>25</w:t>
      </w:r>
      <w:r>
        <w:rPr>
          <w:rFonts w:asciiTheme="minorEastAsia" w:hAnsiTheme="minorEastAsia"/>
          <w:sz w:val="24"/>
          <w:szCs w:val="24"/>
        </w:rPr>
        <w:t>年</w:t>
      </w:r>
      <w:r>
        <w:rPr>
          <w:rFonts w:hint="eastAsia" w:asciiTheme="minorEastAsia" w:hAnsiTheme="minorEastAsia"/>
          <w:sz w:val="24"/>
          <w:szCs w:val="24"/>
        </w:rPr>
        <w:t>1</w:t>
      </w:r>
      <w:r>
        <w:rPr>
          <w:rFonts w:hint="eastAsia" w:asciiTheme="minorEastAsia" w:hAnsiTheme="minorEastAsia"/>
          <w:sz w:val="24"/>
          <w:szCs w:val="24"/>
          <w:lang w:val="en-US" w:eastAsia="zh-CN"/>
        </w:rPr>
        <w:t>2</w:t>
      </w:r>
      <w:r>
        <w:rPr>
          <w:rFonts w:hint="eastAsia" w:asciiTheme="minorEastAsia" w:hAnsiTheme="minorEastAsia"/>
          <w:sz w:val="24"/>
          <w:szCs w:val="24"/>
        </w:rPr>
        <w:t>月</w:t>
      </w:r>
      <w:r>
        <w:rPr>
          <w:rFonts w:hint="eastAsia" w:asciiTheme="minorEastAsia" w:hAnsiTheme="minorEastAsia"/>
          <w:sz w:val="24"/>
          <w:szCs w:val="24"/>
          <w:lang w:val="en-US" w:eastAsia="zh-CN"/>
        </w:rPr>
        <w:t>12</w:t>
      </w:r>
      <w:r>
        <w:rPr>
          <w:rFonts w:hint="eastAsia" w:asciiTheme="minorEastAsia" w:hAnsiTheme="minorEastAsia"/>
          <w:sz w:val="24"/>
          <w:szCs w:val="24"/>
        </w:rPr>
        <w:t>日</w:t>
      </w:r>
      <w:r>
        <w:rPr>
          <w:rFonts w:asciiTheme="minorEastAsia" w:hAnsiTheme="minorEastAsia"/>
          <w:sz w:val="24"/>
          <w:szCs w:val="24"/>
        </w:rPr>
        <w:t>10时</w:t>
      </w:r>
      <w:r>
        <w:rPr>
          <w:rFonts w:hint="eastAsia" w:asciiTheme="minorEastAsia" w:hAnsiTheme="minorEastAsia"/>
          <w:sz w:val="24"/>
          <w:szCs w:val="24"/>
        </w:rPr>
        <w:t>止（延时除外）在阿里资产·破产网络拍卖平台进行公开拍卖活动，（网址：</w:t>
      </w:r>
      <w:r>
        <w:rPr>
          <w:rFonts w:asciiTheme="minorEastAsia" w:hAnsiTheme="minorEastAsia"/>
          <w:sz w:val="24"/>
          <w:szCs w:val="24"/>
        </w:rPr>
        <w:t xml:space="preserve"> https://susong.taobao.com/</w:t>
      </w:r>
      <w:r>
        <w:rPr>
          <w:rFonts w:hint="eastAsia" w:asciiTheme="minorEastAsia" w:hAnsiTheme="minorEastAsia"/>
          <w:sz w:val="24"/>
          <w:szCs w:val="24"/>
        </w:rPr>
        <w:t>）现就网上拍卖有关事宜敬告各位竞买人：</w:t>
      </w:r>
    </w:p>
    <w:p w14:paraId="6A0B385C">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一、</w:t>
      </w:r>
      <w:r>
        <w:rPr>
          <w:rFonts w:hint="eastAsia" w:asciiTheme="minorEastAsia" w:hAnsiTheme="minorEastAsia"/>
          <w:sz w:val="24"/>
          <w:szCs w:val="24"/>
        </w:rPr>
        <w:t>本《竞买须知》根据《中华人民共和国民事诉讼法》、《中华人民共和国企业破产法》、《最高人民法院关于人民法院网络司法拍卖若干问题的规定》【法释（2016）18号】等相关法律规定所制订，竞买人应认真仔细阅读，了解本须知的全部内容。</w:t>
      </w:r>
    </w:p>
    <w:p w14:paraId="4B7E1603">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二、</w:t>
      </w:r>
      <w:r>
        <w:rPr>
          <w:rFonts w:hint="eastAsia" w:asciiTheme="minorEastAsia" w:hAnsiTheme="minorEastAsia"/>
          <w:sz w:val="24"/>
          <w:szCs w:val="24"/>
        </w:rPr>
        <w:t>本次拍卖活动遵循“公开、公平、公正、诚实守信”的原则，拍卖活动具备法律效力。参加本次拍卖活动的当事人和竞买人必须遵守本须知的各项条款，并对自己的行为承担法律责任。</w:t>
      </w:r>
    </w:p>
    <w:p w14:paraId="3F1F3CD8">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三、竞买人条件</w:t>
      </w:r>
    </w:p>
    <w:p w14:paraId="2C6DF673">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1194544D">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w:t>
      </w:r>
      <w:r>
        <w:rPr>
          <w:rFonts w:hint="eastAsia" w:asciiTheme="minorEastAsia" w:hAnsiTheme="minorEastAsia"/>
          <w:color w:val="000000" w:themeColor="text1"/>
          <w:sz w:val="24"/>
          <w:szCs w:val="24"/>
          <w14:textFill>
            <w14:solidFill>
              <w14:schemeClr w14:val="tx1"/>
            </w14:solidFill>
          </w14:textFill>
        </w:rPr>
        <w:t>竞买人（</w:t>
      </w:r>
      <w:r>
        <w:rPr>
          <w:rFonts w:hint="eastAsia" w:asciiTheme="minorEastAsia" w:hAnsiTheme="minorEastAsia"/>
          <w:sz w:val="24"/>
          <w:szCs w:val="24"/>
        </w:rPr>
        <w:t>公民、法人和其他组织</w:t>
      </w:r>
      <w:r>
        <w:rPr>
          <w:rFonts w:hint="eastAsia" w:asciiTheme="minorEastAsia" w:hAnsiTheme="minorEastAsia"/>
          <w:color w:val="000000" w:themeColor="text1"/>
          <w:sz w:val="24"/>
          <w:szCs w:val="24"/>
          <w14:textFill>
            <w14:solidFill>
              <w14:schemeClr w14:val="tx1"/>
            </w14:solidFill>
          </w14:textFill>
        </w:rPr>
        <w:t>）可委托他人（</w:t>
      </w:r>
      <w:r>
        <w:rPr>
          <w:rFonts w:hint="eastAsia" w:asciiTheme="minorEastAsia" w:hAnsiTheme="minorEastAsia"/>
          <w:sz w:val="24"/>
          <w:szCs w:val="24"/>
        </w:rPr>
        <w:t>公民、法人和其他组织</w:t>
      </w:r>
      <w:r>
        <w:rPr>
          <w:rFonts w:hint="eastAsia" w:asciiTheme="minorEastAsia" w:hAnsiTheme="minorEastAsia"/>
          <w:color w:val="000000" w:themeColor="text1"/>
          <w:sz w:val="24"/>
          <w:szCs w:val="24"/>
          <w14:textFill>
            <w14:solidFill>
              <w14:schemeClr w14:val="tx1"/>
            </w14:solidFill>
          </w14:textFill>
        </w:rPr>
        <w:t>）参与拍卖。</w:t>
      </w:r>
      <w:r>
        <w:rPr>
          <w:rFonts w:hint="eastAsia" w:asciiTheme="minorEastAsia" w:hAnsiTheme="minorEastAsia"/>
          <w:sz w:val="24"/>
          <w:szCs w:val="24"/>
        </w:rPr>
        <w:t>但须在拍卖开始日的</w:t>
      </w:r>
      <w:r>
        <w:rPr>
          <w:rFonts w:hint="eastAsia" w:asciiTheme="minorEastAsia" w:hAnsiTheme="minorEastAsia"/>
          <w:color w:val="000000" w:themeColor="text1"/>
          <w:sz w:val="24"/>
          <w:szCs w:val="24"/>
          <w14:textFill>
            <w14:solidFill>
              <w14:schemeClr w14:val="tx1"/>
            </w14:solidFill>
          </w14:textFill>
        </w:rPr>
        <w:t>两日</w:t>
      </w:r>
      <w:r>
        <w:rPr>
          <w:rFonts w:hint="eastAsia" w:asciiTheme="minorEastAsia" w:hAnsiTheme="minorEastAsia"/>
          <w:sz w:val="24"/>
          <w:szCs w:val="24"/>
        </w:rPr>
        <w:t>前与管理人沟通办理委托手续；竞买成功后，竞买人（公民、法人和其他组织）或其委托代理人应到管理人处办理交付或权属转移手续。如委托手续不全，竞买活动认定为委托代理人的个人行为。因不符合条件参加竞买的，由竞买人自行承担相应的法律责任。</w:t>
      </w:r>
    </w:p>
    <w:p w14:paraId="0272BC22">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3、负责承办本案件的人民法院、破产企业管理人、网络服务提供者、承担拍卖辅助工作的社会机构或者组织的工作人员及其近亲属不得参与竞买，并不得委托他人代为竞买与其行为相关的拍卖标的物。</w:t>
      </w:r>
    </w:p>
    <w:p w14:paraId="06A813A3">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4、因不符合条件参加竞买的，由竞买人/买受人自行承担相应的法律责任。</w:t>
      </w:r>
    </w:p>
    <w:p w14:paraId="7905F8EE">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四、优先购买权人</w:t>
      </w:r>
    </w:p>
    <w:p w14:paraId="752BB371">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1、本标的物优先购买权人：</w:t>
      </w:r>
    </w:p>
    <w:p w14:paraId="288FE3D3">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优先购买权人应于本公告发布之日起3日内向管理人联系，提供相关证明材料，办理相关手续。逾期未提供材料或办理手续者，视为自动放弃优先购买权。</w:t>
      </w:r>
    </w:p>
    <w:p w14:paraId="3323CD2D">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优先购买权人参加竞买的，应向管理人提交合法有效的证明，经管理人确认资格及顺位后才能参与竞买，逾期不提交的，视为放弃对标的物享有优先购买权。管理人在正式拍卖日前将经确认的优先权购买人资格和顺位信息，审报网络平台技术部门，录入平台系统。</w:t>
      </w:r>
    </w:p>
    <w:p w14:paraId="7F8301AC">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3、优先购买权人参与竞买的，与其他竞买人以相同的价格出价，没有更高出价的，标的物由优先购买权人竞得。</w:t>
      </w:r>
    </w:p>
    <w:p w14:paraId="5FE42AE1">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4F4DDC45">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五、</w:t>
      </w:r>
      <w:r>
        <w:rPr>
          <w:rFonts w:hint="eastAsia" w:asciiTheme="minorEastAsia" w:hAnsiTheme="minorEastAsia"/>
          <w:sz w:val="24"/>
          <w:szCs w:val="24"/>
        </w:rPr>
        <w:t>与本标的物有利害关系的当事人可参加竞拍，不参加竞拍的请关注本次拍卖活动的整个过程。</w:t>
      </w:r>
    </w:p>
    <w:p w14:paraId="7908176F">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六、</w:t>
      </w:r>
      <w:r>
        <w:rPr>
          <w:rFonts w:hint="eastAsia" w:asciiTheme="minorEastAsia" w:hAnsiTheme="minorEastAsia"/>
          <w:sz w:val="24"/>
          <w:szCs w:val="24"/>
        </w:rPr>
        <w:t>本次拍卖活动设置延时出价功能，在拍卖活动结束前，每最后5分钟如果有竞买人出价，就自动延迟5分钟。</w:t>
      </w:r>
    </w:p>
    <w:p w14:paraId="4677EB65">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七、</w:t>
      </w:r>
      <w:r>
        <w:rPr>
          <w:rFonts w:hint="eastAsia" w:asciiTheme="minorEastAsia" w:hAnsiTheme="minorEastAsia"/>
          <w:sz w:val="24"/>
          <w:szCs w:val="24"/>
        </w:rPr>
        <w:t>竞拍前竞买人应通过支付宝账户缴纳足额的拍卖保证金。竞买人在对拍卖标的物第一次确认出价竞拍前，按破产强清平台系统提示报名缴纳保证金，系统会自动锁定该笔款项。拍卖成交的，买受人锁定的保证金将在买受人支付软件服务费后24小时以内自动转入本管理人指定账户，其他竞买人的保证金在拍卖结束以后24小时以内自动解锁。保证金锁定期间不计利息。</w:t>
      </w:r>
    </w:p>
    <w:p w14:paraId="018E5517">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保证金支付帮助：https://www.taobao.com/market/paimai/sf-helpcenter.php?path=sf-hc-right-content5#q1。</w:t>
      </w:r>
    </w:p>
    <w:p w14:paraId="4C630D33">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八、</w:t>
      </w:r>
      <w:bookmarkStart w:id="0" w:name="_Hlk90236605"/>
      <w:r>
        <w:rPr>
          <w:rFonts w:hint="eastAsia" w:asciiTheme="minorEastAsia" w:hAnsiTheme="minorEastAsia"/>
          <w:bCs/>
          <w:sz w:val="24"/>
          <w:szCs w:val="24"/>
        </w:rPr>
        <w:t>本次拍卖是经法定公告期和展示期后才举行的，就拍卖标的物已知及可能存在的瑕疵已在本次拍卖资料中作了详尽的说明。</w:t>
      </w:r>
      <w:r>
        <w:rPr>
          <w:rFonts w:hint="eastAsia" w:asciiTheme="minorEastAsia" w:hAnsiTheme="minorEastAsia"/>
          <w:sz w:val="24"/>
          <w:szCs w:val="24"/>
        </w:rPr>
        <w:t>管理人对拍卖标的物所作的说明和提供的视频资料、图片等，仅供竞买人参考，不构成对标的物的任何担保。请竞买人在拍卖前必须仔细审查拍卖标的物，调查是否存在瑕疵，认真研究查看所竞买标的物的实际情况，</w:t>
      </w:r>
      <w:r>
        <w:rPr>
          <w:rFonts w:hint="eastAsia" w:asciiTheme="minorEastAsia" w:hAnsiTheme="minorEastAsia"/>
          <w:bCs/>
          <w:color w:val="000000" w:themeColor="text1"/>
          <w:sz w:val="24"/>
          <w:szCs w:val="24"/>
          <w14:textFill>
            <w14:solidFill>
              <w14:schemeClr w14:val="tx1"/>
            </w14:solidFill>
          </w14:textFill>
        </w:rPr>
        <w:t>因本次拍卖标的物为无形资产，无实物可供竞买人看样，参与竞买的需自行前往相关部门了解商标情况，再决定是否参与竞买，如参与竞买的则视为对标的物的情况已知，责任自负。如果不能办理过户的，买受人自行承担风险</w:t>
      </w:r>
      <w:r>
        <w:rPr>
          <w:rFonts w:hint="eastAsia" w:asciiTheme="minorEastAsia" w:hAnsiTheme="minorEastAsia"/>
          <w:sz w:val="24"/>
          <w:szCs w:val="24"/>
        </w:rPr>
        <w:t>。请慎重决定竞买行为，竞买人一旦作出竞买决定，即表明已完全了解，并接受标的物交割时的现状和一切已知及未知的瑕疵。</w:t>
      </w:r>
    </w:p>
    <w:p w14:paraId="0EFE4010">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九、签署成交文件</w:t>
      </w:r>
    </w:p>
    <w:p w14:paraId="4AEC5F48">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买受人须在拍卖成交之日起三日内（遇节假日顺延）凭缴纳拍卖保证金平台生成的竞买号及相关身份材料到管理人处签署拍卖成交确认文件。</w:t>
      </w:r>
    </w:p>
    <w:bookmarkEnd w:id="0"/>
    <w:p w14:paraId="69103335">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w:t>
      </w:r>
      <w:r>
        <w:rPr>
          <w:rFonts w:hint="eastAsia" w:asciiTheme="minorEastAsia" w:hAnsiTheme="minorEastAsia"/>
          <w:sz w:val="24"/>
          <w:szCs w:val="24"/>
        </w:rPr>
        <w:t>买受人应在拍卖成交（即竞价成功日）后</w:t>
      </w:r>
      <w:r>
        <w:rPr>
          <w:rFonts w:hint="eastAsia" w:asciiTheme="minorEastAsia" w:hAnsiTheme="minorEastAsia"/>
          <w:b/>
          <w:color w:val="FF0000"/>
          <w:sz w:val="24"/>
          <w:szCs w:val="24"/>
        </w:rPr>
        <w:t>十个工作日</w:t>
      </w:r>
      <w:r>
        <w:rPr>
          <w:rFonts w:hint="eastAsia" w:asciiTheme="minorEastAsia" w:hAnsiTheme="minorEastAsia"/>
          <w:sz w:val="24"/>
          <w:szCs w:val="24"/>
        </w:rPr>
        <w:t>内将拍卖成交价余款（扣除保证金后的余款）缴纳至管理人指定账户:</w:t>
      </w:r>
    </w:p>
    <w:p w14:paraId="120673CA">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户  名：北京太平洋邓禄普纺织品有限公司管理人</w:t>
      </w:r>
    </w:p>
    <w:p w14:paraId="210DAC8C">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开户行：中国工商银行股份有限公司北京大郊亭支行</w:t>
      </w:r>
    </w:p>
    <w:p w14:paraId="79DD7E82">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账  户：</w:t>
      </w:r>
      <w:r>
        <w:rPr>
          <w:rFonts w:asciiTheme="minorEastAsia" w:hAnsiTheme="minorEastAsia"/>
          <w:b/>
          <w:color w:val="FF0000"/>
          <w:sz w:val="24"/>
          <w:szCs w:val="24"/>
        </w:rPr>
        <w:t>0200048439200323074</w:t>
      </w:r>
    </w:p>
    <w:p w14:paraId="65FDDF07">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特别注意：依照相关法律规定，竞买人成功竞得网拍标的物后，淘宝网拍平台将生成相应《网络竞价成功确认书》,该材料仅为竞价成功确认书，载明实际买受人姓名、网拍竞买号信息，非《拍卖成交确认书》。】</w:t>
      </w:r>
    </w:p>
    <w:p w14:paraId="5761ECD4">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十一、</w:t>
      </w:r>
      <w:r>
        <w:rPr>
          <w:rFonts w:hint="eastAsia" w:asciiTheme="minorEastAsia" w:hAnsiTheme="minorEastAsia"/>
          <w:sz w:val="24"/>
          <w:szCs w:val="24"/>
        </w:rPr>
        <w:t>拍卖成交后买受人悔拍（包括但不限于买受人未在拍卖成交后十个工作日内将拍卖成交全部余款缴入指定账户，以及买受人明示或暗示其悔拍等情形）的，管理人可重新委托拍卖，买受人交纳的保证金不予退还，计入债务人财产。保证金数额不足以弥补拍卖费用损失以及重新拍卖价款低于原拍卖价款的差价的，管理人可向悔拍人追索。重新拍卖时，原买受人不得参加竞买。</w:t>
      </w:r>
    </w:p>
    <w:p w14:paraId="62C76053">
      <w:pPr>
        <w:spacing w:line="360" w:lineRule="auto"/>
        <w:ind w:firstLine="482" w:firstLineChars="200"/>
        <w:rPr>
          <w:rFonts w:asciiTheme="minorEastAsia" w:hAnsiTheme="minorEastAsia"/>
          <w:b/>
          <w:sz w:val="24"/>
          <w:szCs w:val="24"/>
        </w:rPr>
      </w:pPr>
      <w:r>
        <w:rPr>
          <w:rFonts w:hint="eastAsia" w:asciiTheme="minorEastAsia" w:hAnsiTheme="minorEastAsia"/>
          <w:b/>
          <w:color w:val="FF0000"/>
          <w:sz w:val="24"/>
          <w:szCs w:val="24"/>
        </w:rPr>
        <w:t>十二、拍品交付</w:t>
      </w:r>
    </w:p>
    <w:p w14:paraId="15C72BCB">
      <w:pPr>
        <w:spacing w:line="360" w:lineRule="auto"/>
        <w:ind w:firstLine="482" w:firstLineChars="200"/>
        <w:rPr>
          <w:rFonts w:asciiTheme="minorEastAsia" w:hAnsiTheme="minorEastAsia"/>
          <w:b/>
          <w:bCs/>
          <w:sz w:val="24"/>
          <w:szCs w:val="24"/>
          <w:u w:val="single"/>
        </w:rPr>
      </w:pPr>
      <w:r>
        <w:rPr>
          <w:rFonts w:hint="eastAsia" w:asciiTheme="minorEastAsia" w:hAnsiTheme="minorEastAsia"/>
          <w:b/>
          <w:bCs/>
          <w:sz w:val="24"/>
          <w:szCs w:val="24"/>
          <w:u w:val="single"/>
        </w:rPr>
        <w:t>1、买受人在缴纳完全部拍卖款项后，持有效身份证明及签署好的拍卖成交文件，自行前往相关主管部门办理登记转让手续，管理人给予必要的配合。买受人逾期不办理的，应支付由此产生的一切费用，并承担本标的物可能发生的一切后果。管理人和拍卖辅助机构不对权属变更做任何担保。</w:t>
      </w:r>
    </w:p>
    <w:p w14:paraId="14E7C3D8">
      <w:pPr>
        <w:spacing w:line="360" w:lineRule="auto"/>
        <w:ind w:firstLine="482" w:firstLineChars="200"/>
        <w:rPr>
          <w:rFonts w:asciiTheme="minorEastAsia" w:hAnsiTheme="minorEastAsia"/>
          <w:b/>
          <w:bCs/>
          <w:sz w:val="24"/>
          <w:szCs w:val="24"/>
          <w:u w:val="single"/>
        </w:rPr>
      </w:pPr>
      <w:r>
        <w:rPr>
          <w:rFonts w:hint="eastAsia" w:asciiTheme="minorEastAsia" w:hAnsiTheme="minorEastAsia"/>
          <w:b/>
          <w:bCs/>
          <w:sz w:val="24"/>
          <w:szCs w:val="24"/>
          <w:u w:val="single"/>
        </w:rPr>
        <w:t>2、标的物能否办理登记转让手续及办理登记转让手续的时间请竞买人在竞买前自行到相关职能部门咨询确认，标的物现状及存在瑕疵等原因不能或者延迟办理过户手续的造成的费用增加的后果由买受人承担。买受人不得以办理权属变更登记时间过长或不能办理为由进行悔拍，或者要求管理人承担任何责任以及赔偿任何损失。管理人不作登记转让的任何承诺。</w:t>
      </w:r>
    </w:p>
    <w:p w14:paraId="1A50F8AF">
      <w:pPr>
        <w:spacing w:line="360" w:lineRule="auto"/>
        <w:ind w:firstLine="482" w:firstLineChars="200"/>
        <w:rPr>
          <w:rFonts w:asciiTheme="minorEastAsia" w:hAnsiTheme="minorEastAsia"/>
          <w:b/>
          <w:color w:val="FF0000"/>
          <w:sz w:val="24"/>
          <w:szCs w:val="24"/>
        </w:rPr>
      </w:pPr>
      <w:r>
        <w:rPr>
          <w:rFonts w:hint="eastAsia" w:asciiTheme="minorEastAsia" w:hAnsiTheme="minorEastAsia"/>
          <w:b/>
          <w:sz w:val="24"/>
          <w:szCs w:val="24"/>
        </w:rPr>
        <w:t>十三、</w:t>
      </w:r>
      <w:r>
        <w:rPr>
          <w:rFonts w:hint="eastAsia" w:asciiTheme="minorEastAsia" w:hAnsiTheme="minorEastAsia"/>
          <w:b/>
          <w:color w:val="FF0000"/>
          <w:sz w:val="24"/>
          <w:szCs w:val="24"/>
        </w:rPr>
        <w:t>本次拍卖活动计价货币为人民币。本次拍卖成交价不含税费及其他费用。标的物转让登记手续由买受人办理，管理人将给予必要的协助。标的物转让登记买卖双方所涉及的一切税费及明确的或潜在的一切关联费用均由买受人自行承担。买受人在竞买前应向所涉税务局部门确认成交后应缴纳的税费标准。标的物变更登记所产生的费用及其他费用均由买受人承担。</w:t>
      </w:r>
    </w:p>
    <w:p w14:paraId="2F61026E">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特别提示：</w:t>
      </w:r>
    </w:p>
    <w:p w14:paraId="37A6F9EC">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综合服务费由拍卖辅助机构收取（按照成交价格的2%计算，封顶不超过200万元）买受人需在成交之后十个工作日内将综合服务费汇款至北京嘉运亨通拍卖有限公司指定账户【户名：北京嘉运亨通拍卖有限公司；开户行：招商银行股份有限公司北京崇文门支行；账号：110945693810201；以到账时间为准】。</w:t>
      </w:r>
    </w:p>
    <w:p w14:paraId="1BCEA2E9">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软件服务费由阿里拍卖平台收取，付费方式及软件服务费金额等请详见《阿里拍卖平台破产资产处置频道收费规则》。买受人须于成交后十个工作日内通过线上完成相应费用的支付后，保证金将转为部分成交价款转至管理人的支付宝账户。</w:t>
      </w:r>
    </w:p>
    <w:p w14:paraId="614C85C1">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上述综合服务费和软件服务费，买受人逾期未全额缴纳的，阿里拍卖平台和拍卖辅助机构可对其进行依法追缴。买受人缴纳相关费用后如需索取发票的，买受人可与拍卖辅助机构联系开具或在阿里支付系统中查看已完成支付的软件服务费记录并点击申请开票。</w:t>
      </w:r>
    </w:p>
    <w:p w14:paraId="4FB43765">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十四、</w:t>
      </w:r>
      <w:r>
        <w:rPr>
          <w:rFonts w:hint="eastAsia" w:asciiTheme="minorEastAsia" w:hAnsiTheme="minorEastAsia"/>
          <w:sz w:val="24"/>
          <w:szCs w:val="24"/>
        </w:rPr>
        <w:t>参加竞买的人应当遵守拍卖须知的规定，不得阻挠其他竞买人竞拍，不得操纵、垄断竞拍价格，严禁竞买人恶意串标，上述行为一经发现，将取消其竞买资格，并追究相关的法律责任。</w:t>
      </w:r>
    </w:p>
    <w:p w14:paraId="4FBE0850">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十五、</w:t>
      </w:r>
      <w:r>
        <w:rPr>
          <w:rFonts w:hint="eastAsia" w:asciiTheme="minorEastAsia" w:hAnsiTheme="minorEastAsia"/>
          <w:sz w:val="24"/>
          <w:szCs w:val="24"/>
        </w:rPr>
        <w:t>拍卖人根据法律规定有权在拍卖结束前中止拍卖或撤回拍卖。因网络或其他不可抗力导致拍卖无法正常进行的，拍卖人待以上因素消除后视情况决定重新拍卖，并不承担因此造成的损失。</w:t>
      </w:r>
    </w:p>
    <w:p w14:paraId="4851D11C">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十六、</w:t>
      </w:r>
      <w:r>
        <w:rPr>
          <w:rFonts w:hint="eastAsia" w:asciiTheme="minorEastAsia" w:hAnsiTheme="minorEastAsia"/>
          <w:sz w:val="24"/>
          <w:szCs w:val="24"/>
        </w:rPr>
        <w:t>为便于买受人及时收到拍卖相关的文书，竞买人在拍卖竞价前如实向阿里资产·破产网络拍卖平台提供确切的送达地址，上述地址确认为邮寄地址，如需更改，买受人应在拍卖活动结束时与管理人联系确认更改。如果提供的送达地址不确切，或不及时告知变更后的地址，使有关法律文书无法送达或未能及时送达的，竞买人自行承担由此可能产生的法律后果。</w:t>
      </w:r>
    </w:p>
    <w:p w14:paraId="05CFF62B">
      <w:pPr>
        <w:spacing w:line="360" w:lineRule="auto"/>
        <w:ind w:firstLine="482" w:firstLineChars="200"/>
        <w:rPr>
          <w:rFonts w:asciiTheme="minorEastAsia" w:hAnsiTheme="minorEastAsia"/>
          <w:bCs/>
          <w:sz w:val="24"/>
          <w:szCs w:val="24"/>
        </w:rPr>
      </w:pPr>
      <w:r>
        <w:rPr>
          <w:rFonts w:hint="eastAsia" w:asciiTheme="minorEastAsia" w:hAnsiTheme="minorEastAsia"/>
          <w:b/>
          <w:sz w:val="24"/>
          <w:szCs w:val="24"/>
        </w:rPr>
        <w:t>十七、</w:t>
      </w:r>
      <w:r>
        <w:rPr>
          <w:rFonts w:hint="eastAsia" w:asciiTheme="minorEastAsia" w:hAnsiTheme="minorEastAsia"/>
          <w:bCs/>
          <w:sz w:val="24"/>
          <w:szCs w:val="24"/>
        </w:rPr>
        <w:t>破产案件监督单位：北京市第一中级人民法院;</w:t>
      </w:r>
    </w:p>
    <w:p w14:paraId="1AACAD5B">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联系电话：王女士：</w:t>
      </w:r>
      <w:r>
        <w:rPr>
          <w:rFonts w:asciiTheme="minorEastAsia" w:hAnsiTheme="minorEastAsia"/>
          <w:sz w:val="24"/>
          <w:szCs w:val="24"/>
        </w:rPr>
        <w:t>18201408042</w:t>
      </w:r>
      <w:r>
        <w:rPr>
          <w:rFonts w:hint="eastAsia" w:asciiTheme="minorEastAsia" w:hAnsiTheme="minorEastAsia"/>
          <w:sz w:val="24"/>
          <w:szCs w:val="24"/>
        </w:rPr>
        <w:t>，李先生：13552572522</w:t>
      </w:r>
    </w:p>
    <w:p w14:paraId="6ABF8F62">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淘宝技术咨询：400-822-2870；</w:t>
      </w:r>
    </w:p>
    <w:p w14:paraId="51EC88F4">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法院监督电话：010-68639038。</w:t>
      </w:r>
    </w:p>
    <w:p w14:paraId="7A4ED71F">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本次拍卖活动最终解释权归北京太平洋邓禄普纺织品有限公司管理人所有。</w:t>
      </w:r>
    </w:p>
    <w:p w14:paraId="3D9FC256">
      <w:pPr>
        <w:spacing w:line="360" w:lineRule="auto"/>
        <w:ind w:firstLine="480" w:firstLineChars="200"/>
        <w:rPr>
          <w:rFonts w:asciiTheme="minorEastAsia" w:hAnsiTheme="minorEastAsia"/>
          <w:sz w:val="24"/>
          <w:szCs w:val="24"/>
        </w:rPr>
      </w:pPr>
    </w:p>
    <w:p w14:paraId="5A03DC93">
      <w:pPr>
        <w:spacing w:line="360" w:lineRule="auto"/>
        <w:ind w:firstLine="480" w:firstLineChars="200"/>
        <w:jc w:val="right"/>
        <w:rPr>
          <w:rFonts w:asciiTheme="minorEastAsia" w:hAnsiTheme="minorEastAsia"/>
          <w:sz w:val="24"/>
          <w:szCs w:val="24"/>
        </w:rPr>
      </w:pPr>
      <w:r>
        <w:rPr>
          <w:rFonts w:hint="eastAsia" w:asciiTheme="minorEastAsia" w:hAnsiTheme="minorEastAsia"/>
          <w:sz w:val="24"/>
          <w:szCs w:val="24"/>
        </w:rPr>
        <w:t>北京太平洋邓禄普纺织品有限公司管理人</w:t>
      </w:r>
    </w:p>
    <w:p w14:paraId="6131CAFE">
      <w:pPr>
        <w:spacing w:line="360" w:lineRule="auto"/>
        <w:ind w:firstLine="480" w:firstLineChars="200"/>
        <w:jc w:val="right"/>
        <w:rPr>
          <w:rFonts w:asciiTheme="minorEastAsia" w:hAnsiTheme="minorEastAsia"/>
          <w:sz w:val="24"/>
          <w:szCs w:val="24"/>
        </w:rPr>
      </w:pPr>
      <w:r>
        <w:rPr>
          <w:rFonts w:hint="eastAsia" w:asciiTheme="minorEastAsia" w:hAnsiTheme="minorEastAsia"/>
          <w:sz w:val="24"/>
          <w:szCs w:val="24"/>
        </w:rPr>
        <w:t>二〇二五年十</w:t>
      </w:r>
      <w:r>
        <w:rPr>
          <w:rFonts w:hint="eastAsia" w:asciiTheme="minorEastAsia" w:hAnsiTheme="minorEastAsia"/>
          <w:sz w:val="24"/>
          <w:szCs w:val="24"/>
          <w:lang w:val="en-US" w:eastAsia="zh-CN"/>
        </w:rPr>
        <w:t>二</w:t>
      </w:r>
      <w:r>
        <w:rPr>
          <w:rFonts w:hint="eastAsia" w:asciiTheme="minorEastAsia" w:hAnsiTheme="minorEastAsia"/>
          <w:sz w:val="24"/>
          <w:szCs w:val="24"/>
        </w:rPr>
        <w:t>月</w:t>
      </w:r>
      <w:r>
        <w:rPr>
          <w:rFonts w:hint="eastAsia" w:asciiTheme="minorEastAsia" w:hAnsiTheme="minorEastAsia"/>
          <w:sz w:val="24"/>
          <w:szCs w:val="24"/>
          <w:lang w:val="en-US" w:eastAsia="zh-CN"/>
        </w:rPr>
        <w:t>三</w:t>
      </w:r>
      <w:bookmarkStart w:id="1" w:name="_GoBack"/>
      <w:bookmarkEnd w:id="1"/>
      <w:r>
        <w:rPr>
          <w:rFonts w:hint="eastAsia" w:asciiTheme="minorEastAsia" w:hAnsiTheme="minorEastAsia"/>
          <w:sz w:val="24"/>
          <w:szCs w:val="24"/>
        </w:rPr>
        <w:t>日</w:t>
      </w:r>
    </w:p>
    <w:p w14:paraId="4E455913">
      <w:pPr>
        <w:spacing w:line="360" w:lineRule="auto"/>
        <w:ind w:firstLine="480" w:firstLineChars="200"/>
        <w:jc w:val="right"/>
        <w:rPr>
          <w:rFonts w:asciiTheme="minorEastAsia" w:hAnsiTheme="minorEastAsia"/>
          <w:sz w:val="24"/>
          <w:szCs w:val="24"/>
        </w:rPr>
      </w:pPr>
    </w:p>
    <w:p w14:paraId="55770FD5">
      <w:pPr>
        <w:spacing w:line="360" w:lineRule="auto"/>
        <w:ind w:firstLine="480" w:firstLineChars="200"/>
        <w:jc w:val="right"/>
        <w:rPr>
          <w:rFonts w:asciiTheme="minorEastAsia" w:hAnsiTheme="minorEastAsia"/>
          <w:sz w:val="24"/>
          <w:szCs w:val="24"/>
        </w:rPr>
      </w:pPr>
    </w:p>
    <w:tbl>
      <w:tblPr>
        <w:tblStyle w:val="7"/>
        <w:tblW w:w="5000" w:type="pct"/>
        <w:jc w:val="center"/>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945"/>
        <w:gridCol w:w="2187"/>
        <w:gridCol w:w="1560"/>
        <w:gridCol w:w="1557"/>
        <w:gridCol w:w="2087"/>
      </w:tblGrid>
      <w:tr w14:paraId="5377933F">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36" w:hRule="atLeast"/>
          <w:jc w:val="center"/>
        </w:trPr>
        <w:tc>
          <w:tcPr>
            <w:tcW w:w="5000" w:type="pct"/>
            <w:gridSpan w:val="5"/>
            <w:tcBorders>
              <w:top w:val="single" w:color="auto" w:sz="8" w:space="0"/>
              <w:left w:val="single" w:color="auto" w:sz="8" w:space="0"/>
              <w:bottom w:val="single" w:color="auto" w:sz="8" w:space="0"/>
              <w:right w:val="single" w:color="auto" w:sz="8" w:space="0"/>
            </w:tcBorders>
            <w:shd w:val="clear" w:color="auto" w:fill="FFFFFF"/>
            <w:tcMar>
              <w:top w:w="15" w:type="dxa"/>
              <w:left w:w="15" w:type="dxa"/>
              <w:bottom w:w="150" w:type="dxa"/>
              <w:right w:w="15" w:type="dxa"/>
            </w:tcMar>
            <w:vAlign w:val="center"/>
          </w:tcPr>
          <w:p w14:paraId="53A747BA">
            <w:pPr>
              <w:widowControl/>
              <w:spacing w:line="360" w:lineRule="auto"/>
              <w:jc w:val="center"/>
              <w:rPr>
                <w:rFonts w:cs="Helvetica" w:asciiTheme="minorEastAsia" w:hAnsiTheme="minorEastAsia"/>
                <w:b/>
                <w:bCs/>
                <w:color w:val="000000" w:themeColor="text1"/>
                <w:kern w:val="0"/>
                <w:sz w:val="24"/>
                <w:szCs w:val="24"/>
                <w14:textFill>
                  <w14:solidFill>
                    <w14:schemeClr w14:val="tx1"/>
                  </w14:solidFill>
                </w14:textFill>
              </w:rPr>
            </w:pPr>
            <w:r>
              <w:rPr>
                <w:rFonts w:hint="eastAsia" w:cs="Helvetica" w:asciiTheme="minorEastAsia" w:hAnsiTheme="minorEastAsia"/>
                <w:b/>
                <w:bCs/>
                <w:color w:val="000000" w:themeColor="text1"/>
                <w:kern w:val="0"/>
                <w:sz w:val="24"/>
                <w:szCs w:val="24"/>
                <w14:textFill>
                  <w14:solidFill>
                    <w14:schemeClr w14:val="tx1"/>
                  </w14:solidFill>
                </w14:textFill>
              </w:rPr>
              <w:t>标的物调查表</w:t>
            </w:r>
          </w:p>
        </w:tc>
      </w:tr>
      <w:tr w14:paraId="7285E1CC">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shd w:val="clear" w:color="auto" w:fill="FFFFFF"/>
          <w:tblCellMar>
            <w:top w:w="0" w:type="dxa"/>
            <w:left w:w="0" w:type="dxa"/>
            <w:bottom w:w="0" w:type="dxa"/>
            <w:right w:w="0" w:type="dxa"/>
          </w:tblCellMar>
        </w:tblPrEx>
        <w:trPr>
          <w:trHeight w:val="821" w:hRule="atLeast"/>
          <w:jc w:val="center"/>
        </w:trPr>
        <w:tc>
          <w:tcPr>
            <w:tcW w:w="567" w:type="pct"/>
            <w:tcBorders>
              <w:top w:val="single" w:color="auto" w:sz="8" w:space="0"/>
              <w:left w:val="single" w:color="auto" w:sz="8" w:space="0"/>
              <w:bottom w:val="single" w:color="auto" w:sz="8" w:space="0"/>
              <w:right w:val="single" w:color="auto" w:sz="8" w:space="0"/>
            </w:tcBorders>
            <w:shd w:val="clear" w:color="auto" w:fill="FFFFFF"/>
            <w:tcMar>
              <w:top w:w="15" w:type="dxa"/>
              <w:left w:w="15" w:type="dxa"/>
              <w:bottom w:w="150" w:type="dxa"/>
              <w:right w:w="15" w:type="dxa"/>
            </w:tcMar>
            <w:vAlign w:val="center"/>
          </w:tcPr>
          <w:p w14:paraId="2D58A836">
            <w:pPr>
              <w:widowControl/>
              <w:spacing w:line="360" w:lineRule="auto"/>
              <w:jc w:val="left"/>
              <w:rPr>
                <w:rFonts w:cs="Helvetica" w:asciiTheme="minorEastAsia" w:hAnsiTheme="minorEastAsia"/>
                <w:color w:val="000000" w:themeColor="text1"/>
                <w:kern w:val="0"/>
                <w:sz w:val="24"/>
                <w:szCs w:val="24"/>
                <w14:textFill>
                  <w14:solidFill>
                    <w14:schemeClr w14:val="tx1"/>
                  </w14:solidFill>
                </w14:textFill>
              </w:rPr>
            </w:pPr>
            <w:r>
              <w:rPr>
                <w:rFonts w:cs="Helvetica" w:asciiTheme="minorEastAsia" w:hAnsiTheme="minorEastAsia"/>
                <w:color w:val="000000" w:themeColor="text1"/>
                <w:kern w:val="0"/>
                <w:sz w:val="24"/>
                <w:szCs w:val="24"/>
                <w14:textFill>
                  <w14:solidFill>
                    <w14:schemeClr w14:val="tx1"/>
                  </w14:solidFill>
                </w14:textFill>
              </w:rPr>
              <w:t>拍品名称</w:t>
            </w:r>
          </w:p>
        </w:tc>
        <w:tc>
          <w:tcPr>
            <w:tcW w:w="4433" w:type="pct"/>
            <w:gridSpan w:val="4"/>
            <w:tcBorders>
              <w:top w:val="single" w:color="auto" w:sz="8" w:space="0"/>
              <w:left w:val="single" w:color="auto" w:sz="8" w:space="0"/>
              <w:bottom w:val="single" w:color="auto" w:sz="8" w:space="0"/>
              <w:right w:val="single" w:color="auto" w:sz="8" w:space="0"/>
            </w:tcBorders>
            <w:shd w:val="clear" w:color="auto" w:fill="FFFFFF"/>
            <w:tcMar>
              <w:top w:w="15" w:type="dxa"/>
              <w:left w:w="15" w:type="dxa"/>
              <w:bottom w:w="150" w:type="dxa"/>
              <w:right w:w="15" w:type="dxa"/>
            </w:tcMar>
            <w:vAlign w:val="center"/>
          </w:tcPr>
          <w:p w14:paraId="3D39EEAB">
            <w:pPr>
              <w:widowControl/>
              <w:spacing w:line="360" w:lineRule="auto"/>
              <w:jc w:val="center"/>
              <w:rPr>
                <w:rFonts w:cs="Helvetica" w:asciiTheme="minorEastAsia" w:hAnsiTheme="minorEastAsia"/>
                <w:color w:val="000000" w:themeColor="text1"/>
                <w:kern w:val="0"/>
                <w:sz w:val="24"/>
                <w:szCs w:val="24"/>
                <w14:textFill>
                  <w14:solidFill>
                    <w14:schemeClr w14:val="tx1"/>
                  </w14:solidFill>
                </w14:textFill>
              </w:rPr>
            </w:pPr>
            <w:r>
              <w:rPr>
                <w:rFonts w:hint="eastAsia" w:cs="Helvetica" w:asciiTheme="minorEastAsia" w:hAnsiTheme="minorEastAsia"/>
                <w:color w:val="000000" w:themeColor="text1"/>
                <w:kern w:val="0"/>
                <w:sz w:val="24"/>
                <w:szCs w:val="24"/>
                <w14:textFill>
                  <w14:solidFill>
                    <w14:schemeClr w14:val="tx1"/>
                  </w14:solidFill>
                </w14:textFill>
              </w:rPr>
              <w:t>北京太平洋邓禄普纺织品有限公司拥有的商标2项</w:t>
            </w:r>
          </w:p>
        </w:tc>
      </w:tr>
      <w:tr w14:paraId="16B0C4F5">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22" w:hRule="atLeast"/>
          <w:jc w:val="center"/>
        </w:trPr>
        <w:tc>
          <w:tcPr>
            <w:tcW w:w="567" w:type="pct"/>
            <w:tcBorders>
              <w:top w:val="single" w:color="auto" w:sz="8" w:space="0"/>
              <w:left w:val="single" w:color="auto" w:sz="8" w:space="0"/>
              <w:bottom w:val="single" w:color="auto" w:sz="8" w:space="0"/>
              <w:right w:val="single" w:color="auto" w:sz="8" w:space="0"/>
            </w:tcBorders>
            <w:shd w:val="clear" w:color="auto" w:fill="FFFFFF"/>
            <w:tcMar>
              <w:top w:w="15" w:type="dxa"/>
              <w:left w:w="15" w:type="dxa"/>
              <w:bottom w:w="150" w:type="dxa"/>
              <w:right w:w="15" w:type="dxa"/>
            </w:tcMar>
            <w:vAlign w:val="center"/>
          </w:tcPr>
          <w:p w14:paraId="15343A7C">
            <w:pPr>
              <w:widowControl/>
              <w:spacing w:line="360" w:lineRule="auto"/>
              <w:jc w:val="left"/>
              <w:rPr>
                <w:rFonts w:cs="Helvetica" w:asciiTheme="minorEastAsia" w:hAnsiTheme="minorEastAsia"/>
                <w:color w:val="000000" w:themeColor="text1"/>
                <w:kern w:val="0"/>
                <w:sz w:val="24"/>
                <w:szCs w:val="24"/>
                <w14:textFill>
                  <w14:solidFill>
                    <w14:schemeClr w14:val="tx1"/>
                  </w14:solidFill>
                </w14:textFill>
              </w:rPr>
            </w:pPr>
            <w:r>
              <w:rPr>
                <w:rFonts w:cs="Helvetica" w:asciiTheme="minorEastAsia" w:hAnsiTheme="minorEastAsia"/>
                <w:color w:val="000000" w:themeColor="text1"/>
                <w:kern w:val="0"/>
                <w:sz w:val="24"/>
                <w:szCs w:val="24"/>
                <w14:textFill>
                  <w14:solidFill>
                    <w14:schemeClr w14:val="tx1"/>
                  </w14:solidFill>
                </w14:textFill>
              </w:rPr>
              <w:t>拍品所有人</w:t>
            </w:r>
          </w:p>
        </w:tc>
        <w:tc>
          <w:tcPr>
            <w:tcW w:w="4433" w:type="pct"/>
            <w:gridSpan w:val="4"/>
            <w:tcBorders>
              <w:top w:val="single" w:color="auto" w:sz="8" w:space="0"/>
              <w:left w:val="single" w:color="auto" w:sz="8" w:space="0"/>
              <w:bottom w:val="single" w:color="auto" w:sz="8" w:space="0"/>
              <w:right w:val="single" w:color="auto" w:sz="8" w:space="0"/>
            </w:tcBorders>
            <w:shd w:val="clear" w:color="auto" w:fill="FFFFFF"/>
            <w:tcMar>
              <w:top w:w="15" w:type="dxa"/>
              <w:left w:w="15" w:type="dxa"/>
              <w:bottom w:w="150" w:type="dxa"/>
              <w:right w:w="15" w:type="dxa"/>
            </w:tcMar>
            <w:vAlign w:val="center"/>
          </w:tcPr>
          <w:p w14:paraId="0FB465C4">
            <w:pPr>
              <w:widowControl/>
              <w:spacing w:line="360" w:lineRule="auto"/>
              <w:jc w:val="center"/>
              <w:rPr>
                <w:rFonts w:asciiTheme="minorEastAsia" w:hAnsiTheme="minorEastAsia"/>
                <w:sz w:val="24"/>
                <w:szCs w:val="24"/>
              </w:rPr>
            </w:pPr>
            <w:r>
              <w:rPr>
                <w:rFonts w:hint="eastAsia" w:asciiTheme="minorEastAsia" w:hAnsiTheme="minorEastAsia"/>
                <w:sz w:val="24"/>
                <w:szCs w:val="24"/>
              </w:rPr>
              <w:t>北京太平洋邓禄普纺织品有限公司</w:t>
            </w:r>
          </w:p>
        </w:tc>
      </w:tr>
      <w:tr w14:paraId="08FC5173">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shd w:val="clear" w:color="auto" w:fill="FFFFFF"/>
          <w:tblCellMar>
            <w:top w:w="0" w:type="dxa"/>
            <w:left w:w="0" w:type="dxa"/>
            <w:bottom w:w="0" w:type="dxa"/>
            <w:right w:w="0" w:type="dxa"/>
          </w:tblCellMar>
        </w:tblPrEx>
        <w:trPr>
          <w:trHeight w:val="603" w:hRule="atLeast"/>
          <w:jc w:val="center"/>
        </w:trPr>
        <w:tc>
          <w:tcPr>
            <w:tcW w:w="567" w:type="pct"/>
            <w:tcBorders>
              <w:top w:val="single" w:color="auto" w:sz="8" w:space="0"/>
              <w:left w:val="single" w:color="auto" w:sz="8" w:space="0"/>
              <w:bottom w:val="single" w:color="auto" w:sz="8" w:space="0"/>
              <w:right w:val="single" w:color="auto" w:sz="8" w:space="0"/>
            </w:tcBorders>
            <w:shd w:val="clear" w:color="auto" w:fill="FFFFFF"/>
            <w:tcMar>
              <w:top w:w="15" w:type="dxa"/>
              <w:left w:w="15" w:type="dxa"/>
              <w:bottom w:w="150" w:type="dxa"/>
              <w:right w:w="15" w:type="dxa"/>
            </w:tcMar>
            <w:vAlign w:val="center"/>
          </w:tcPr>
          <w:p w14:paraId="168099B0">
            <w:pPr>
              <w:widowControl/>
              <w:spacing w:line="360" w:lineRule="auto"/>
              <w:jc w:val="left"/>
              <w:rPr>
                <w:rFonts w:cs="Helvetica" w:asciiTheme="minorEastAsia" w:hAnsiTheme="minorEastAsia"/>
                <w:color w:val="000000" w:themeColor="text1"/>
                <w:kern w:val="0"/>
                <w:sz w:val="24"/>
                <w:szCs w:val="24"/>
                <w14:textFill>
                  <w14:solidFill>
                    <w14:schemeClr w14:val="tx1"/>
                  </w14:solidFill>
                </w14:textFill>
              </w:rPr>
            </w:pPr>
            <w:r>
              <w:rPr>
                <w:rFonts w:cs="Helvetica" w:asciiTheme="minorEastAsia" w:hAnsiTheme="minorEastAsia"/>
                <w:color w:val="000000" w:themeColor="text1"/>
                <w:kern w:val="0"/>
                <w:sz w:val="24"/>
                <w:szCs w:val="24"/>
                <w14:textFill>
                  <w14:solidFill>
                    <w14:schemeClr w14:val="tx1"/>
                  </w14:solidFill>
                </w14:textFill>
              </w:rPr>
              <w:t>提供的文件</w:t>
            </w:r>
          </w:p>
        </w:tc>
        <w:tc>
          <w:tcPr>
            <w:tcW w:w="4433" w:type="pct"/>
            <w:gridSpan w:val="4"/>
            <w:tcBorders>
              <w:top w:val="single" w:color="auto" w:sz="8" w:space="0"/>
              <w:left w:val="single" w:color="auto" w:sz="8" w:space="0"/>
              <w:bottom w:val="single" w:color="auto" w:sz="8" w:space="0"/>
              <w:right w:val="single" w:color="auto" w:sz="8" w:space="0"/>
            </w:tcBorders>
            <w:shd w:val="clear" w:color="auto" w:fill="FFFFFF"/>
            <w:tcMar>
              <w:top w:w="15" w:type="dxa"/>
              <w:left w:w="15" w:type="dxa"/>
              <w:bottom w:w="150" w:type="dxa"/>
              <w:right w:w="15" w:type="dxa"/>
            </w:tcMar>
            <w:vAlign w:val="center"/>
          </w:tcPr>
          <w:p w14:paraId="5E94AEA1">
            <w:pPr>
              <w:widowControl/>
              <w:spacing w:line="360" w:lineRule="auto"/>
              <w:jc w:val="center"/>
              <w:rPr>
                <w:rFonts w:cs="Helvetica" w:asciiTheme="minorEastAsia" w:hAnsiTheme="minorEastAsia"/>
                <w:color w:val="000000" w:themeColor="text1"/>
                <w:kern w:val="0"/>
                <w:sz w:val="24"/>
                <w:szCs w:val="24"/>
                <w14:textFill>
                  <w14:solidFill>
                    <w14:schemeClr w14:val="tx1"/>
                  </w14:solidFill>
                </w14:textFill>
              </w:rPr>
            </w:pPr>
            <w:r>
              <w:rPr>
                <w:rFonts w:cs="Helvetica" w:asciiTheme="minorEastAsia" w:hAnsiTheme="minorEastAsia"/>
                <w:color w:val="000000" w:themeColor="text1"/>
                <w:kern w:val="0"/>
                <w:sz w:val="24"/>
                <w:szCs w:val="24"/>
                <w14:textFill>
                  <w14:solidFill>
                    <w14:schemeClr w14:val="tx1"/>
                  </w14:solidFill>
                </w14:textFill>
              </w:rPr>
              <w:t>1、《拍卖成交确认书》</w:t>
            </w:r>
          </w:p>
        </w:tc>
      </w:tr>
      <w:tr w14:paraId="0132A4AB">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shd w:val="clear" w:color="auto" w:fill="FFFFFF"/>
          <w:tblCellMar>
            <w:top w:w="0" w:type="dxa"/>
            <w:left w:w="0" w:type="dxa"/>
            <w:bottom w:w="0" w:type="dxa"/>
            <w:right w:w="0" w:type="dxa"/>
          </w:tblCellMar>
        </w:tblPrEx>
        <w:trPr>
          <w:trHeight w:val="603" w:hRule="atLeast"/>
          <w:jc w:val="center"/>
        </w:trPr>
        <w:tc>
          <w:tcPr>
            <w:tcW w:w="567" w:type="pct"/>
            <w:tcBorders>
              <w:top w:val="single" w:color="auto" w:sz="8" w:space="0"/>
              <w:left w:val="single" w:color="auto" w:sz="8" w:space="0"/>
              <w:bottom w:val="single" w:color="auto" w:sz="8" w:space="0"/>
              <w:right w:val="single" w:color="auto" w:sz="8" w:space="0"/>
            </w:tcBorders>
            <w:shd w:val="clear" w:color="auto" w:fill="FFFFFF"/>
            <w:tcMar>
              <w:top w:w="15" w:type="dxa"/>
              <w:left w:w="15" w:type="dxa"/>
              <w:bottom w:w="150" w:type="dxa"/>
              <w:right w:w="15" w:type="dxa"/>
            </w:tcMar>
            <w:vAlign w:val="center"/>
          </w:tcPr>
          <w:p w14:paraId="52CD5F06">
            <w:pPr>
              <w:widowControl/>
              <w:spacing w:line="360" w:lineRule="auto"/>
              <w:jc w:val="center"/>
              <w:rPr>
                <w:rFonts w:cs="Helvetica" w:asciiTheme="minorEastAsia" w:hAnsiTheme="minorEastAsia"/>
                <w:color w:val="000000" w:themeColor="text1"/>
                <w:kern w:val="0"/>
                <w:sz w:val="24"/>
                <w:szCs w:val="24"/>
                <w14:textFill>
                  <w14:solidFill>
                    <w14:schemeClr w14:val="tx1"/>
                  </w14:solidFill>
                </w14:textFill>
              </w:rPr>
            </w:pPr>
            <w:r>
              <w:rPr>
                <w:rFonts w:hint="eastAsia" w:ascii="仿宋" w:hAnsi="仿宋" w:eastAsia="仿宋" w:cs="Times New Roman"/>
                <w:b/>
                <w:kern w:val="0"/>
                <w:sz w:val="24"/>
                <w:szCs w:val="24"/>
                <w:lang w:val="zh-CN"/>
              </w:rPr>
              <w:t>序号</w:t>
            </w:r>
          </w:p>
        </w:tc>
        <w:tc>
          <w:tcPr>
            <w:tcW w:w="1312" w:type="pct"/>
            <w:tcBorders>
              <w:top w:val="single" w:color="auto" w:sz="8" w:space="0"/>
              <w:left w:val="single" w:color="auto" w:sz="8" w:space="0"/>
              <w:bottom w:val="single" w:color="auto" w:sz="8" w:space="0"/>
              <w:right w:val="single" w:color="auto" w:sz="8" w:space="0"/>
            </w:tcBorders>
            <w:shd w:val="clear" w:color="auto" w:fill="FFFFFF"/>
            <w:tcMar>
              <w:top w:w="15" w:type="dxa"/>
              <w:left w:w="15" w:type="dxa"/>
              <w:bottom w:w="150" w:type="dxa"/>
              <w:right w:w="15" w:type="dxa"/>
            </w:tcMar>
            <w:vAlign w:val="center"/>
          </w:tcPr>
          <w:p w14:paraId="2BC35680">
            <w:pPr>
              <w:widowControl/>
              <w:spacing w:line="360" w:lineRule="auto"/>
              <w:jc w:val="center"/>
              <w:rPr>
                <w:rFonts w:cs="Helvetica" w:asciiTheme="minorEastAsia" w:hAnsiTheme="minorEastAsia"/>
                <w:color w:val="000000" w:themeColor="text1"/>
                <w:kern w:val="0"/>
                <w:sz w:val="24"/>
                <w:szCs w:val="24"/>
                <w14:textFill>
                  <w14:solidFill>
                    <w14:schemeClr w14:val="tx1"/>
                  </w14:solidFill>
                </w14:textFill>
              </w:rPr>
            </w:pPr>
            <w:r>
              <w:rPr>
                <w:rFonts w:hint="eastAsia" w:ascii="仿宋" w:hAnsi="仿宋" w:eastAsia="仿宋" w:cs="Times New Roman"/>
                <w:b/>
                <w:kern w:val="0"/>
                <w:sz w:val="24"/>
                <w:szCs w:val="24"/>
                <w:lang w:val="zh-CN"/>
              </w:rPr>
              <w:t>商标名称</w:t>
            </w:r>
          </w:p>
        </w:tc>
        <w:tc>
          <w:tcPr>
            <w:tcW w:w="936" w:type="pct"/>
            <w:tcBorders>
              <w:top w:val="single" w:color="auto" w:sz="8" w:space="0"/>
              <w:left w:val="single" w:color="auto" w:sz="8" w:space="0"/>
              <w:bottom w:val="single" w:color="auto" w:sz="8" w:space="0"/>
              <w:right w:val="single" w:color="auto" w:sz="8" w:space="0"/>
            </w:tcBorders>
            <w:shd w:val="clear" w:color="auto" w:fill="FFFFFF"/>
            <w:vAlign w:val="center"/>
          </w:tcPr>
          <w:p w14:paraId="7FDA46DC">
            <w:pPr>
              <w:widowControl/>
              <w:spacing w:line="360" w:lineRule="auto"/>
              <w:jc w:val="center"/>
              <w:rPr>
                <w:rFonts w:cs="Helvetica" w:asciiTheme="minorEastAsia" w:hAnsiTheme="minorEastAsia"/>
                <w:color w:val="000000" w:themeColor="text1"/>
                <w:kern w:val="0"/>
                <w:sz w:val="24"/>
                <w:szCs w:val="24"/>
                <w14:textFill>
                  <w14:solidFill>
                    <w14:schemeClr w14:val="tx1"/>
                  </w14:solidFill>
                </w14:textFill>
              </w:rPr>
            </w:pPr>
            <w:r>
              <w:rPr>
                <w:rFonts w:hint="eastAsia" w:ascii="仿宋" w:hAnsi="仿宋" w:eastAsia="仿宋" w:cs="Times New Roman"/>
                <w:b/>
                <w:kern w:val="0"/>
                <w:sz w:val="24"/>
                <w:szCs w:val="24"/>
                <w:lang w:val="zh-CN"/>
              </w:rPr>
              <w:t>注册号</w:t>
            </w:r>
          </w:p>
        </w:tc>
        <w:tc>
          <w:tcPr>
            <w:tcW w:w="934" w:type="pct"/>
            <w:tcBorders>
              <w:top w:val="single" w:color="auto" w:sz="8" w:space="0"/>
              <w:left w:val="single" w:color="auto" w:sz="8" w:space="0"/>
              <w:bottom w:val="single" w:color="auto" w:sz="8" w:space="0"/>
              <w:right w:val="single" w:color="auto" w:sz="8" w:space="0"/>
            </w:tcBorders>
            <w:shd w:val="clear" w:color="auto" w:fill="FFFFFF"/>
            <w:vAlign w:val="center"/>
          </w:tcPr>
          <w:p w14:paraId="73DD685F">
            <w:pPr>
              <w:widowControl/>
              <w:spacing w:line="360" w:lineRule="auto"/>
              <w:jc w:val="center"/>
              <w:rPr>
                <w:rFonts w:cs="Helvetica" w:asciiTheme="minorEastAsia" w:hAnsiTheme="minorEastAsia"/>
                <w:color w:val="000000" w:themeColor="text1"/>
                <w:kern w:val="0"/>
                <w:sz w:val="24"/>
                <w:szCs w:val="24"/>
                <w14:textFill>
                  <w14:solidFill>
                    <w14:schemeClr w14:val="tx1"/>
                  </w14:solidFill>
                </w14:textFill>
              </w:rPr>
            </w:pPr>
            <w:r>
              <w:rPr>
                <w:rFonts w:hint="eastAsia" w:ascii="仿宋" w:hAnsi="仿宋" w:eastAsia="仿宋" w:cs="Times New Roman"/>
                <w:b/>
                <w:kern w:val="0"/>
                <w:sz w:val="24"/>
                <w:szCs w:val="24"/>
                <w:lang w:val="zh-CN"/>
              </w:rPr>
              <w:t>国际分类</w:t>
            </w:r>
          </w:p>
        </w:tc>
        <w:tc>
          <w:tcPr>
            <w:tcW w:w="1251" w:type="pct"/>
            <w:tcBorders>
              <w:top w:val="single" w:color="auto" w:sz="8" w:space="0"/>
              <w:left w:val="single" w:color="auto" w:sz="8" w:space="0"/>
              <w:bottom w:val="single" w:color="auto" w:sz="8" w:space="0"/>
              <w:right w:val="single" w:color="auto" w:sz="8" w:space="0"/>
            </w:tcBorders>
            <w:shd w:val="clear" w:color="auto" w:fill="FFFFFF"/>
            <w:vAlign w:val="center"/>
          </w:tcPr>
          <w:p w14:paraId="0FF9E77F">
            <w:pPr>
              <w:widowControl/>
              <w:spacing w:line="360" w:lineRule="auto"/>
              <w:jc w:val="center"/>
              <w:rPr>
                <w:rFonts w:cs="Helvetica" w:asciiTheme="minorEastAsia" w:hAnsiTheme="minorEastAsia"/>
                <w:color w:val="000000" w:themeColor="text1"/>
                <w:kern w:val="0"/>
                <w:sz w:val="24"/>
                <w:szCs w:val="24"/>
                <w14:textFill>
                  <w14:solidFill>
                    <w14:schemeClr w14:val="tx1"/>
                  </w14:solidFill>
                </w14:textFill>
              </w:rPr>
            </w:pPr>
            <w:r>
              <w:rPr>
                <w:rFonts w:hint="eastAsia" w:ascii="仿宋" w:hAnsi="仿宋" w:eastAsia="仿宋" w:cs="Times New Roman"/>
                <w:b/>
                <w:kern w:val="0"/>
                <w:sz w:val="24"/>
                <w:szCs w:val="24"/>
                <w:lang w:val="zh-CN"/>
              </w:rPr>
              <w:t>注册日期</w:t>
            </w:r>
          </w:p>
        </w:tc>
      </w:tr>
      <w:tr w14:paraId="1FB93BBE">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shd w:val="clear" w:color="auto" w:fill="FFFFFF"/>
          <w:tblCellMar>
            <w:top w:w="0" w:type="dxa"/>
            <w:left w:w="0" w:type="dxa"/>
            <w:bottom w:w="0" w:type="dxa"/>
            <w:right w:w="0" w:type="dxa"/>
          </w:tblCellMar>
        </w:tblPrEx>
        <w:trPr>
          <w:trHeight w:val="603" w:hRule="atLeast"/>
          <w:jc w:val="center"/>
        </w:trPr>
        <w:tc>
          <w:tcPr>
            <w:tcW w:w="567" w:type="pct"/>
            <w:tcBorders>
              <w:top w:val="single" w:color="auto" w:sz="8" w:space="0"/>
              <w:left w:val="single" w:color="auto" w:sz="8" w:space="0"/>
              <w:bottom w:val="single" w:color="auto" w:sz="8" w:space="0"/>
              <w:right w:val="single" w:color="auto" w:sz="8" w:space="0"/>
            </w:tcBorders>
            <w:shd w:val="clear" w:color="auto" w:fill="FFFFFF"/>
            <w:tcMar>
              <w:top w:w="15" w:type="dxa"/>
              <w:left w:w="15" w:type="dxa"/>
              <w:bottom w:w="150" w:type="dxa"/>
              <w:right w:w="15" w:type="dxa"/>
            </w:tcMar>
            <w:vAlign w:val="center"/>
          </w:tcPr>
          <w:p w14:paraId="0EE3EA13">
            <w:pPr>
              <w:widowControl/>
              <w:spacing w:line="360" w:lineRule="auto"/>
              <w:jc w:val="center"/>
              <w:rPr>
                <w:rFonts w:hint="eastAsia" w:cs="Helvetica" w:asciiTheme="minorEastAsia" w:hAnsiTheme="minorEastAsia" w:eastAsiaTheme="minorEastAsia"/>
                <w:color w:val="000000" w:themeColor="text1"/>
                <w:kern w:val="0"/>
                <w:sz w:val="24"/>
                <w:szCs w:val="24"/>
                <w:lang w:val="en-US" w:eastAsia="zh-CN"/>
                <w14:textFill>
                  <w14:solidFill>
                    <w14:schemeClr w14:val="tx1"/>
                  </w14:solidFill>
                </w14:textFill>
              </w:rPr>
            </w:pPr>
            <w:r>
              <w:rPr>
                <w:rFonts w:hint="eastAsia" w:cs="Helvetica" w:asciiTheme="minorEastAsia" w:hAnsiTheme="minorEastAsia"/>
                <w:color w:val="000000" w:themeColor="text1"/>
                <w:kern w:val="0"/>
                <w:sz w:val="24"/>
                <w:szCs w:val="24"/>
                <w:lang w:val="en-US" w:eastAsia="zh-CN"/>
                <w14:textFill>
                  <w14:solidFill>
                    <w14:schemeClr w14:val="tx1"/>
                  </w14:solidFill>
                </w14:textFill>
              </w:rPr>
              <w:t>1</w:t>
            </w:r>
          </w:p>
        </w:tc>
        <w:tc>
          <w:tcPr>
            <w:tcW w:w="1312" w:type="pct"/>
            <w:tcBorders>
              <w:top w:val="single" w:color="auto" w:sz="8" w:space="0"/>
              <w:left w:val="single" w:color="auto" w:sz="8" w:space="0"/>
              <w:bottom w:val="single" w:color="auto" w:sz="8" w:space="0"/>
              <w:right w:val="single" w:color="auto" w:sz="8" w:space="0"/>
            </w:tcBorders>
            <w:shd w:val="clear" w:color="auto" w:fill="FFFFFF"/>
            <w:tcMar>
              <w:top w:w="15" w:type="dxa"/>
              <w:left w:w="15" w:type="dxa"/>
              <w:bottom w:w="150" w:type="dxa"/>
              <w:right w:w="15" w:type="dxa"/>
            </w:tcMar>
          </w:tcPr>
          <w:p w14:paraId="589785FC">
            <w:pPr>
              <w:jc w:val="center"/>
              <w:rPr>
                <w:rFonts w:cs="Helvetica" w:asciiTheme="minorEastAsia" w:hAnsiTheme="minorEastAsia"/>
                <w:color w:val="000000" w:themeColor="text1"/>
                <w:kern w:val="0"/>
                <w:sz w:val="24"/>
                <w:szCs w:val="24"/>
                <w14:textFill>
                  <w14:solidFill>
                    <w14:schemeClr w14:val="tx1"/>
                  </w14:solidFill>
                </w14:textFill>
              </w:rPr>
            </w:pPr>
            <w:r>
              <w:rPr>
                <w:rFonts w:hint="eastAsia" w:ascii="宋体" w:hAnsi="宋体" w:eastAsia="宋体" w:cs="宋体"/>
                <w:color w:val="000000"/>
                <w:kern w:val="0"/>
                <w:sz w:val="22"/>
              </w:rPr>
              <w:t>邦仕惟</w:t>
            </w:r>
          </w:p>
        </w:tc>
        <w:tc>
          <w:tcPr>
            <w:tcW w:w="936" w:type="pct"/>
            <w:tcBorders>
              <w:top w:val="single" w:color="auto" w:sz="8" w:space="0"/>
              <w:left w:val="single" w:color="auto" w:sz="8" w:space="0"/>
              <w:bottom w:val="single" w:color="auto" w:sz="8" w:space="0"/>
              <w:right w:val="single" w:color="auto" w:sz="8" w:space="0"/>
            </w:tcBorders>
            <w:shd w:val="clear" w:color="auto" w:fill="FFFFFF"/>
          </w:tcPr>
          <w:p w14:paraId="47FC0AE5">
            <w:pPr>
              <w:jc w:val="center"/>
              <w:rPr>
                <w:rFonts w:cs="Helvetica" w:asciiTheme="minorEastAsia" w:hAnsiTheme="minorEastAsia"/>
                <w:color w:val="000000" w:themeColor="text1"/>
                <w:kern w:val="0"/>
                <w:sz w:val="24"/>
                <w:szCs w:val="24"/>
                <w14:textFill>
                  <w14:solidFill>
                    <w14:schemeClr w14:val="tx1"/>
                  </w14:solidFill>
                </w14:textFill>
              </w:rPr>
            </w:pPr>
            <w:r>
              <w:rPr>
                <w:rFonts w:hint="eastAsia" w:ascii="宋体" w:hAnsi="宋体" w:eastAsia="宋体" w:cs="宋体"/>
                <w:color w:val="000000"/>
                <w:kern w:val="0"/>
                <w:sz w:val="22"/>
              </w:rPr>
              <w:t>929507</w:t>
            </w:r>
          </w:p>
        </w:tc>
        <w:tc>
          <w:tcPr>
            <w:tcW w:w="934" w:type="pct"/>
            <w:tcBorders>
              <w:top w:val="single" w:color="auto" w:sz="8" w:space="0"/>
              <w:left w:val="single" w:color="auto" w:sz="8" w:space="0"/>
              <w:bottom w:val="single" w:color="auto" w:sz="8" w:space="0"/>
              <w:right w:val="single" w:color="auto" w:sz="8" w:space="0"/>
            </w:tcBorders>
            <w:shd w:val="clear" w:color="auto" w:fill="FFFFFF"/>
          </w:tcPr>
          <w:p w14:paraId="2B3ADC64">
            <w:pPr>
              <w:jc w:val="center"/>
              <w:rPr>
                <w:rFonts w:cs="Helvetica" w:asciiTheme="minorEastAsia" w:hAnsiTheme="minorEastAsia"/>
                <w:color w:val="000000" w:themeColor="text1"/>
                <w:kern w:val="0"/>
                <w:sz w:val="24"/>
                <w:szCs w:val="24"/>
                <w14:textFill>
                  <w14:solidFill>
                    <w14:schemeClr w14:val="tx1"/>
                  </w14:solidFill>
                </w14:textFill>
              </w:rPr>
            </w:pPr>
            <w:r>
              <w:rPr>
                <w:rFonts w:hint="eastAsia" w:ascii="宋体" w:hAnsi="宋体" w:eastAsia="宋体" w:cs="宋体"/>
                <w:color w:val="000000"/>
                <w:kern w:val="0"/>
                <w:sz w:val="22"/>
              </w:rPr>
              <w:t>25</w:t>
            </w:r>
            <w:r>
              <w:rPr>
                <w:rFonts w:ascii="宋体" w:hAnsi="宋体" w:eastAsia="宋体" w:cs="宋体"/>
                <w:color w:val="000000"/>
                <w:kern w:val="0"/>
                <w:sz w:val="22"/>
              </w:rPr>
              <w:t xml:space="preserve">类 </w:t>
            </w:r>
          </w:p>
        </w:tc>
        <w:tc>
          <w:tcPr>
            <w:tcW w:w="1251" w:type="pct"/>
            <w:tcBorders>
              <w:top w:val="single" w:color="auto" w:sz="8" w:space="0"/>
              <w:left w:val="single" w:color="auto" w:sz="8" w:space="0"/>
              <w:bottom w:val="single" w:color="auto" w:sz="8" w:space="0"/>
              <w:right w:val="single" w:color="auto" w:sz="8" w:space="0"/>
            </w:tcBorders>
            <w:shd w:val="clear" w:color="auto" w:fill="FFFFFF"/>
          </w:tcPr>
          <w:p w14:paraId="0C25C312">
            <w:pPr>
              <w:jc w:val="center"/>
              <w:rPr>
                <w:rFonts w:cs="Helvetica" w:asciiTheme="minorEastAsia" w:hAnsiTheme="minorEastAsia"/>
                <w:color w:val="000000" w:themeColor="text1"/>
                <w:kern w:val="0"/>
                <w:sz w:val="24"/>
                <w:szCs w:val="24"/>
                <w14:textFill>
                  <w14:solidFill>
                    <w14:schemeClr w14:val="tx1"/>
                  </w14:solidFill>
                </w14:textFill>
              </w:rPr>
            </w:pPr>
            <w:r>
              <w:rPr>
                <w:rFonts w:ascii="宋体" w:hAnsi="宋体" w:eastAsia="宋体" w:cs="宋体"/>
                <w:color w:val="000000"/>
                <w:kern w:val="0"/>
                <w:sz w:val="22"/>
              </w:rPr>
              <w:t>201</w:t>
            </w:r>
            <w:r>
              <w:rPr>
                <w:rFonts w:hint="eastAsia" w:ascii="宋体" w:hAnsi="宋体" w:eastAsia="宋体" w:cs="宋体"/>
                <w:color w:val="000000"/>
                <w:kern w:val="0"/>
                <w:sz w:val="22"/>
              </w:rPr>
              <w:t>2</w:t>
            </w:r>
            <w:r>
              <w:rPr>
                <w:rFonts w:ascii="宋体" w:hAnsi="宋体" w:eastAsia="宋体" w:cs="宋体"/>
                <w:color w:val="000000"/>
                <w:kern w:val="0"/>
                <w:sz w:val="22"/>
              </w:rPr>
              <w:t>-0</w:t>
            </w:r>
            <w:r>
              <w:rPr>
                <w:rFonts w:hint="eastAsia" w:ascii="宋体" w:hAnsi="宋体" w:eastAsia="宋体" w:cs="宋体"/>
                <w:color w:val="000000"/>
                <w:kern w:val="0"/>
                <w:sz w:val="22"/>
              </w:rPr>
              <w:t>1</w:t>
            </w:r>
            <w:r>
              <w:rPr>
                <w:rFonts w:ascii="宋体" w:hAnsi="宋体" w:eastAsia="宋体" w:cs="宋体"/>
                <w:color w:val="000000"/>
                <w:kern w:val="0"/>
                <w:sz w:val="22"/>
              </w:rPr>
              <w:t>-</w:t>
            </w:r>
            <w:r>
              <w:rPr>
                <w:rFonts w:hint="eastAsia" w:ascii="宋体" w:hAnsi="宋体" w:eastAsia="宋体" w:cs="宋体"/>
                <w:color w:val="000000"/>
                <w:kern w:val="0"/>
                <w:sz w:val="22"/>
              </w:rPr>
              <w:t>21</w:t>
            </w:r>
          </w:p>
        </w:tc>
      </w:tr>
      <w:tr w14:paraId="1500048E">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shd w:val="clear" w:color="auto" w:fill="FFFFFF"/>
          <w:tblCellMar>
            <w:top w:w="0" w:type="dxa"/>
            <w:left w:w="0" w:type="dxa"/>
            <w:bottom w:w="0" w:type="dxa"/>
            <w:right w:w="0" w:type="dxa"/>
          </w:tblCellMar>
        </w:tblPrEx>
        <w:trPr>
          <w:trHeight w:val="603" w:hRule="atLeast"/>
          <w:jc w:val="center"/>
        </w:trPr>
        <w:tc>
          <w:tcPr>
            <w:tcW w:w="567" w:type="pct"/>
            <w:tcBorders>
              <w:top w:val="single" w:color="auto" w:sz="8" w:space="0"/>
              <w:left w:val="single" w:color="auto" w:sz="8" w:space="0"/>
              <w:bottom w:val="single" w:color="auto" w:sz="8" w:space="0"/>
              <w:right w:val="single" w:color="auto" w:sz="8" w:space="0"/>
            </w:tcBorders>
            <w:shd w:val="clear" w:color="auto" w:fill="FFFFFF"/>
            <w:tcMar>
              <w:top w:w="15" w:type="dxa"/>
              <w:left w:w="15" w:type="dxa"/>
              <w:bottom w:w="150" w:type="dxa"/>
              <w:right w:w="15" w:type="dxa"/>
            </w:tcMar>
            <w:vAlign w:val="center"/>
          </w:tcPr>
          <w:p w14:paraId="18CADA6E">
            <w:pPr>
              <w:widowControl/>
              <w:spacing w:line="360" w:lineRule="auto"/>
              <w:jc w:val="center"/>
              <w:rPr>
                <w:rFonts w:hint="eastAsia" w:cs="Helvetica" w:asciiTheme="minorEastAsia" w:hAnsiTheme="minorEastAsia" w:eastAsiaTheme="minorEastAsia"/>
                <w:color w:val="000000" w:themeColor="text1"/>
                <w:kern w:val="0"/>
                <w:sz w:val="24"/>
                <w:szCs w:val="24"/>
                <w:lang w:val="en-US" w:eastAsia="zh-CN"/>
                <w14:textFill>
                  <w14:solidFill>
                    <w14:schemeClr w14:val="tx1"/>
                  </w14:solidFill>
                </w14:textFill>
              </w:rPr>
            </w:pPr>
            <w:r>
              <w:rPr>
                <w:rFonts w:hint="eastAsia" w:cs="Helvetica" w:asciiTheme="minorEastAsia" w:hAnsiTheme="minorEastAsia"/>
                <w:color w:val="000000" w:themeColor="text1"/>
                <w:kern w:val="0"/>
                <w:sz w:val="24"/>
                <w:szCs w:val="24"/>
                <w:lang w:val="en-US" w:eastAsia="zh-CN"/>
                <w14:textFill>
                  <w14:solidFill>
                    <w14:schemeClr w14:val="tx1"/>
                  </w14:solidFill>
                </w14:textFill>
              </w:rPr>
              <w:t>2</w:t>
            </w:r>
          </w:p>
        </w:tc>
        <w:tc>
          <w:tcPr>
            <w:tcW w:w="1312" w:type="pct"/>
            <w:tcBorders>
              <w:top w:val="single" w:color="auto" w:sz="8" w:space="0"/>
              <w:left w:val="single" w:color="auto" w:sz="8" w:space="0"/>
              <w:bottom w:val="single" w:color="auto" w:sz="8" w:space="0"/>
              <w:right w:val="single" w:color="auto" w:sz="8" w:space="0"/>
            </w:tcBorders>
            <w:shd w:val="clear" w:color="auto" w:fill="FFFFFF"/>
            <w:tcMar>
              <w:top w:w="15" w:type="dxa"/>
              <w:left w:w="15" w:type="dxa"/>
              <w:bottom w:w="150" w:type="dxa"/>
              <w:right w:w="15" w:type="dxa"/>
            </w:tcMar>
          </w:tcPr>
          <w:p w14:paraId="392A7538">
            <w:pPr>
              <w:jc w:val="center"/>
              <w:rPr>
                <w:rFonts w:cs="Helvetica" w:asciiTheme="minorEastAsia" w:hAnsiTheme="minorEastAsia"/>
                <w:color w:val="000000" w:themeColor="text1"/>
                <w:kern w:val="0"/>
                <w:sz w:val="24"/>
                <w:szCs w:val="24"/>
                <w14:textFill>
                  <w14:solidFill>
                    <w14:schemeClr w14:val="tx1"/>
                  </w14:solidFill>
                </w14:textFill>
              </w:rPr>
            </w:pPr>
            <w:r>
              <w:rPr>
                <w:rFonts w:hint="eastAsia" w:ascii="宋体" w:hAnsi="宋体" w:eastAsia="宋体" w:cs="宋体"/>
                <w:color w:val="000000"/>
                <w:kern w:val="0"/>
                <w:sz w:val="22"/>
              </w:rPr>
              <w:t>BONDSWEAR</w:t>
            </w:r>
          </w:p>
        </w:tc>
        <w:tc>
          <w:tcPr>
            <w:tcW w:w="936" w:type="pct"/>
            <w:tcBorders>
              <w:top w:val="single" w:color="auto" w:sz="8" w:space="0"/>
              <w:left w:val="single" w:color="auto" w:sz="8" w:space="0"/>
              <w:bottom w:val="single" w:color="auto" w:sz="8" w:space="0"/>
              <w:right w:val="single" w:color="auto" w:sz="8" w:space="0"/>
            </w:tcBorders>
            <w:shd w:val="clear" w:color="auto" w:fill="FFFFFF"/>
          </w:tcPr>
          <w:p w14:paraId="2CDFB538">
            <w:pPr>
              <w:jc w:val="center"/>
              <w:rPr>
                <w:rFonts w:cs="Helvetica" w:asciiTheme="minorEastAsia" w:hAnsiTheme="minorEastAsia"/>
                <w:color w:val="000000" w:themeColor="text1"/>
                <w:kern w:val="0"/>
                <w:sz w:val="24"/>
                <w:szCs w:val="24"/>
                <w14:textFill>
                  <w14:solidFill>
                    <w14:schemeClr w14:val="tx1"/>
                  </w14:solidFill>
                </w14:textFill>
              </w:rPr>
            </w:pPr>
            <w:r>
              <w:rPr>
                <w:rFonts w:hint="eastAsia" w:ascii="宋体" w:hAnsi="宋体" w:eastAsia="宋体" w:cs="宋体"/>
                <w:color w:val="000000"/>
                <w:kern w:val="0"/>
                <w:sz w:val="22"/>
              </w:rPr>
              <w:t>805388</w:t>
            </w:r>
          </w:p>
        </w:tc>
        <w:tc>
          <w:tcPr>
            <w:tcW w:w="934" w:type="pct"/>
            <w:tcBorders>
              <w:top w:val="single" w:color="auto" w:sz="8" w:space="0"/>
              <w:left w:val="single" w:color="auto" w:sz="8" w:space="0"/>
              <w:bottom w:val="single" w:color="auto" w:sz="8" w:space="0"/>
              <w:right w:val="single" w:color="auto" w:sz="8" w:space="0"/>
            </w:tcBorders>
            <w:shd w:val="clear" w:color="auto" w:fill="FFFFFF"/>
          </w:tcPr>
          <w:p w14:paraId="1D37F0F3">
            <w:pPr>
              <w:jc w:val="center"/>
              <w:rPr>
                <w:rFonts w:cs="Helvetica" w:asciiTheme="minorEastAsia" w:hAnsiTheme="minorEastAsia"/>
                <w:color w:val="000000" w:themeColor="text1"/>
                <w:kern w:val="0"/>
                <w:sz w:val="24"/>
                <w:szCs w:val="24"/>
                <w14:textFill>
                  <w14:solidFill>
                    <w14:schemeClr w14:val="tx1"/>
                  </w14:solidFill>
                </w14:textFill>
              </w:rPr>
            </w:pPr>
            <w:r>
              <w:rPr>
                <w:rFonts w:hint="eastAsia" w:ascii="宋体" w:hAnsi="宋体" w:eastAsia="宋体" w:cs="宋体"/>
                <w:color w:val="000000"/>
                <w:kern w:val="0"/>
                <w:sz w:val="22"/>
              </w:rPr>
              <w:t>25</w:t>
            </w:r>
            <w:r>
              <w:rPr>
                <w:rFonts w:ascii="宋体" w:hAnsi="宋体" w:eastAsia="宋体" w:cs="宋体"/>
                <w:color w:val="000000"/>
                <w:kern w:val="0"/>
                <w:sz w:val="22"/>
              </w:rPr>
              <w:t xml:space="preserve">类 </w:t>
            </w:r>
          </w:p>
        </w:tc>
        <w:tc>
          <w:tcPr>
            <w:tcW w:w="1251" w:type="pct"/>
            <w:tcBorders>
              <w:top w:val="single" w:color="auto" w:sz="8" w:space="0"/>
              <w:left w:val="single" w:color="auto" w:sz="8" w:space="0"/>
              <w:bottom w:val="single" w:color="auto" w:sz="8" w:space="0"/>
              <w:right w:val="single" w:color="auto" w:sz="8" w:space="0"/>
            </w:tcBorders>
            <w:shd w:val="clear" w:color="auto" w:fill="FFFFFF"/>
          </w:tcPr>
          <w:p w14:paraId="06235852">
            <w:pPr>
              <w:jc w:val="center"/>
              <w:rPr>
                <w:rFonts w:cs="Helvetica" w:asciiTheme="minorEastAsia" w:hAnsiTheme="minorEastAsia"/>
                <w:color w:val="000000" w:themeColor="text1"/>
                <w:kern w:val="0"/>
                <w:sz w:val="24"/>
                <w:szCs w:val="24"/>
                <w14:textFill>
                  <w14:solidFill>
                    <w14:schemeClr w14:val="tx1"/>
                  </w14:solidFill>
                </w14:textFill>
              </w:rPr>
            </w:pPr>
            <w:r>
              <w:rPr>
                <w:rFonts w:hint="eastAsia" w:ascii="宋体" w:hAnsi="宋体" w:eastAsia="宋体" w:cs="宋体"/>
                <w:color w:val="000000"/>
                <w:kern w:val="0"/>
                <w:sz w:val="22"/>
              </w:rPr>
              <w:t>1996</w:t>
            </w:r>
            <w:r>
              <w:rPr>
                <w:rFonts w:ascii="宋体" w:hAnsi="宋体" w:eastAsia="宋体" w:cs="宋体"/>
                <w:color w:val="000000"/>
                <w:kern w:val="0"/>
                <w:sz w:val="22"/>
              </w:rPr>
              <w:t>-0</w:t>
            </w:r>
            <w:r>
              <w:rPr>
                <w:rFonts w:hint="eastAsia" w:ascii="宋体" w:hAnsi="宋体" w:eastAsia="宋体" w:cs="宋体"/>
                <w:color w:val="000000"/>
                <w:kern w:val="0"/>
                <w:sz w:val="22"/>
              </w:rPr>
              <w:t>1</w:t>
            </w:r>
            <w:r>
              <w:rPr>
                <w:rFonts w:ascii="宋体" w:hAnsi="宋体" w:eastAsia="宋体" w:cs="宋体"/>
                <w:color w:val="000000"/>
                <w:kern w:val="0"/>
                <w:sz w:val="22"/>
              </w:rPr>
              <w:t>-0</w:t>
            </w:r>
            <w:r>
              <w:rPr>
                <w:rFonts w:hint="eastAsia" w:ascii="宋体" w:hAnsi="宋体" w:eastAsia="宋体" w:cs="宋体"/>
                <w:color w:val="000000"/>
                <w:kern w:val="0"/>
                <w:sz w:val="22"/>
              </w:rPr>
              <w:t>7</w:t>
            </w:r>
          </w:p>
        </w:tc>
      </w:tr>
      <w:tr w14:paraId="6EB1393B">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shd w:val="clear" w:color="auto" w:fill="FFFFFF"/>
          <w:tblCellMar>
            <w:top w:w="0" w:type="dxa"/>
            <w:left w:w="0" w:type="dxa"/>
            <w:bottom w:w="0" w:type="dxa"/>
            <w:right w:w="0" w:type="dxa"/>
          </w:tblCellMar>
        </w:tblPrEx>
        <w:trPr>
          <w:trHeight w:val="987" w:hRule="atLeast"/>
          <w:jc w:val="center"/>
        </w:trPr>
        <w:tc>
          <w:tcPr>
            <w:tcW w:w="5000" w:type="pct"/>
            <w:gridSpan w:val="5"/>
            <w:tcBorders>
              <w:top w:val="single" w:color="auto" w:sz="8" w:space="0"/>
              <w:left w:val="single" w:color="auto" w:sz="8" w:space="0"/>
              <w:bottom w:val="single" w:color="auto" w:sz="8" w:space="0"/>
              <w:right w:val="single" w:color="auto" w:sz="8" w:space="0"/>
            </w:tcBorders>
            <w:shd w:val="clear" w:color="auto" w:fill="FFFFFF"/>
            <w:tcMar>
              <w:top w:w="15" w:type="dxa"/>
              <w:left w:w="15" w:type="dxa"/>
              <w:bottom w:w="150" w:type="dxa"/>
              <w:right w:w="15" w:type="dxa"/>
            </w:tcMar>
            <w:vAlign w:val="center"/>
          </w:tcPr>
          <w:p w14:paraId="2035B653">
            <w:pPr>
              <w:widowControl/>
              <w:spacing w:line="360" w:lineRule="auto"/>
              <w:jc w:val="center"/>
              <w:rPr>
                <w:rFonts w:cs="Helvetica" w:asciiTheme="minorEastAsia" w:hAnsiTheme="minorEastAsia"/>
                <w:color w:val="000000" w:themeColor="text1"/>
                <w:kern w:val="0"/>
                <w:sz w:val="24"/>
                <w:szCs w:val="24"/>
                <w14:textFill>
                  <w14:solidFill>
                    <w14:schemeClr w14:val="tx1"/>
                  </w14:solidFill>
                </w14:textFill>
              </w:rPr>
            </w:pPr>
            <w:r>
              <w:rPr>
                <w:rFonts w:cs="Helvetica" w:asciiTheme="minorEastAsia" w:hAnsiTheme="minorEastAsia"/>
                <w:b/>
                <w:bCs/>
                <w:color w:val="000000" w:themeColor="text1"/>
                <w:kern w:val="0"/>
                <w:sz w:val="24"/>
                <w:szCs w:val="24"/>
                <w14:textFill>
                  <w14:solidFill>
                    <w14:schemeClr w14:val="tx1"/>
                  </w14:solidFill>
                </w14:textFill>
              </w:rPr>
              <w:t>拍品介绍</w:t>
            </w:r>
          </w:p>
          <w:p w14:paraId="47A060DF">
            <w:pPr>
              <w:widowControl/>
              <w:spacing w:line="360" w:lineRule="auto"/>
              <w:jc w:val="center"/>
              <w:rPr>
                <w:rFonts w:cs="Helvetica" w:asciiTheme="minorEastAsia" w:hAnsiTheme="minorEastAsia"/>
                <w:b/>
                <w:bCs/>
                <w:color w:val="000000" w:themeColor="text1"/>
                <w:kern w:val="0"/>
                <w:sz w:val="24"/>
                <w:szCs w:val="24"/>
                <w14:textFill>
                  <w14:solidFill>
                    <w14:schemeClr w14:val="tx1"/>
                  </w14:solidFill>
                </w14:textFill>
              </w:rPr>
            </w:pPr>
            <w:r>
              <w:rPr>
                <w:rFonts w:cs="Helvetica" w:asciiTheme="minorEastAsia" w:hAnsiTheme="minorEastAsia"/>
                <w:b/>
                <w:bCs/>
                <w:color w:val="000000" w:themeColor="text1"/>
                <w:kern w:val="0"/>
                <w:sz w:val="24"/>
                <w:szCs w:val="24"/>
                <w14:textFill>
                  <w14:solidFill>
                    <w14:schemeClr w14:val="tx1"/>
                  </w14:solidFill>
                </w14:textFill>
              </w:rPr>
              <w:t>（</w:t>
            </w:r>
            <w:r>
              <w:rPr>
                <w:rFonts w:cs="Helvetica" w:asciiTheme="minorEastAsia" w:hAnsiTheme="minorEastAsia"/>
                <w:b/>
                <w:bCs/>
                <w:color w:val="FF0000"/>
                <w:kern w:val="0"/>
                <w:sz w:val="24"/>
                <w:szCs w:val="24"/>
              </w:rPr>
              <w:t>该信息仅供参考，具体以标的物现状为准。</w:t>
            </w:r>
            <w:r>
              <w:rPr>
                <w:rFonts w:cs="Helvetica" w:asciiTheme="minorEastAsia" w:hAnsiTheme="minorEastAsia"/>
                <w:b/>
                <w:bCs/>
                <w:color w:val="000000" w:themeColor="text1"/>
                <w:kern w:val="0"/>
                <w:sz w:val="24"/>
                <w:szCs w:val="24"/>
                <w14:textFill>
                  <w14:solidFill>
                    <w14:schemeClr w14:val="tx1"/>
                  </w14:solidFill>
                </w14:textFill>
              </w:rPr>
              <w:t>）</w:t>
            </w:r>
          </w:p>
        </w:tc>
      </w:tr>
      <w:tr w14:paraId="76304DEF">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shd w:val="clear" w:color="auto" w:fill="FFFFFF"/>
          <w:tblCellMar>
            <w:top w:w="0" w:type="dxa"/>
            <w:left w:w="0" w:type="dxa"/>
            <w:bottom w:w="0" w:type="dxa"/>
            <w:right w:w="0" w:type="dxa"/>
          </w:tblCellMar>
        </w:tblPrEx>
        <w:trPr>
          <w:trHeight w:val="1525" w:hRule="atLeast"/>
          <w:jc w:val="center"/>
        </w:trPr>
        <w:tc>
          <w:tcPr>
            <w:tcW w:w="5000" w:type="pct"/>
            <w:gridSpan w:val="5"/>
            <w:tcBorders>
              <w:top w:val="single" w:color="auto" w:sz="8" w:space="0"/>
              <w:left w:val="single" w:color="auto" w:sz="8" w:space="0"/>
              <w:bottom w:val="single" w:color="auto" w:sz="8" w:space="0"/>
              <w:right w:val="single" w:color="auto" w:sz="8" w:space="0"/>
            </w:tcBorders>
            <w:shd w:val="clear" w:color="auto" w:fill="FFFFFF"/>
            <w:tcMar>
              <w:top w:w="15" w:type="dxa"/>
              <w:left w:w="15" w:type="dxa"/>
              <w:bottom w:w="150" w:type="dxa"/>
              <w:right w:w="15" w:type="dxa"/>
            </w:tcMar>
            <w:vAlign w:val="center"/>
          </w:tcPr>
          <w:p w14:paraId="60F65B65">
            <w:pPr>
              <w:spacing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1、关于商标资产管理人未接管到相关证书原件及其他相关材料，拍卖成交后以现状进行交付。买受人在缴纳完全部款项后7日内到管理人处，办理商标转让的相关文件交接。如买受人未在规定时间内与管理人办理交接的，因此造成的相关经济损失或导致无法进行过户转让的一切风险由买受人自行承担责任。竞买人竞买前需自行向相关部门咨询，并接受标的物一切已知和未知瑕疵，自愿承担投资风险。商标转让所发生的一切相关费用由买受人承担。</w:t>
            </w:r>
          </w:p>
          <w:p w14:paraId="661D145F">
            <w:pPr>
              <w:spacing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2、拍卖标的物的有关信息，包括但不限于名称、注册号、申请日期、有效日期、权利是否完整、权利取得方式、权利范围、状态等，均以国家知识产权局等相关部门登记记载的实时状态为准。官方网站上披露的信息可能存在未及时更新等原因导致与实际情况不符的情况。竞买人负责自行调查核实拍卖标的物实际情况。管理人对于拍卖标的物的详细情况、使用情况及有无许可他人使用等情况不作担保，亦不能保证拍卖标的物及其附属权利的有效性、完整性、完好性；管理人不能保证拍卖标的物能够正常使用，亦不提供任何形式的售后服务。</w:t>
            </w:r>
          </w:p>
          <w:p w14:paraId="04A362D2">
            <w:pPr>
              <w:spacing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3、拍卖成交后，本拍卖标的物的转让登记、过户、补证、续展、抗辩、答辩等手续由买受人自行办理（请自行向有关部门咨询补证、转让、续展、登记、撤三答辩等手续，并请立即办理相应手续），管理人不承诺可以办理成功。如果不能办理成功的，买受人自行承担风险，已经支付的成交款不予返还。办理上述手续所涉及的一切税费、可能产生的费用等均由买受人自行承担。</w:t>
            </w:r>
          </w:p>
          <w:p w14:paraId="0B12D1C2">
            <w:pPr>
              <w:spacing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4、拍卖成交后，买受人不得以拍卖标的物不存在、名称等信息不准确、权利已丧失（含被撤销、无效、被宣告无效、失效）或有瑕疵、数量存在短缺、欠缴税/费、司法查封、权利凭证缺失、无法正常使用、无法过户等方面存在问题或公告规则不合理、不公平等为由提出异议、主张竞价无效、悔拍、向管理人及拍卖辅助机构索偿。拍卖标的物成交后，前述相关状况由买受人负责解决，所有责任由买受人承担，所产生的费用由买受人自行承担，管理人不做任何担保或承诺，亦不承担披露信息不准确或不全等情形的后果。</w:t>
            </w:r>
          </w:p>
          <w:p w14:paraId="47DCA199">
            <w:pPr>
              <w:widowControl/>
              <w:spacing w:line="360" w:lineRule="auto"/>
              <w:ind w:firstLine="482" w:firstLineChars="200"/>
              <w:jc w:val="left"/>
              <w:rPr>
                <w:rFonts w:cs="Helvetica" w:asciiTheme="minorEastAsia" w:hAnsiTheme="minorEastAsia"/>
                <w:b/>
                <w:bCs/>
                <w:color w:val="FF0000"/>
                <w:kern w:val="0"/>
                <w:sz w:val="24"/>
                <w:szCs w:val="24"/>
              </w:rPr>
            </w:pPr>
          </w:p>
        </w:tc>
      </w:tr>
    </w:tbl>
    <w:p w14:paraId="362AC47C">
      <w:pPr>
        <w:spacing w:line="360" w:lineRule="auto"/>
        <w:ind w:firstLine="480" w:firstLineChars="200"/>
        <w:jc w:val="right"/>
        <w:rPr>
          <w:rFonts w:asciiTheme="minorEastAsia" w:hAnsiTheme="minorEastAsia"/>
          <w:sz w:val="24"/>
          <w:szCs w:val="24"/>
        </w:rPr>
      </w:pPr>
    </w:p>
    <w:p w14:paraId="21C089DD">
      <w:pPr>
        <w:spacing w:line="360" w:lineRule="auto"/>
        <w:jc w:val="left"/>
        <w:rPr>
          <w:rFonts w:asciiTheme="minorEastAsia" w:hAnsiTheme="minorEastAsia"/>
          <w:sz w:val="24"/>
          <w:szCs w:val="24"/>
        </w:rPr>
      </w:pPr>
      <w:r>
        <w:rPr>
          <w:rFonts w:hint="eastAsia" w:asciiTheme="minorEastAsia" w:hAnsiTheme="minorEastAsia"/>
          <w:sz w:val="24"/>
          <w:szCs w:val="24"/>
        </w:rPr>
        <w:t>照片：</w:t>
      </w:r>
    </w:p>
    <w:p w14:paraId="72759B54">
      <w:pPr>
        <w:spacing w:line="360" w:lineRule="auto"/>
        <w:jc w:val="left"/>
        <w:rPr>
          <w:rFonts w:asciiTheme="minorEastAsia" w:hAnsiTheme="minorEastAsia"/>
          <w:sz w:val="24"/>
          <w:szCs w:val="24"/>
        </w:rPr>
      </w:pPr>
    </w:p>
    <w:p w14:paraId="24D4E0A0">
      <w:pPr>
        <w:spacing w:line="360" w:lineRule="auto"/>
        <w:jc w:val="left"/>
        <w:rPr>
          <w:rFonts w:asciiTheme="minorEastAsia" w:hAnsiTheme="minorEastAsia"/>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Helvetica">
    <w:altName w:val="Arial"/>
    <w:panose1 w:val="020B0604020202020204"/>
    <w:charset w:val="00"/>
    <w:family w:val="swiss"/>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32808A5"/>
    <w:multiLevelType w:val="singleLevel"/>
    <w:tmpl w:val="332808A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RiZWQzYzYwYWM5NDc0N2VkYjNkZjc2NjQ2NTQ3MjYifQ=="/>
  </w:docVars>
  <w:rsids>
    <w:rsidRoot w:val="006705CC"/>
    <w:rsid w:val="0004630F"/>
    <w:rsid w:val="000505EB"/>
    <w:rsid w:val="00051E02"/>
    <w:rsid w:val="0005677F"/>
    <w:rsid w:val="00061D2E"/>
    <w:rsid w:val="00087E11"/>
    <w:rsid w:val="000A0642"/>
    <w:rsid w:val="000A33CA"/>
    <w:rsid w:val="000A527A"/>
    <w:rsid w:val="000B6FC0"/>
    <w:rsid w:val="000C45E5"/>
    <w:rsid w:val="000D5FB3"/>
    <w:rsid w:val="000D639B"/>
    <w:rsid w:val="001023F9"/>
    <w:rsid w:val="001206E4"/>
    <w:rsid w:val="00122E94"/>
    <w:rsid w:val="00142839"/>
    <w:rsid w:val="00151626"/>
    <w:rsid w:val="0015257B"/>
    <w:rsid w:val="00184876"/>
    <w:rsid w:val="001854B5"/>
    <w:rsid w:val="001A1887"/>
    <w:rsid w:val="001B706C"/>
    <w:rsid w:val="0021232E"/>
    <w:rsid w:val="00224C38"/>
    <w:rsid w:val="002556C1"/>
    <w:rsid w:val="00266827"/>
    <w:rsid w:val="002749EF"/>
    <w:rsid w:val="00286172"/>
    <w:rsid w:val="00294F47"/>
    <w:rsid w:val="002B6F1B"/>
    <w:rsid w:val="002C1DB5"/>
    <w:rsid w:val="002C2F87"/>
    <w:rsid w:val="002E4FD4"/>
    <w:rsid w:val="00305174"/>
    <w:rsid w:val="003159B6"/>
    <w:rsid w:val="003242AB"/>
    <w:rsid w:val="00325429"/>
    <w:rsid w:val="00326BBB"/>
    <w:rsid w:val="00326FEE"/>
    <w:rsid w:val="00340C92"/>
    <w:rsid w:val="003571DB"/>
    <w:rsid w:val="00365E3C"/>
    <w:rsid w:val="00387D3D"/>
    <w:rsid w:val="00394E57"/>
    <w:rsid w:val="003A6E3E"/>
    <w:rsid w:val="003B0D10"/>
    <w:rsid w:val="003B3810"/>
    <w:rsid w:val="003B4C0C"/>
    <w:rsid w:val="003C3D69"/>
    <w:rsid w:val="003E3A56"/>
    <w:rsid w:val="00402226"/>
    <w:rsid w:val="00403760"/>
    <w:rsid w:val="00422112"/>
    <w:rsid w:val="00426B1C"/>
    <w:rsid w:val="00432721"/>
    <w:rsid w:val="004405BB"/>
    <w:rsid w:val="00447E03"/>
    <w:rsid w:val="004562F8"/>
    <w:rsid w:val="00460443"/>
    <w:rsid w:val="00462220"/>
    <w:rsid w:val="00482372"/>
    <w:rsid w:val="0049611D"/>
    <w:rsid w:val="004A1BD2"/>
    <w:rsid w:val="004F2F12"/>
    <w:rsid w:val="0050228E"/>
    <w:rsid w:val="00503173"/>
    <w:rsid w:val="00515436"/>
    <w:rsid w:val="0053283D"/>
    <w:rsid w:val="005425B1"/>
    <w:rsid w:val="005545E2"/>
    <w:rsid w:val="0055574E"/>
    <w:rsid w:val="00556AE1"/>
    <w:rsid w:val="00566AEA"/>
    <w:rsid w:val="00572BF7"/>
    <w:rsid w:val="00573892"/>
    <w:rsid w:val="005A10DA"/>
    <w:rsid w:val="005A6E8D"/>
    <w:rsid w:val="005B0D5B"/>
    <w:rsid w:val="005C6CF4"/>
    <w:rsid w:val="005D0597"/>
    <w:rsid w:val="005D6FFF"/>
    <w:rsid w:val="005E1744"/>
    <w:rsid w:val="005F6202"/>
    <w:rsid w:val="00602FC9"/>
    <w:rsid w:val="00607854"/>
    <w:rsid w:val="00614ADA"/>
    <w:rsid w:val="00634749"/>
    <w:rsid w:val="00640094"/>
    <w:rsid w:val="00640E85"/>
    <w:rsid w:val="00642EF7"/>
    <w:rsid w:val="00647971"/>
    <w:rsid w:val="00660A2C"/>
    <w:rsid w:val="00660E79"/>
    <w:rsid w:val="006705CC"/>
    <w:rsid w:val="00675FD7"/>
    <w:rsid w:val="00681EB6"/>
    <w:rsid w:val="00683E1B"/>
    <w:rsid w:val="00695D11"/>
    <w:rsid w:val="006D518E"/>
    <w:rsid w:val="00712119"/>
    <w:rsid w:val="00722D29"/>
    <w:rsid w:val="00725E01"/>
    <w:rsid w:val="00752568"/>
    <w:rsid w:val="00766B5C"/>
    <w:rsid w:val="00771872"/>
    <w:rsid w:val="0077240D"/>
    <w:rsid w:val="00785D6A"/>
    <w:rsid w:val="00797413"/>
    <w:rsid w:val="007A6F25"/>
    <w:rsid w:val="007B5604"/>
    <w:rsid w:val="007B7150"/>
    <w:rsid w:val="007F1380"/>
    <w:rsid w:val="007F6DE8"/>
    <w:rsid w:val="008075C1"/>
    <w:rsid w:val="00826999"/>
    <w:rsid w:val="00842B8B"/>
    <w:rsid w:val="00865D20"/>
    <w:rsid w:val="00867981"/>
    <w:rsid w:val="00874EEA"/>
    <w:rsid w:val="00875907"/>
    <w:rsid w:val="008948BB"/>
    <w:rsid w:val="008B73C2"/>
    <w:rsid w:val="008C7C40"/>
    <w:rsid w:val="008D07BD"/>
    <w:rsid w:val="008D6C43"/>
    <w:rsid w:val="008F5105"/>
    <w:rsid w:val="009055FB"/>
    <w:rsid w:val="00905E85"/>
    <w:rsid w:val="00914BBF"/>
    <w:rsid w:val="00924B2A"/>
    <w:rsid w:val="00925CD2"/>
    <w:rsid w:val="0093506B"/>
    <w:rsid w:val="0093610F"/>
    <w:rsid w:val="009662BA"/>
    <w:rsid w:val="009A415F"/>
    <w:rsid w:val="009A44B4"/>
    <w:rsid w:val="009A710C"/>
    <w:rsid w:val="009C0090"/>
    <w:rsid w:val="009E1E20"/>
    <w:rsid w:val="009F4B58"/>
    <w:rsid w:val="00A07720"/>
    <w:rsid w:val="00A116C6"/>
    <w:rsid w:val="00A13D27"/>
    <w:rsid w:val="00A42FD4"/>
    <w:rsid w:val="00A86A9F"/>
    <w:rsid w:val="00A87B56"/>
    <w:rsid w:val="00A95637"/>
    <w:rsid w:val="00AB1824"/>
    <w:rsid w:val="00AB6688"/>
    <w:rsid w:val="00AD6809"/>
    <w:rsid w:val="00AE53BD"/>
    <w:rsid w:val="00B13EC3"/>
    <w:rsid w:val="00B16476"/>
    <w:rsid w:val="00B40DA5"/>
    <w:rsid w:val="00B50838"/>
    <w:rsid w:val="00B51292"/>
    <w:rsid w:val="00B55EB3"/>
    <w:rsid w:val="00B83D57"/>
    <w:rsid w:val="00BA3FBE"/>
    <w:rsid w:val="00BC3120"/>
    <w:rsid w:val="00BD53F6"/>
    <w:rsid w:val="00BE0955"/>
    <w:rsid w:val="00BE6F9A"/>
    <w:rsid w:val="00BF6406"/>
    <w:rsid w:val="00BF7C95"/>
    <w:rsid w:val="00C02618"/>
    <w:rsid w:val="00C14E9A"/>
    <w:rsid w:val="00C176A0"/>
    <w:rsid w:val="00C213B7"/>
    <w:rsid w:val="00C33D08"/>
    <w:rsid w:val="00C41429"/>
    <w:rsid w:val="00C42247"/>
    <w:rsid w:val="00C43086"/>
    <w:rsid w:val="00C6555E"/>
    <w:rsid w:val="00C664F4"/>
    <w:rsid w:val="00C93046"/>
    <w:rsid w:val="00CA014A"/>
    <w:rsid w:val="00CA12D9"/>
    <w:rsid w:val="00CB1753"/>
    <w:rsid w:val="00CB42BA"/>
    <w:rsid w:val="00CC1726"/>
    <w:rsid w:val="00CF00C1"/>
    <w:rsid w:val="00CF603D"/>
    <w:rsid w:val="00D0736B"/>
    <w:rsid w:val="00D3371A"/>
    <w:rsid w:val="00D5502D"/>
    <w:rsid w:val="00D75774"/>
    <w:rsid w:val="00DA473E"/>
    <w:rsid w:val="00DB2B6D"/>
    <w:rsid w:val="00DB2F04"/>
    <w:rsid w:val="00DC7749"/>
    <w:rsid w:val="00DE18E8"/>
    <w:rsid w:val="00E03910"/>
    <w:rsid w:val="00E12626"/>
    <w:rsid w:val="00E151E1"/>
    <w:rsid w:val="00E42BF5"/>
    <w:rsid w:val="00E517D1"/>
    <w:rsid w:val="00E5365D"/>
    <w:rsid w:val="00E65D57"/>
    <w:rsid w:val="00E663A6"/>
    <w:rsid w:val="00F06B9D"/>
    <w:rsid w:val="00F15297"/>
    <w:rsid w:val="00F4643F"/>
    <w:rsid w:val="00F5403D"/>
    <w:rsid w:val="00F76566"/>
    <w:rsid w:val="00F82820"/>
    <w:rsid w:val="00F87DBF"/>
    <w:rsid w:val="00FC1D0C"/>
    <w:rsid w:val="00FD420B"/>
    <w:rsid w:val="00FE0B68"/>
    <w:rsid w:val="00FE470C"/>
    <w:rsid w:val="00FF77F3"/>
    <w:rsid w:val="01286562"/>
    <w:rsid w:val="01311D17"/>
    <w:rsid w:val="01AE5688"/>
    <w:rsid w:val="01E70628"/>
    <w:rsid w:val="03FA6D38"/>
    <w:rsid w:val="0506170D"/>
    <w:rsid w:val="05143FCE"/>
    <w:rsid w:val="057335C1"/>
    <w:rsid w:val="068C5C42"/>
    <w:rsid w:val="06EC66E0"/>
    <w:rsid w:val="07464042"/>
    <w:rsid w:val="07526A91"/>
    <w:rsid w:val="07943000"/>
    <w:rsid w:val="07FC0BA5"/>
    <w:rsid w:val="0854278F"/>
    <w:rsid w:val="092B7994"/>
    <w:rsid w:val="09A514F4"/>
    <w:rsid w:val="09F064E7"/>
    <w:rsid w:val="09F935EE"/>
    <w:rsid w:val="0A0B0D13"/>
    <w:rsid w:val="0A206DCD"/>
    <w:rsid w:val="0B1526A9"/>
    <w:rsid w:val="0BFD7914"/>
    <w:rsid w:val="0C0E77A3"/>
    <w:rsid w:val="0C547201"/>
    <w:rsid w:val="0CB35CD6"/>
    <w:rsid w:val="0D074274"/>
    <w:rsid w:val="0D6214AA"/>
    <w:rsid w:val="0D7E7B62"/>
    <w:rsid w:val="0DA900B3"/>
    <w:rsid w:val="0E034A3B"/>
    <w:rsid w:val="0E10441A"/>
    <w:rsid w:val="0E7F45D4"/>
    <w:rsid w:val="0EC71F0D"/>
    <w:rsid w:val="0EE24651"/>
    <w:rsid w:val="0F4E1E08"/>
    <w:rsid w:val="0F8C0A60"/>
    <w:rsid w:val="1008458B"/>
    <w:rsid w:val="104F3F68"/>
    <w:rsid w:val="10635C65"/>
    <w:rsid w:val="107F4121"/>
    <w:rsid w:val="11001706"/>
    <w:rsid w:val="11A42091"/>
    <w:rsid w:val="12CC5D44"/>
    <w:rsid w:val="12E110C3"/>
    <w:rsid w:val="13053004"/>
    <w:rsid w:val="13C073B2"/>
    <w:rsid w:val="13D1738A"/>
    <w:rsid w:val="13F84916"/>
    <w:rsid w:val="14891A12"/>
    <w:rsid w:val="149C7998"/>
    <w:rsid w:val="14E60C13"/>
    <w:rsid w:val="15AE04E9"/>
    <w:rsid w:val="15B036FB"/>
    <w:rsid w:val="15C01464"/>
    <w:rsid w:val="162E0AC3"/>
    <w:rsid w:val="16500A3A"/>
    <w:rsid w:val="166338AE"/>
    <w:rsid w:val="16DC407B"/>
    <w:rsid w:val="16DE4297"/>
    <w:rsid w:val="170D06D9"/>
    <w:rsid w:val="176F4EEF"/>
    <w:rsid w:val="179130B8"/>
    <w:rsid w:val="185A794E"/>
    <w:rsid w:val="188744BB"/>
    <w:rsid w:val="18A1557C"/>
    <w:rsid w:val="19185113"/>
    <w:rsid w:val="19406B43"/>
    <w:rsid w:val="197E766C"/>
    <w:rsid w:val="198729C4"/>
    <w:rsid w:val="1A613215"/>
    <w:rsid w:val="1BAD248A"/>
    <w:rsid w:val="1C181028"/>
    <w:rsid w:val="1D882867"/>
    <w:rsid w:val="1DC064A5"/>
    <w:rsid w:val="1DE50B42"/>
    <w:rsid w:val="1DF61EC7"/>
    <w:rsid w:val="1E043040"/>
    <w:rsid w:val="1E1B192D"/>
    <w:rsid w:val="1E674B72"/>
    <w:rsid w:val="1E965203"/>
    <w:rsid w:val="1E9A6CF6"/>
    <w:rsid w:val="1EAE09F3"/>
    <w:rsid w:val="1EEE2B9E"/>
    <w:rsid w:val="1FC009DE"/>
    <w:rsid w:val="20C462AC"/>
    <w:rsid w:val="20C938C2"/>
    <w:rsid w:val="20CB0BD7"/>
    <w:rsid w:val="2130749E"/>
    <w:rsid w:val="213A656E"/>
    <w:rsid w:val="21DA1AFF"/>
    <w:rsid w:val="223D2F6D"/>
    <w:rsid w:val="228026A7"/>
    <w:rsid w:val="22EA6095"/>
    <w:rsid w:val="23411E36"/>
    <w:rsid w:val="235054FF"/>
    <w:rsid w:val="23DB11C1"/>
    <w:rsid w:val="23ED7DE4"/>
    <w:rsid w:val="240370EB"/>
    <w:rsid w:val="242C755F"/>
    <w:rsid w:val="24CF521F"/>
    <w:rsid w:val="251D626C"/>
    <w:rsid w:val="25590EF0"/>
    <w:rsid w:val="268D7140"/>
    <w:rsid w:val="26B97F35"/>
    <w:rsid w:val="272C6959"/>
    <w:rsid w:val="273E668C"/>
    <w:rsid w:val="276C144B"/>
    <w:rsid w:val="27F422C9"/>
    <w:rsid w:val="28836A4D"/>
    <w:rsid w:val="290F02E0"/>
    <w:rsid w:val="297B3BC8"/>
    <w:rsid w:val="298C1931"/>
    <w:rsid w:val="29CE021D"/>
    <w:rsid w:val="29EA2456"/>
    <w:rsid w:val="2A697EC4"/>
    <w:rsid w:val="2ABC535A"/>
    <w:rsid w:val="2B2A7653"/>
    <w:rsid w:val="2B6568DD"/>
    <w:rsid w:val="2B717030"/>
    <w:rsid w:val="2B7D3C27"/>
    <w:rsid w:val="2B844FB6"/>
    <w:rsid w:val="2C8C39F6"/>
    <w:rsid w:val="2C9C632F"/>
    <w:rsid w:val="2CE60A95"/>
    <w:rsid w:val="2D546C0A"/>
    <w:rsid w:val="2D915768"/>
    <w:rsid w:val="2DCC71AE"/>
    <w:rsid w:val="2E1450B0"/>
    <w:rsid w:val="2E2B38E3"/>
    <w:rsid w:val="2E352597"/>
    <w:rsid w:val="2EC67693"/>
    <w:rsid w:val="2ECC6D8D"/>
    <w:rsid w:val="2EDC2A13"/>
    <w:rsid w:val="2F3F11F4"/>
    <w:rsid w:val="2F7470EF"/>
    <w:rsid w:val="2FD61B58"/>
    <w:rsid w:val="305B205D"/>
    <w:rsid w:val="314A45AB"/>
    <w:rsid w:val="315947EF"/>
    <w:rsid w:val="31B54AD3"/>
    <w:rsid w:val="31E7342E"/>
    <w:rsid w:val="320F1351"/>
    <w:rsid w:val="32144BB9"/>
    <w:rsid w:val="32146967"/>
    <w:rsid w:val="326F3B9E"/>
    <w:rsid w:val="32770A74"/>
    <w:rsid w:val="32C92362"/>
    <w:rsid w:val="332E1CAB"/>
    <w:rsid w:val="335B411D"/>
    <w:rsid w:val="33745910"/>
    <w:rsid w:val="34334EB1"/>
    <w:rsid w:val="346F4329"/>
    <w:rsid w:val="354E2190"/>
    <w:rsid w:val="358D0F0B"/>
    <w:rsid w:val="35A87AF3"/>
    <w:rsid w:val="36203B2D"/>
    <w:rsid w:val="36471C4E"/>
    <w:rsid w:val="36581D34"/>
    <w:rsid w:val="366538CF"/>
    <w:rsid w:val="366A124C"/>
    <w:rsid w:val="37677539"/>
    <w:rsid w:val="37977E1F"/>
    <w:rsid w:val="37FC2378"/>
    <w:rsid w:val="38A547BD"/>
    <w:rsid w:val="38CA7D80"/>
    <w:rsid w:val="39047736"/>
    <w:rsid w:val="3A35391F"/>
    <w:rsid w:val="3A922B1F"/>
    <w:rsid w:val="3ACC4283"/>
    <w:rsid w:val="3AEA4709"/>
    <w:rsid w:val="3B163750"/>
    <w:rsid w:val="3B5F3BF5"/>
    <w:rsid w:val="3B912DD7"/>
    <w:rsid w:val="3D0A4BEF"/>
    <w:rsid w:val="3D3D4FC4"/>
    <w:rsid w:val="3DA60DBB"/>
    <w:rsid w:val="3DB159B2"/>
    <w:rsid w:val="3E0930F8"/>
    <w:rsid w:val="3E5013BC"/>
    <w:rsid w:val="3E545134"/>
    <w:rsid w:val="3E546A69"/>
    <w:rsid w:val="3ECA0ADA"/>
    <w:rsid w:val="3EED2A1A"/>
    <w:rsid w:val="3F1955BD"/>
    <w:rsid w:val="3F424B14"/>
    <w:rsid w:val="3F47037C"/>
    <w:rsid w:val="3F76656C"/>
    <w:rsid w:val="40062655"/>
    <w:rsid w:val="407F3B46"/>
    <w:rsid w:val="409F1AF2"/>
    <w:rsid w:val="40A84E4B"/>
    <w:rsid w:val="40B97058"/>
    <w:rsid w:val="40E24E97"/>
    <w:rsid w:val="412C5A7C"/>
    <w:rsid w:val="4168282C"/>
    <w:rsid w:val="42064A3F"/>
    <w:rsid w:val="42213106"/>
    <w:rsid w:val="42332E3A"/>
    <w:rsid w:val="427D40B5"/>
    <w:rsid w:val="42C27D1A"/>
    <w:rsid w:val="439B2A45"/>
    <w:rsid w:val="43B81849"/>
    <w:rsid w:val="44365E73"/>
    <w:rsid w:val="451F1453"/>
    <w:rsid w:val="45652C74"/>
    <w:rsid w:val="45763769"/>
    <w:rsid w:val="4597548E"/>
    <w:rsid w:val="45A02594"/>
    <w:rsid w:val="462F1B6A"/>
    <w:rsid w:val="464B7318"/>
    <w:rsid w:val="47217705"/>
    <w:rsid w:val="47FE35A2"/>
    <w:rsid w:val="4823125B"/>
    <w:rsid w:val="483671E0"/>
    <w:rsid w:val="48746863"/>
    <w:rsid w:val="48B12D0A"/>
    <w:rsid w:val="48B65D2E"/>
    <w:rsid w:val="49D071C0"/>
    <w:rsid w:val="49DE7B2F"/>
    <w:rsid w:val="49F424A8"/>
    <w:rsid w:val="49F904C5"/>
    <w:rsid w:val="4A1C2405"/>
    <w:rsid w:val="4ABB39CC"/>
    <w:rsid w:val="4AC9298F"/>
    <w:rsid w:val="4B335C59"/>
    <w:rsid w:val="4B493608"/>
    <w:rsid w:val="4B555BCF"/>
    <w:rsid w:val="4BCE14DD"/>
    <w:rsid w:val="4C39729F"/>
    <w:rsid w:val="4C9646F1"/>
    <w:rsid w:val="4D096C71"/>
    <w:rsid w:val="4D2B45C3"/>
    <w:rsid w:val="4DC94652"/>
    <w:rsid w:val="4DE4323A"/>
    <w:rsid w:val="4E061402"/>
    <w:rsid w:val="4E1E674C"/>
    <w:rsid w:val="4E45017D"/>
    <w:rsid w:val="4F26459F"/>
    <w:rsid w:val="4F512B51"/>
    <w:rsid w:val="4F6E3703"/>
    <w:rsid w:val="505C7A00"/>
    <w:rsid w:val="51465525"/>
    <w:rsid w:val="51EA1F63"/>
    <w:rsid w:val="524977E8"/>
    <w:rsid w:val="53227BED"/>
    <w:rsid w:val="53642E53"/>
    <w:rsid w:val="53BD6A07"/>
    <w:rsid w:val="550F5041"/>
    <w:rsid w:val="551560AA"/>
    <w:rsid w:val="55410F72"/>
    <w:rsid w:val="558E1B65"/>
    <w:rsid w:val="55A559A5"/>
    <w:rsid w:val="560B1CAC"/>
    <w:rsid w:val="564822B6"/>
    <w:rsid w:val="56E55F4F"/>
    <w:rsid w:val="57802226"/>
    <w:rsid w:val="57AD28EF"/>
    <w:rsid w:val="57D63BF4"/>
    <w:rsid w:val="583D0117"/>
    <w:rsid w:val="58B8779D"/>
    <w:rsid w:val="590D7AE9"/>
    <w:rsid w:val="59101387"/>
    <w:rsid w:val="598A113A"/>
    <w:rsid w:val="59AF0BA0"/>
    <w:rsid w:val="5A731BCE"/>
    <w:rsid w:val="5AA4622B"/>
    <w:rsid w:val="5AE26D53"/>
    <w:rsid w:val="5B372BFB"/>
    <w:rsid w:val="5BB85C75"/>
    <w:rsid w:val="5BD11AA4"/>
    <w:rsid w:val="5C4C0928"/>
    <w:rsid w:val="5D8C7ADA"/>
    <w:rsid w:val="5DF2411B"/>
    <w:rsid w:val="5FD17AC2"/>
    <w:rsid w:val="5FE95E21"/>
    <w:rsid w:val="601E5FEC"/>
    <w:rsid w:val="602776E2"/>
    <w:rsid w:val="60491497"/>
    <w:rsid w:val="607E751E"/>
    <w:rsid w:val="60A14042"/>
    <w:rsid w:val="60DA0450"/>
    <w:rsid w:val="61954B1F"/>
    <w:rsid w:val="624A590A"/>
    <w:rsid w:val="62960B4F"/>
    <w:rsid w:val="62966DA1"/>
    <w:rsid w:val="63B60F7A"/>
    <w:rsid w:val="64137F7D"/>
    <w:rsid w:val="64801AB7"/>
    <w:rsid w:val="64D140C0"/>
    <w:rsid w:val="650C6EA7"/>
    <w:rsid w:val="656F7435"/>
    <w:rsid w:val="65856C59"/>
    <w:rsid w:val="65B37C6A"/>
    <w:rsid w:val="65C6799D"/>
    <w:rsid w:val="65D976D1"/>
    <w:rsid w:val="66680A54"/>
    <w:rsid w:val="66C961AA"/>
    <w:rsid w:val="6716225F"/>
    <w:rsid w:val="6731781D"/>
    <w:rsid w:val="67B664A1"/>
    <w:rsid w:val="67F26828"/>
    <w:rsid w:val="68095B31"/>
    <w:rsid w:val="688651C2"/>
    <w:rsid w:val="698B192D"/>
    <w:rsid w:val="6A2D2F30"/>
    <w:rsid w:val="6A721EA2"/>
    <w:rsid w:val="6AC4614D"/>
    <w:rsid w:val="6AF1726A"/>
    <w:rsid w:val="6B036F9E"/>
    <w:rsid w:val="6B2D6E6C"/>
    <w:rsid w:val="6B3C7DBA"/>
    <w:rsid w:val="6B5A2584"/>
    <w:rsid w:val="6B6A2B79"/>
    <w:rsid w:val="6BC24763"/>
    <w:rsid w:val="6BC93D43"/>
    <w:rsid w:val="6BCF2DD3"/>
    <w:rsid w:val="6BD66460"/>
    <w:rsid w:val="6C1D5E3D"/>
    <w:rsid w:val="6CF920E8"/>
    <w:rsid w:val="6D800432"/>
    <w:rsid w:val="6DBB590E"/>
    <w:rsid w:val="6E35746E"/>
    <w:rsid w:val="6E8C1058"/>
    <w:rsid w:val="6ED00F45"/>
    <w:rsid w:val="6EDC3D8E"/>
    <w:rsid w:val="70B7060E"/>
    <w:rsid w:val="70CB230C"/>
    <w:rsid w:val="71662149"/>
    <w:rsid w:val="71CF1988"/>
    <w:rsid w:val="723143F0"/>
    <w:rsid w:val="72824C4C"/>
    <w:rsid w:val="72994DC2"/>
    <w:rsid w:val="72B648F6"/>
    <w:rsid w:val="733F0D8F"/>
    <w:rsid w:val="73B8604B"/>
    <w:rsid w:val="74145D78"/>
    <w:rsid w:val="74213FF1"/>
    <w:rsid w:val="74343D24"/>
    <w:rsid w:val="74505DF9"/>
    <w:rsid w:val="745443C6"/>
    <w:rsid w:val="75232716"/>
    <w:rsid w:val="75271ADB"/>
    <w:rsid w:val="75F06371"/>
    <w:rsid w:val="760B4F58"/>
    <w:rsid w:val="76497D1C"/>
    <w:rsid w:val="76A01B45"/>
    <w:rsid w:val="76AA4771"/>
    <w:rsid w:val="76CE249E"/>
    <w:rsid w:val="76F8372F"/>
    <w:rsid w:val="77112A42"/>
    <w:rsid w:val="77244524"/>
    <w:rsid w:val="778B00FF"/>
    <w:rsid w:val="779C055E"/>
    <w:rsid w:val="77EF68E0"/>
    <w:rsid w:val="780F6F82"/>
    <w:rsid w:val="784B19A6"/>
    <w:rsid w:val="791D56CF"/>
    <w:rsid w:val="794B223C"/>
    <w:rsid w:val="7A344A7E"/>
    <w:rsid w:val="7AB43E11"/>
    <w:rsid w:val="7B7F61CD"/>
    <w:rsid w:val="7BFF10BB"/>
    <w:rsid w:val="7C09018C"/>
    <w:rsid w:val="7C5C02BC"/>
    <w:rsid w:val="7DED1B13"/>
    <w:rsid w:val="7ECF76A3"/>
    <w:rsid w:val="7EEC1DCB"/>
    <w:rsid w:val="7F45772D"/>
    <w:rsid w:val="7F9147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2"/>
    <w:semiHidden/>
    <w:unhideWhenUsed/>
    <w:qFormat/>
    <w:uiPriority w:val="99"/>
    <w:pPr>
      <w:ind w:left="100" w:leftChars="2500"/>
    </w:pPr>
  </w:style>
  <w:style w:type="paragraph" w:styleId="3">
    <w:name w:val="Balloon Text"/>
    <w:basedOn w:val="1"/>
    <w:link w:val="14"/>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Hyperlink"/>
    <w:basedOn w:val="8"/>
    <w:unhideWhenUsed/>
    <w:qFormat/>
    <w:uiPriority w:val="99"/>
    <w:rPr>
      <w:color w:val="0000FF" w:themeColor="hyperlink"/>
      <w:u w:val="single"/>
      <w14:textFill>
        <w14:solidFill>
          <w14:schemeClr w14:val="hlink"/>
        </w14:solidFill>
      </w14:textFill>
    </w:rPr>
  </w:style>
  <w:style w:type="character" w:customStyle="1" w:styleId="10">
    <w:name w:val="页眉 字符"/>
    <w:basedOn w:val="8"/>
    <w:link w:val="5"/>
    <w:qFormat/>
    <w:uiPriority w:val="99"/>
    <w:rPr>
      <w:sz w:val="18"/>
      <w:szCs w:val="18"/>
    </w:rPr>
  </w:style>
  <w:style w:type="character" w:customStyle="1" w:styleId="11">
    <w:name w:val="页脚 字符"/>
    <w:basedOn w:val="8"/>
    <w:link w:val="4"/>
    <w:qFormat/>
    <w:uiPriority w:val="99"/>
    <w:rPr>
      <w:sz w:val="18"/>
      <w:szCs w:val="18"/>
    </w:rPr>
  </w:style>
  <w:style w:type="character" w:customStyle="1" w:styleId="12">
    <w:name w:val="日期 字符"/>
    <w:basedOn w:val="8"/>
    <w:link w:val="2"/>
    <w:semiHidden/>
    <w:qFormat/>
    <w:uiPriority w:val="99"/>
  </w:style>
  <w:style w:type="paragraph" w:styleId="13">
    <w:name w:val="List Paragraph"/>
    <w:basedOn w:val="1"/>
    <w:qFormat/>
    <w:uiPriority w:val="99"/>
    <w:pPr>
      <w:ind w:firstLine="420" w:firstLineChars="200"/>
    </w:pPr>
  </w:style>
  <w:style w:type="character" w:customStyle="1" w:styleId="14">
    <w:name w:val="批注框文本 字符"/>
    <w:basedOn w:val="8"/>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13</Pages>
  <Words>7771</Words>
  <Characters>8236</Characters>
  <Lines>859</Lines>
  <Paragraphs>612</Paragraphs>
  <TotalTime>206</TotalTime>
  <ScaleCrop>false</ScaleCrop>
  <LinksUpToDate>false</LinksUpToDate>
  <CharactersWithSpaces>8325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2023-03-23T05:29:00Z</dcterms:created>
  <dc:creator>Administrator</dc:creator>
  <cp:lastModifiedBy>阿妍.</cp:lastModifiedBy>
  <dcterms:modified xsi:type="dcterms:W3CDTF">2025-12-03T02:16:47Z</dcterms:modified>
  <cp:revision>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9F9501363EF5472EAC48BC232E0AEABD_13</vt:lpwstr>
  </property>
  <property fmtid="{D5CDD505-2E9C-101B-9397-08002B2CF9AE}" pid="4" name="KSOTemplateDocerSaveRecord">
    <vt:lpwstr>eyJoZGlkIjoiZWRkOGFkZGJlNTE2MTA1ZDNiOTQwNjQzNThhNWFkNDUiLCJ1c2VySWQiOiI0NTQ5NTI5MjUifQ==</vt:lpwstr>
  </property>
</Properties>
</file>