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D6BF3" w14:textId="77777777" w:rsidR="00475C23" w:rsidRDefault="00000000">
      <w:pPr>
        <w:spacing w:line="560" w:lineRule="exact"/>
        <w:jc w:val="center"/>
        <w:rPr>
          <w:rFonts w:ascii="仿宋" w:eastAsia="仿宋" w:hAnsi="仿宋" w:cstheme="majorEastAsia"/>
          <w:b/>
          <w:bCs/>
          <w:sz w:val="36"/>
          <w:szCs w:val="36"/>
        </w:rPr>
      </w:pPr>
      <w:r>
        <w:rPr>
          <w:rFonts w:ascii="仿宋" w:eastAsia="仿宋" w:hAnsi="仿宋" w:cstheme="majorEastAsia" w:hint="eastAsia"/>
          <w:b/>
          <w:bCs/>
          <w:sz w:val="36"/>
          <w:szCs w:val="36"/>
        </w:rPr>
        <w:t>天津海泰环保科技发展股份有限公司破产重整案</w:t>
      </w:r>
    </w:p>
    <w:p w14:paraId="1DF3055F" w14:textId="77777777" w:rsidR="00475C23" w:rsidRDefault="00000000">
      <w:pPr>
        <w:spacing w:line="560" w:lineRule="exact"/>
        <w:jc w:val="center"/>
        <w:rPr>
          <w:rFonts w:ascii="仿宋" w:eastAsia="仿宋" w:hAnsi="仿宋" w:cstheme="majorEastAsia"/>
          <w:b/>
          <w:bCs/>
          <w:sz w:val="36"/>
          <w:szCs w:val="36"/>
        </w:rPr>
      </w:pPr>
      <w:r>
        <w:rPr>
          <w:rFonts w:ascii="仿宋" w:eastAsia="仿宋" w:hAnsi="仿宋" w:cstheme="majorEastAsia" w:hint="eastAsia"/>
          <w:b/>
          <w:bCs/>
          <w:sz w:val="36"/>
          <w:szCs w:val="36"/>
        </w:rPr>
        <w:t>招募投资人公告</w:t>
      </w:r>
    </w:p>
    <w:p w14:paraId="0F21DAEB" w14:textId="77777777" w:rsidR="00475C23" w:rsidRDefault="00475C23">
      <w:pPr>
        <w:spacing w:line="560" w:lineRule="exact"/>
        <w:jc w:val="center"/>
        <w:rPr>
          <w:rFonts w:ascii="仿宋" w:eastAsia="仿宋" w:hAnsi="仿宋" w:cstheme="majorEastAsia"/>
          <w:b/>
          <w:bCs/>
          <w:sz w:val="36"/>
          <w:szCs w:val="36"/>
        </w:rPr>
      </w:pPr>
    </w:p>
    <w:p w14:paraId="20D81C79"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天津市滨海新区人民法院于2025年10月11日作出（2025）津0116破申49号《民事裁定书》，裁定受理申请人天津海泰环保科技发展股份有限公司（以下称“海泰环保”或“债务人”）破产重整申请，并于2025年10月21日以（2025）津0116破31号《决定书》，指定北京中伦文德（天津）律师事务所担任海泰环保的管理人。</w:t>
      </w:r>
    </w:p>
    <w:p w14:paraId="1DC92327"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为维护海泰环保全体债权人利益，提升重整价值，实现资源有效整合，盘活资产。管理人依据《中华人民共和国企业破产法》及相关法律规定，决定面向社会公开招募重整投资人，现就招募事项公告如下：</w:t>
      </w:r>
    </w:p>
    <w:p w14:paraId="485656CD" w14:textId="77777777" w:rsidR="00475C23" w:rsidRDefault="00000000">
      <w:pPr>
        <w:spacing w:line="560" w:lineRule="exact"/>
        <w:ind w:firstLineChars="200" w:firstLine="562"/>
        <w:rPr>
          <w:rFonts w:ascii="仿宋" w:eastAsia="仿宋" w:hAnsi="仿宋" w:cstheme="majorEastAsia"/>
          <w:b/>
          <w:bCs/>
          <w:sz w:val="28"/>
          <w:szCs w:val="28"/>
        </w:rPr>
      </w:pPr>
      <w:r>
        <w:rPr>
          <w:rFonts w:ascii="仿宋" w:eastAsia="仿宋" w:hAnsi="仿宋" w:cstheme="majorEastAsia" w:hint="eastAsia"/>
          <w:b/>
          <w:bCs/>
          <w:sz w:val="28"/>
          <w:szCs w:val="28"/>
        </w:rPr>
        <w:t>一、招募须知</w:t>
      </w:r>
    </w:p>
    <w:p w14:paraId="334CC2D3"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（一）本次招募投资人以公开方式进行，并接受各方的监督，本次招募公告内容对全体意向投资人平等适用，具有同等效力。</w:t>
      </w:r>
    </w:p>
    <w:p w14:paraId="22DAF604"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（二）凡有意向的投资人，可在破产程序内，对债务人进行重整，具体方式面议。</w:t>
      </w:r>
    </w:p>
    <w:p w14:paraId="451CB75E"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（三）本招募公告由管理人负责解释。</w:t>
      </w:r>
    </w:p>
    <w:p w14:paraId="79B368A9" w14:textId="77777777" w:rsidR="00475C23" w:rsidRDefault="00000000">
      <w:pPr>
        <w:spacing w:line="560" w:lineRule="exact"/>
        <w:ind w:firstLineChars="200" w:firstLine="562"/>
        <w:rPr>
          <w:rFonts w:ascii="仿宋" w:eastAsia="仿宋" w:hAnsi="仿宋" w:cstheme="majorEastAsia"/>
          <w:b/>
          <w:bCs/>
          <w:sz w:val="28"/>
          <w:szCs w:val="28"/>
        </w:rPr>
      </w:pPr>
      <w:r>
        <w:rPr>
          <w:rFonts w:ascii="仿宋" w:eastAsia="仿宋" w:hAnsi="仿宋" w:cstheme="majorEastAsia" w:hint="eastAsia"/>
          <w:b/>
          <w:bCs/>
          <w:sz w:val="28"/>
          <w:szCs w:val="28"/>
        </w:rPr>
        <w:t>二、海泰环保概况</w:t>
      </w:r>
    </w:p>
    <w:p w14:paraId="72C32197" w14:textId="77777777" w:rsidR="00475C23" w:rsidRDefault="00000000">
      <w:pPr>
        <w:spacing w:line="560" w:lineRule="exact"/>
        <w:ind w:firstLineChars="200" w:firstLine="560"/>
        <w:rPr>
          <w:rFonts w:ascii="仿宋" w:eastAsia="仿宋" w:hAnsi="仿宋" w:cstheme="majorEastAsia"/>
          <w:b/>
          <w:bCs/>
          <w:sz w:val="28"/>
          <w:szCs w:val="28"/>
        </w:rPr>
      </w:pPr>
      <w:r>
        <w:rPr>
          <w:rFonts w:ascii="仿宋" w:eastAsia="仿宋" w:hAnsi="仿宋" w:cstheme="majorEastAsia" w:hint="eastAsia"/>
          <w:sz w:val="28"/>
          <w:szCs w:val="28"/>
        </w:rPr>
        <w:t>海泰环保成立于2005年5月30日，住所地为天津新技术产业园区华苑产业区（环外部分）04号地块，企业类型为股份有限公司（中外合资、未上市），注册资本为17794.62万元人民币。经营范围为环境保护、新材料技术开发、咨询、服务；五金、交电、化工（危险品及易制毒除外）、橡塑制品、机械设备批发及进出口；企业管理咨询；展览服务；废轮胎胶粉改性沥青及改性沥青设备研发、生产、销售及仓储（限区外经营）；市政（公路）工程设计、施工；沥青及混合料生产及销售；机械设备租赁。</w:t>
      </w:r>
    </w:p>
    <w:p w14:paraId="42EC83FC"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lastRenderedPageBreak/>
        <w:t>海泰环保主要从事再生资源回收利用，是国家再生资源综合利用首批项目试点企业，小巨人领军企业，并列入国家资源再生利用重大示范工程。海泰环保专注于废旧轮胎资源综合利用领域的应用技术的研发与推广，致力于废旧轮胎胶粉改性沥青资源化循环利用技术与装备的研究与产业化。主持了国家 863 计划、国家发改委、科技部等十几项重大科技计划项目，开发出产品“节能环保废轮胎胶粉改性沥青路面新材料技术”，具有专有技术等相关专利，市场认同度高，具有成熟的营销体系以及未来市场拓展空间巨大。海泰环保持有湖北、四川两处位于国家级产业园的稀缺土地、厂房及已投产生产线，资产实体价值明确。</w:t>
      </w:r>
    </w:p>
    <w:p w14:paraId="06902435" w14:textId="77777777" w:rsidR="00475C23" w:rsidRDefault="00000000">
      <w:pPr>
        <w:spacing w:line="560" w:lineRule="exact"/>
        <w:ind w:firstLineChars="200" w:firstLine="562"/>
        <w:rPr>
          <w:rFonts w:ascii="仿宋" w:eastAsia="仿宋" w:hAnsi="仿宋" w:cstheme="majorEastAsia"/>
          <w:b/>
          <w:bCs/>
          <w:sz w:val="28"/>
          <w:szCs w:val="28"/>
        </w:rPr>
      </w:pPr>
      <w:r>
        <w:rPr>
          <w:rFonts w:ascii="仿宋" w:eastAsia="仿宋" w:hAnsi="仿宋" w:cstheme="majorEastAsia" w:hint="eastAsia"/>
          <w:b/>
          <w:bCs/>
          <w:sz w:val="28"/>
          <w:szCs w:val="28"/>
        </w:rPr>
        <w:t>三、意向投资人报名资格及要求</w:t>
      </w:r>
    </w:p>
    <w:p w14:paraId="62C9A792"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（一）依法成立并有效存续的企业法人，具有较高的社会责任感和良好的商业信誉，未列入失信行为人等；</w:t>
      </w:r>
    </w:p>
    <w:p w14:paraId="6D2E6D38"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二）意向投资人应向管理人提交投资意向书和证明符合投资人条件的企业资料。投资意向书应当包括投资者企业基本情况介绍、资金实力说明、愿出资参与天津海泰环保科技发展股份有限公司重整的意愿以及同意对知悉的天津海泰环保科技发展股份有限公司情况予以保密并愿意签订保密协议等内容；</w:t>
      </w:r>
    </w:p>
    <w:p w14:paraId="2920EDBD"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（三）载明受托人姓名、联系方式、职务、授权范围的书面授权委托书及受托人身份证明。</w:t>
      </w:r>
    </w:p>
    <w:p w14:paraId="6F4D30D1"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（四）报名时间、地点及联系人</w:t>
      </w:r>
    </w:p>
    <w:p w14:paraId="7F56B4DD"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1.报名时间：公告发布之日起30个自然日；</w:t>
      </w:r>
    </w:p>
    <w:p w14:paraId="3C65748D"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2.报名地点：天津市南开区长江道与三马路交口金融街融汇广场A座38层。</w:t>
      </w:r>
    </w:p>
    <w:p w14:paraId="1B351F37"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3.联系人：程天麟 15122080329</w:t>
      </w:r>
    </w:p>
    <w:p w14:paraId="5FFB3A39" w14:textId="77777777" w:rsidR="00475C23" w:rsidRDefault="00000000">
      <w:pPr>
        <w:spacing w:line="560" w:lineRule="exact"/>
        <w:ind w:firstLineChars="200" w:firstLine="562"/>
        <w:rPr>
          <w:rFonts w:ascii="仿宋" w:eastAsia="仿宋" w:hAnsi="仿宋" w:cstheme="majorEastAsia"/>
          <w:b/>
          <w:bCs/>
          <w:sz w:val="28"/>
          <w:szCs w:val="28"/>
        </w:rPr>
      </w:pPr>
      <w:r>
        <w:rPr>
          <w:rFonts w:ascii="仿宋" w:eastAsia="仿宋" w:hAnsi="仿宋" w:cstheme="majorEastAsia" w:hint="eastAsia"/>
          <w:b/>
          <w:bCs/>
          <w:sz w:val="28"/>
          <w:szCs w:val="28"/>
        </w:rPr>
        <w:t>四、后续安排</w:t>
      </w:r>
    </w:p>
    <w:p w14:paraId="43F59438" w14:textId="3685D174"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lastRenderedPageBreak/>
        <w:t>（一）经审查，符合报名条件的意向投资人需在收到管理人通知后在规定期限内向管理人交纳报名保证金</w:t>
      </w:r>
      <w:r w:rsidR="00582DD0">
        <w:rPr>
          <w:rFonts w:ascii="仿宋" w:eastAsia="仿宋" w:hAnsi="仿宋" w:cstheme="majorEastAsia" w:hint="eastAsia"/>
          <w:sz w:val="28"/>
          <w:szCs w:val="28"/>
        </w:rPr>
        <w:t>5</w:t>
      </w:r>
      <w:r>
        <w:rPr>
          <w:rFonts w:ascii="仿宋" w:eastAsia="仿宋" w:hAnsi="仿宋" w:cstheme="majorEastAsia" w:hint="eastAsia"/>
          <w:sz w:val="28"/>
          <w:szCs w:val="28"/>
        </w:rPr>
        <w:t>0万元，未按期交纳的，视为放弃报名；意向投资人在交纳保证金后放弃参与重整的，应当以书面方式通知管理人。</w:t>
      </w:r>
    </w:p>
    <w:p w14:paraId="3F43F752"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（二）交纳保证金的意向投资人在向管理人提交《保密承诺函》后，可以对天津海泰环保科技发展股份有限公司进行尽职调查。</w:t>
      </w:r>
    </w:p>
    <w:p w14:paraId="2D73C980"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三）成功报名的意向投资人根据尽职调查结果，结合自身商业判断，在管理人规定时间内提交具有可操作性的且不可撤销的《重整报价方案》，意向投资人提交《重整报价方案》前，应当向管理人账户交纳重整报价保证金500万元，未交纳重整报价保证金的意向投资人提交的《重整报价方案》为无效报价，管理人不予评审。《重整报价方案》提交期限届满之日起5日内管理人向交纳报名保证金的意向投资人退还报名保证金。</w:t>
      </w:r>
    </w:p>
    <w:p w14:paraId="4E05FCA1"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四）管理人对意向投资人提交的《重整报价方案》进行评审，根据评审结果择优确定推荐重整投资人，并完成《重整计划草案》的编制工作，提交给法院和债权人会议审议。管理人推荐重整投资人时，可视情况设定轮候重整投资人。</w:t>
      </w:r>
    </w:p>
    <w:p w14:paraId="56B9911E"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（五）管理人应在选定最终重整投资人后5个自然日内，将未被确定为重整投资人所交纳的重整报价保证金本金退还给交纳人。</w:t>
      </w:r>
    </w:p>
    <w:p w14:paraId="28010391"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（六）如因最终重整投资人的原因导致《重整计划草案》无法履行的，管理人已经向该最终重整投资人收取的保证金不予退还。</w:t>
      </w:r>
    </w:p>
    <w:p w14:paraId="49F29915" w14:textId="77777777" w:rsidR="00475C23" w:rsidRDefault="00000000">
      <w:pPr>
        <w:spacing w:line="560" w:lineRule="exact"/>
        <w:ind w:firstLineChars="200" w:firstLine="560"/>
        <w:rPr>
          <w:rFonts w:ascii="仿宋" w:eastAsia="仿宋" w:hAnsi="仿宋" w:cstheme="majorEastAsia"/>
          <w:sz w:val="28"/>
          <w:szCs w:val="28"/>
        </w:rPr>
      </w:pPr>
      <w:r>
        <w:rPr>
          <w:rFonts w:ascii="仿宋" w:eastAsia="仿宋" w:hAnsi="仿宋" w:cstheme="majorEastAsia" w:hint="eastAsia"/>
          <w:sz w:val="28"/>
          <w:szCs w:val="28"/>
        </w:rPr>
        <w:t>（七）如《重整计划草案》未能获得债权人会议表决通过或未能获得人民法院强制批准的，管理人于5个工作日内退还重整报价保证金本金。</w:t>
      </w:r>
    </w:p>
    <w:p w14:paraId="7AE79870" w14:textId="77777777" w:rsidR="00475C23" w:rsidRDefault="00475C23">
      <w:pPr>
        <w:spacing w:line="560" w:lineRule="exact"/>
        <w:ind w:firstLineChars="1000" w:firstLine="2800"/>
        <w:rPr>
          <w:rFonts w:ascii="仿宋" w:eastAsia="仿宋" w:hAnsi="仿宋" w:cstheme="majorEastAsia"/>
          <w:sz w:val="28"/>
          <w:szCs w:val="28"/>
        </w:rPr>
      </w:pPr>
    </w:p>
    <w:p w14:paraId="21CFEA6A" w14:textId="77777777" w:rsidR="00475C23" w:rsidRDefault="00000000" w:rsidP="000445B5">
      <w:pPr>
        <w:spacing w:line="560" w:lineRule="exact"/>
        <w:ind w:firstLineChars="1300" w:firstLine="3640"/>
        <w:rPr>
          <w:rFonts w:ascii="仿宋" w:eastAsia="仿宋" w:hAnsi="仿宋" w:cstheme="majorEastAsia"/>
          <w:sz w:val="28"/>
          <w:szCs w:val="28"/>
        </w:rPr>
      </w:pPr>
      <w:r>
        <w:rPr>
          <w:rFonts w:ascii="仿宋" w:eastAsia="仿宋" w:hAnsi="仿宋" w:cstheme="majorEastAsia" w:hint="eastAsia"/>
          <w:sz w:val="28"/>
          <w:szCs w:val="28"/>
        </w:rPr>
        <w:t>天津海泰环保科技发展股份有限公司管理人</w:t>
      </w:r>
    </w:p>
    <w:p w14:paraId="4060A35F" w14:textId="77777777" w:rsidR="00475C23" w:rsidRDefault="00000000">
      <w:pPr>
        <w:spacing w:line="560" w:lineRule="exact"/>
        <w:ind w:firstLineChars="1700" w:firstLine="4760"/>
        <w:rPr>
          <w:rFonts w:ascii="仿宋" w:eastAsia="仿宋" w:hAnsi="仿宋" w:cstheme="majorEastAsia"/>
          <w:sz w:val="28"/>
          <w:szCs w:val="28"/>
        </w:rPr>
      </w:pPr>
      <w:r>
        <w:rPr>
          <w:rFonts w:ascii="仿宋" w:eastAsia="仿宋" w:hAnsi="仿宋" w:cstheme="majorEastAsia" w:hint="eastAsia"/>
          <w:sz w:val="28"/>
          <w:szCs w:val="28"/>
        </w:rPr>
        <w:t>二〇二五年十二月九日</w:t>
      </w:r>
    </w:p>
    <w:sectPr w:rsidR="00475C23">
      <w:footerReference w:type="default" r:id="rId7"/>
      <w:pgSz w:w="11906" w:h="16838"/>
      <w:pgMar w:top="1327" w:right="1406" w:bottom="1327" w:left="129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9E82" w14:textId="77777777" w:rsidR="009B4468" w:rsidRDefault="009B4468">
      <w:r>
        <w:separator/>
      </w:r>
    </w:p>
  </w:endnote>
  <w:endnote w:type="continuationSeparator" w:id="0">
    <w:p w14:paraId="7CFED7B5" w14:textId="77777777" w:rsidR="009B4468" w:rsidRDefault="009B4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ingFang SC">
    <w:altName w:val="微软雅黑"/>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variable"/>
    <w:sig w:usb0="E50002FF" w:usb1="500079DB" w:usb2="00000010" w:usb3="00000000" w:csb0="0000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2AE22" w14:textId="77777777" w:rsidR="00475C23" w:rsidRDefault="00000000">
    <w:pPr>
      <w:pStyle w:val="a5"/>
    </w:pPr>
    <w:r>
      <w:rPr>
        <w:noProof/>
      </w:rPr>
      <mc:AlternateContent>
        <mc:Choice Requires="wps">
          <w:drawing>
            <wp:anchor distT="0" distB="0" distL="114300" distR="114300" simplePos="0" relativeHeight="251659264" behindDoc="0" locked="0" layoutInCell="1" allowOverlap="1" wp14:anchorId="3B8D0AC9" wp14:editId="2CE382BC">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1B253D" w14:textId="77777777" w:rsidR="00475C23" w:rsidRDefault="00000000">
                          <w:pPr>
                            <w:pStyle w:val="a5"/>
                          </w:pPr>
                          <w:r>
                            <w:t>第</w:t>
                          </w:r>
                          <w:r>
                            <w:t xml:space="preserve"> </w:t>
                          </w:r>
                          <w:r>
                            <w:fldChar w:fldCharType="begin"/>
                          </w:r>
                          <w:r>
                            <w:instrText xml:space="preserve"> PAGE  \* MERGEFORMAT </w:instrText>
                          </w:r>
                          <w:r>
                            <w:fldChar w:fldCharType="separate"/>
                          </w:r>
                          <w:r>
                            <w:t>- 1 -</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6A55A7D">
                    <w:pPr>
                      <w:pStyle w:val="4"/>
                    </w:pPr>
                    <w:r>
                      <w:t xml:space="preserve">第 </w:t>
                    </w:r>
                    <w:r>
                      <w:fldChar w:fldCharType="begin"/>
                    </w:r>
                    <w:r>
                      <w:instrText xml:space="preserve"> PAGE  \* MERGEFORMAT </w:instrText>
                    </w:r>
                    <w:r>
                      <w:fldChar w:fldCharType="separate"/>
                    </w:r>
                    <w:r>
                      <w:t>- 1 -</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DED24" w14:textId="77777777" w:rsidR="009B4468" w:rsidRDefault="009B4468">
      <w:r>
        <w:separator/>
      </w:r>
    </w:p>
  </w:footnote>
  <w:footnote w:type="continuationSeparator" w:id="0">
    <w:p w14:paraId="43E7E95D" w14:textId="77777777" w:rsidR="009B4468" w:rsidRDefault="009B44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embedSystemFonts/>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dmNTJlNmEyZGMzZTgwMDMzMjE3ZGI1MWUzMDRmYjIifQ=="/>
  </w:docVars>
  <w:rsids>
    <w:rsidRoot w:val="00131167"/>
    <w:rsid w:val="000445B5"/>
    <w:rsid w:val="00131167"/>
    <w:rsid w:val="002609FE"/>
    <w:rsid w:val="003C1711"/>
    <w:rsid w:val="00475C23"/>
    <w:rsid w:val="00497CCD"/>
    <w:rsid w:val="005206A1"/>
    <w:rsid w:val="00582DD0"/>
    <w:rsid w:val="00830E5A"/>
    <w:rsid w:val="009B4468"/>
    <w:rsid w:val="00E47441"/>
    <w:rsid w:val="05B72125"/>
    <w:rsid w:val="0AC24DB3"/>
    <w:rsid w:val="0D7FD252"/>
    <w:rsid w:val="0EFDD6DC"/>
    <w:rsid w:val="0FFD3104"/>
    <w:rsid w:val="13EFACCE"/>
    <w:rsid w:val="13F939F9"/>
    <w:rsid w:val="13FFF3E0"/>
    <w:rsid w:val="1BBA42E2"/>
    <w:rsid w:val="1BBB220B"/>
    <w:rsid w:val="1E7ACE31"/>
    <w:rsid w:val="1FBFE50A"/>
    <w:rsid w:val="1FF6D53B"/>
    <w:rsid w:val="23EFE914"/>
    <w:rsid w:val="26F1ACFD"/>
    <w:rsid w:val="27EDA641"/>
    <w:rsid w:val="2ACF96FA"/>
    <w:rsid w:val="2F0F7C72"/>
    <w:rsid w:val="2F6F7119"/>
    <w:rsid w:val="2FAFAA76"/>
    <w:rsid w:val="2FCEE2C5"/>
    <w:rsid w:val="2FF3BD2E"/>
    <w:rsid w:val="337B8253"/>
    <w:rsid w:val="34336D2E"/>
    <w:rsid w:val="357588B1"/>
    <w:rsid w:val="36BD6FA3"/>
    <w:rsid w:val="37DE7884"/>
    <w:rsid w:val="3BBF00A0"/>
    <w:rsid w:val="3BE8B78F"/>
    <w:rsid w:val="3D6E6742"/>
    <w:rsid w:val="3DDF3472"/>
    <w:rsid w:val="3EDF1026"/>
    <w:rsid w:val="3F3C4468"/>
    <w:rsid w:val="3F9FB77C"/>
    <w:rsid w:val="3FF7E6A0"/>
    <w:rsid w:val="46E02B43"/>
    <w:rsid w:val="471FDCC2"/>
    <w:rsid w:val="481E41DD"/>
    <w:rsid w:val="499283E0"/>
    <w:rsid w:val="4BFF2379"/>
    <w:rsid w:val="4E4FD484"/>
    <w:rsid w:val="4FF2C52A"/>
    <w:rsid w:val="4FFA90C0"/>
    <w:rsid w:val="51F5A0ED"/>
    <w:rsid w:val="557F9C58"/>
    <w:rsid w:val="5627908A"/>
    <w:rsid w:val="59CE5FA1"/>
    <w:rsid w:val="5AEF94A6"/>
    <w:rsid w:val="5B66A181"/>
    <w:rsid w:val="5BFE7C79"/>
    <w:rsid w:val="5D5F0B4E"/>
    <w:rsid w:val="5DEF9741"/>
    <w:rsid w:val="5F7B298E"/>
    <w:rsid w:val="5F7DB0FB"/>
    <w:rsid w:val="5F8EFF9B"/>
    <w:rsid w:val="5FDF96E7"/>
    <w:rsid w:val="5FF7D076"/>
    <w:rsid w:val="5FF85747"/>
    <w:rsid w:val="5FFB5E13"/>
    <w:rsid w:val="5FFF65A0"/>
    <w:rsid w:val="5FFF9739"/>
    <w:rsid w:val="5FFFFA37"/>
    <w:rsid w:val="63FF38B2"/>
    <w:rsid w:val="675B67A4"/>
    <w:rsid w:val="679B7545"/>
    <w:rsid w:val="67FDD742"/>
    <w:rsid w:val="69BB0334"/>
    <w:rsid w:val="6BCFEFE0"/>
    <w:rsid w:val="6BE323B8"/>
    <w:rsid w:val="6BE5ADF7"/>
    <w:rsid w:val="6BEE2891"/>
    <w:rsid w:val="6DF71E60"/>
    <w:rsid w:val="6DFFC3D9"/>
    <w:rsid w:val="6FB7FC0E"/>
    <w:rsid w:val="6FD33322"/>
    <w:rsid w:val="6FDB45BB"/>
    <w:rsid w:val="6FEAE6C0"/>
    <w:rsid w:val="6FED1A6D"/>
    <w:rsid w:val="6FEF478C"/>
    <w:rsid w:val="6FF67823"/>
    <w:rsid w:val="6FF99EA9"/>
    <w:rsid w:val="7277F674"/>
    <w:rsid w:val="736F8BDB"/>
    <w:rsid w:val="73AB04B4"/>
    <w:rsid w:val="755EDBD8"/>
    <w:rsid w:val="76B3C55B"/>
    <w:rsid w:val="76BB6C3C"/>
    <w:rsid w:val="76BE75AF"/>
    <w:rsid w:val="76FC773D"/>
    <w:rsid w:val="773D26E6"/>
    <w:rsid w:val="775ECC61"/>
    <w:rsid w:val="77B8C7D1"/>
    <w:rsid w:val="77CF7160"/>
    <w:rsid w:val="77DF8CE0"/>
    <w:rsid w:val="77EE0CD8"/>
    <w:rsid w:val="77F7E5E2"/>
    <w:rsid w:val="77FE74F7"/>
    <w:rsid w:val="77FEC483"/>
    <w:rsid w:val="77FF0C7F"/>
    <w:rsid w:val="797F2518"/>
    <w:rsid w:val="798E5346"/>
    <w:rsid w:val="79BFE3E2"/>
    <w:rsid w:val="79DAD5C0"/>
    <w:rsid w:val="79DEFBC0"/>
    <w:rsid w:val="79FB3153"/>
    <w:rsid w:val="79FFE0FE"/>
    <w:rsid w:val="7A7BD785"/>
    <w:rsid w:val="7AA98B0D"/>
    <w:rsid w:val="7ABE6C42"/>
    <w:rsid w:val="7AFEE588"/>
    <w:rsid w:val="7AFF165A"/>
    <w:rsid w:val="7B6F9533"/>
    <w:rsid w:val="7B9F9442"/>
    <w:rsid w:val="7BB28E30"/>
    <w:rsid w:val="7BDD23DB"/>
    <w:rsid w:val="7BFFA568"/>
    <w:rsid w:val="7D6D04E5"/>
    <w:rsid w:val="7D7BFF23"/>
    <w:rsid w:val="7D97C212"/>
    <w:rsid w:val="7DB752D9"/>
    <w:rsid w:val="7DBE8904"/>
    <w:rsid w:val="7DEB824B"/>
    <w:rsid w:val="7DFA5F09"/>
    <w:rsid w:val="7E73F2C7"/>
    <w:rsid w:val="7E9FFA2F"/>
    <w:rsid w:val="7ED285C4"/>
    <w:rsid w:val="7EE6B1D2"/>
    <w:rsid w:val="7F0FA55F"/>
    <w:rsid w:val="7F1EFAB8"/>
    <w:rsid w:val="7F6EA7EA"/>
    <w:rsid w:val="7F751A5E"/>
    <w:rsid w:val="7F79A360"/>
    <w:rsid w:val="7F7F5E4E"/>
    <w:rsid w:val="7F7F9B9B"/>
    <w:rsid w:val="7F7FF62A"/>
    <w:rsid w:val="7FBF8CAF"/>
    <w:rsid w:val="7FCB7275"/>
    <w:rsid w:val="7FDA5B98"/>
    <w:rsid w:val="7FEBC7D1"/>
    <w:rsid w:val="7FF731A9"/>
    <w:rsid w:val="8CFF08A1"/>
    <w:rsid w:val="95ABBD28"/>
    <w:rsid w:val="97BD89D3"/>
    <w:rsid w:val="97DBABC7"/>
    <w:rsid w:val="97FF736F"/>
    <w:rsid w:val="9A1F68E9"/>
    <w:rsid w:val="9ABB677E"/>
    <w:rsid w:val="9BFFACF3"/>
    <w:rsid w:val="9EFF096C"/>
    <w:rsid w:val="9FBD1D0A"/>
    <w:rsid w:val="A58B211B"/>
    <w:rsid w:val="A71FBFAB"/>
    <w:rsid w:val="A7EDC1E5"/>
    <w:rsid w:val="AFDF225F"/>
    <w:rsid w:val="AFFB6C66"/>
    <w:rsid w:val="B2EF75EB"/>
    <w:rsid w:val="B6DDB73B"/>
    <w:rsid w:val="B7ABC722"/>
    <w:rsid w:val="B7F627BB"/>
    <w:rsid w:val="B96BDBAE"/>
    <w:rsid w:val="B9B7B558"/>
    <w:rsid w:val="BA3F0478"/>
    <w:rsid w:val="BAA67CAA"/>
    <w:rsid w:val="BB5F26CE"/>
    <w:rsid w:val="BB87368A"/>
    <w:rsid w:val="BB943E33"/>
    <w:rsid w:val="BD3DE2B8"/>
    <w:rsid w:val="BD77E5DB"/>
    <w:rsid w:val="BD9E94CF"/>
    <w:rsid w:val="BDF31AE9"/>
    <w:rsid w:val="BDF4B46A"/>
    <w:rsid w:val="BF68D684"/>
    <w:rsid w:val="BF7F40E5"/>
    <w:rsid w:val="BF7FA77C"/>
    <w:rsid w:val="BFF7CAED"/>
    <w:rsid w:val="BFFF760A"/>
    <w:rsid w:val="BFFF8F15"/>
    <w:rsid w:val="C1FDCD64"/>
    <w:rsid w:val="C2D58731"/>
    <w:rsid w:val="C5B9534B"/>
    <w:rsid w:val="C73FCEB1"/>
    <w:rsid w:val="C77F8365"/>
    <w:rsid w:val="CCFBA808"/>
    <w:rsid w:val="CCFF403D"/>
    <w:rsid w:val="CDF7BD1D"/>
    <w:rsid w:val="CEADA3E0"/>
    <w:rsid w:val="CFEE45FF"/>
    <w:rsid w:val="D6FF6261"/>
    <w:rsid w:val="D77BFD83"/>
    <w:rsid w:val="DD6E70FF"/>
    <w:rsid w:val="DDFF6F6D"/>
    <w:rsid w:val="DEF59F46"/>
    <w:rsid w:val="DF5B467C"/>
    <w:rsid w:val="DFBE7DC7"/>
    <w:rsid w:val="DFE6BED8"/>
    <w:rsid w:val="DFEB73FC"/>
    <w:rsid w:val="DFF6F0CF"/>
    <w:rsid w:val="DFFFEE6A"/>
    <w:rsid w:val="E2364371"/>
    <w:rsid w:val="E5FF784B"/>
    <w:rsid w:val="E6B9F6EE"/>
    <w:rsid w:val="E73653B5"/>
    <w:rsid w:val="E73FF402"/>
    <w:rsid w:val="E97B8144"/>
    <w:rsid w:val="EAFB73CE"/>
    <w:rsid w:val="EAFF4C90"/>
    <w:rsid w:val="EBDF3D98"/>
    <w:rsid w:val="EBF70162"/>
    <w:rsid w:val="EBFF8473"/>
    <w:rsid w:val="ECBC85D7"/>
    <w:rsid w:val="EDD5C005"/>
    <w:rsid w:val="EDEA0C8F"/>
    <w:rsid w:val="EEBED0E7"/>
    <w:rsid w:val="EEBF165B"/>
    <w:rsid w:val="EEBFD69D"/>
    <w:rsid w:val="EF5F4E3D"/>
    <w:rsid w:val="EF6E8C5B"/>
    <w:rsid w:val="EF7B30B4"/>
    <w:rsid w:val="EFAF9ACC"/>
    <w:rsid w:val="EFFBA9CC"/>
    <w:rsid w:val="EFFE3B72"/>
    <w:rsid w:val="EFFF7840"/>
    <w:rsid w:val="F2FF63BA"/>
    <w:rsid w:val="F3F75ADB"/>
    <w:rsid w:val="F4554A20"/>
    <w:rsid w:val="F5BBBC09"/>
    <w:rsid w:val="F5FEFC81"/>
    <w:rsid w:val="F67ECDC7"/>
    <w:rsid w:val="F6D44943"/>
    <w:rsid w:val="F6D97397"/>
    <w:rsid w:val="F77EF2AA"/>
    <w:rsid w:val="F7B716AD"/>
    <w:rsid w:val="F7E65DB6"/>
    <w:rsid w:val="F7EB2BEF"/>
    <w:rsid w:val="F7EDE6E1"/>
    <w:rsid w:val="F7F55F57"/>
    <w:rsid w:val="F7FB84F1"/>
    <w:rsid w:val="F7FD6BE5"/>
    <w:rsid w:val="F7FE2D7F"/>
    <w:rsid w:val="F873912E"/>
    <w:rsid w:val="F9FFE1F9"/>
    <w:rsid w:val="FA992F88"/>
    <w:rsid w:val="FA993B14"/>
    <w:rsid w:val="FAECE8B4"/>
    <w:rsid w:val="FB7F1372"/>
    <w:rsid w:val="FBBFF890"/>
    <w:rsid w:val="FBFF8650"/>
    <w:rsid w:val="FD3F1A71"/>
    <w:rsid w:val="FD6172CC"/>
    <w:rsid w:val="FD89019C"/>
    <w:rsid w:val="FDD1F19D"/>
    <w:rsid w:val="FDFF0ACC"/>
    <w:rsid w:val="FDFFC768"/>
    <w:rsid w:val="FE5F6C09"/>
    <w:rsid w:val="FEDB01C4"/>
    <w:rsid w:val="FEDFE6E5"/>
    <w:rsid w:val="FEF947CB"/>
    <w:rsid w:val="FEFC136F"/>
    <w:rsid w:val="FEFDD3A1"/>
    <w:rsid w:val="FEFF29EE"/>
    <w:rsid w:val="FF1A6D70"/>
    <w:rsid w:val="FF2D9775"/>
    <w:rsid w:val="FF7E2998"/>
    <w:rsid w:val="FF7F4BCD"/>
    <w:rsid w:val="FFC77215"/>
    <w:rsid w:val="FFDE30C1"/>
    <w:rsid w:val="FFE3DCC4"/>
    <w:rsid w:val="FFE77BEF"/>
    <w:rsid w:val="FFEB9ED9"/>
    <w:rsid w:val="FFED9CD6"/>
    <w:rsid w:val="FFEDE9CE"/>
    <w:rsid w:val="FFF350B6"/>
    <w:rsid w:val="FFF3977A"/>
    <w:rsid w:val="FFFBD97E"/>
    <w:rsid w:val="FFFD52BF"/>
    <w:rsid w:val="FFFDA1A3"/>
    <w:rsid w:val="FFFE5022"/>
    <w:rsid w:val="FFFF6F67"/>
    <w:rsid w:val="FFFFBA85"/>
    <w:rsid w:val="FFFFF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EB3BACE"/>
  <w15:docId w15:val="{B8873E00-94E9-2445-99C3-5368607F4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Hyperlink"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rPr>
      <w:rFonts w:ascii="宋体" w:hAnsi="宋体"/>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qFormat/>
    <w:rPr>
      <w:b/>
    </w:rPr>
  </w:style>
  <w:style w:type="character" w:styleId="a9">
    <w:name w:val="Hyperlink"/>
    <w:basedOn w:val="a0"/>
    <w:uiPriority w:val="99"/>
    <w:semiHidden/>
    <w:unhideWhenUsed/>
    <w:qFormat/>
    <w:rPr>
      <w:color w:val="0000FF"/>
      <w:u w:val="single"/>
    </w:rPr>
  </w:style>
  <w:style w:type="paragraph" w:customStyle="1" w:styleId="p1">
    <w:name w:val="p1"/>
    <w:basedOn w:val="a"/>
    <w:qFormat/>
    <w:pPr>
      <w:jc w:val="left"/>
    </w:pPr>
    <w:rPr>
      <w:rFonts w:ascii="PingFang SC" w:eastAsia="PingFang SC" w:hAnsi="PingFang SC" w:cs="Times New Roman"/>
      <w:kern w:val="0"/>
      <w:sz w:val="24"/>
    </w:rPr>
  </w:style>
  <w:style w:type="character" w:customStyle="1" w:styleId="s1">
    <w:name w:val="s1"/>
    <w:basedOn w:val="a0"/>
    <w:qFormat/>
    <w:rPr>
      <w:rFonts w:ascii="Helvetica Neue" w:eastAsia="Helvetica Neue" w:hAnsi="Helvetica Neue" w:cs="Helvetica Neu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944</Words>
  <Characters>973</Characters>
  <Application>Microsoft Office Word</Application>
  <DocSecurity>0</DocSecurity>
  <Lines>48</Lines>
  <Paragraphs>37</Paragraphs>
  <ScaleCrop>false</ScaleCrop>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FH11306</cp:lastModifiedBy>
  <cp:revision>4</cp:revision>
  <dcterms:created xsi:type="dcterms:W3CDTF">2024-02-05T01:28:00Z</dcterms:created>
  <dcterms:modified xsi:type="dcterms:W3CDTF">2025-12-09T06:42:00Z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D27DBF719ACCCFCB29013169445C971E_43</vt:lpwstr>
  </property>
</Properties>
</file>