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8E40D8">
      <w:pPr>
        <w:pStyle w:val="2"/>
        <w:spacing w:line="360" w:lineRule="auto"/>
        <w:ind w:firstLine="707" w:firstLineChars="200"/>
        <w:jc w:val="center"/>
        <w:outlineLvl w:val="0"/>
        <w:rPr>
          <w:rFonts w:cs="宋体" w:asciiTheme="minorEastAsia" w:hAnsiTheme="minorEastAsia" w:eastAsiaTheme="minorEastAsia"/>
          <w:sz w:val="36"/>
          <w:szCs w:val="36"/>
          <w:lang w:eastAsia="zh-CN"/>
        </w:rPr>
      </w:pPr>
      <w:r>
        <w:rPr>
          <w:rFonts w:hint="eastAsia" w:cs="宋体" w:asciiTheme="minorEastAsia" w:hAnsiTheme="minorEastAsia" w:eastAsiaTheme="minorEastAsia"/>
          <w:b/>
          <w:bCs/>
          <w:spacing w:val="-4"/>
          <w:sz w:val="36"/>
          <w:szCs w:val="36"/>
          <w:lang w:eastAsia="zh-CN"/>
        </w:rPr>
        <w:t>湖南金洲凤凰谷投资有限公司破产重整案</w:t>
      </w:r>
    </w:p>
    <w:p w14:paraId="20A5411B">
      <w:pPr>
        <w:pStyle w:val="2"/>
        <w:spacing w:line="360" w:lineRule="auto"/>
        <w:ind w:firstLine="703" w:firstLineChars="200"/>
        <w:jc w:val="center"/>
        <w:outlineLvl w:val="0"/>
        <w:rPr>
          <w:rFonts w:cs="宋体" w:asciiTheme="minorEastAsia" w:hAnsiTheme="minorEastAsia" w:eastAsiaTheme="minorEastAsia"/>
          <w:sz w:val="36"/>
          <w:szCs w:val="36"/>
          <w:lang w:eastAsia="zh-CN"/>
        </w:rPr>
      </w:pPr>
      <w:r>
        <w:rPr>
          <w:rFonts w:hint="eastAsia" w:cs="宋体" w:asciiTheme="minorEastAsia" w:hAnsiTheme="minorEastAsia" w:eastAsiaTheme="minorEastAsia"/>
          <w:b/>
          <w:bCs/>
          <w:spacing w:val="-5"/>
          <w:sz w:val="36"/>
          <w:szCs w:val="36"/>
          <w:lang w:eastAsia="zh-CN"/>
        </w:rPr>
        <w:t>债权申报指引</w:t>
      </w:r>
    </w:p>
    <w:p w14:paraId="016DA100">
      <w:pPr>
        <w:spacing w:line="360" w:lineRule="auto"/>
        <w:ind w:firstLine="420" w:firstLineChars="200"/>
        <w:jc w:val="both"/>
        <w:rPr>
          <w:rFonts w:asciiTheme="minorEastAsia" w:hAnsiTheme="minorEastAsia" w:eastAsiaTheme="minorEastAsia"/>
          <w:lang w:eastAsia="zh-CN"/>
        </w:rPr>
      </w:pPr>
    </w:p>
    <w:p w14:paraId="00E8FE40">
      <w:pPr>
        <w:pStyle w:val="2"/>
        <w:keepNext w:val="0"/>
        <w:keepLines w:val="0"/>
        <w:pageBreakBefore w:val="0"/>
        <w:widowControl/>
        <w:kinsoku/>
        <w:wordWrap/>
        <w:overflowPunct/>
        <w:topLine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sz w:val="28"/>
          <w:szCs w:val="28"/>
          <w:lang w:eastAsia="zh-CN"/>
        </w:rPr>
      </w:pPr>
      <w:r>
        <w:rPr>
          <w:rFonts w:hint="eastAsia" w:asciiTheme="minorEastAsia" w:hAnsiTheme="minorEastAsia" w:eastAsiaTheme="minorEastAsia" w:cstheme="minorEastAsia"/>
          <w:spacing w:val="0"/>
          <w:sz w:val="30"/>
          <w:szCs w:val="30"/>
          <w:lang w:eastAsia="zh-CN"/>
        </w:rPr>
        <w:t>2025年</w:t>
      </w:r>
      <w:r>
        <w:rPr>
          <w:rFonts w:hint="eastAsia" w:asciiTheme="minorEastAsia" w:hAnsiTheme="minorEastAsia" w:eastAsiaTheme="minorEastAsia" w:cstheme="minorEastAsia"/>
          <w:spacing w:val="0"/>
          <w:sz w:val="30"/>
          <w:szCs w:val="30"/>
          <w:lang w:val="en-US" w:eastAsia="zh-CN"/>
        </w:rPr>
        <w:t>12</w:t>
      </w:r>
      <w:r>
        <w:rPr>
          <w:rFonts w:hint="eastAsia" w:asciiTheme="minorEastAsia" w:hAnsiTheme="minorEastAsia" w:eastAsiaTheme="minorEastAsia" w:cstheme="minorEastAsia"/>
          <w:spacing w:val="0"/>
          <w:sz w:val="30"/>
          <w:szCs w:val="30"/>
          <w:lang w:eastAsia="zh-CN"/>
        </w:rPr>
        <w:t>月</w:t>
      </w:r>
      <w:r>
        <w:rPr>
          <w:rFonts w:hint="eastAsia" w:asciiTheme="minorEastAsia" w:hAnsiTheme="minorEastAsia" w:eastAsiaTheme="minorEastAsia" w:cstheme="minorEastAsia"/>
          <w:spacing w:val="0"/>
          <w:sz w:val="30"/>
          <w:szCs w:val="30"/>
          <w:lang w:val="en-US" w:eastAsia="zh-CN"/>
        </w:rPr>
        <w:t>1</w:t>
      </w:r>
      <w:r>
        <w:rPr>
          <w:rFonts w:hint="eastAsia" w:asciiTheme="minorEastAsia" w:hAnsiTheme="minorEastAsia" w:eastAsiaTheme="minorEastAsia" w:cstheme="minorEastAsia"/>
          <w:spacing w:val="0"/>
          <w:sz w:val="30"/>
          <w:szCs w:val="30"/>
          <w:lang w:eastAsia="zh-CN"/>
        </w:rPr>
        <w:t>日，</w:t>
      </w:r>
      <w:r>
        <w:rPr>
          <w:rFonts w:hint="eastAsia" w:asciiTheme="minorEastAsia" w:hAnsiTheme="minorEastAsia" w:eastAsiaTheme="minorEastAsia" w:cstheme="minorEastAsia"/>
          <w:spacing w:val="0"/>
          <w:sz w:val="30"/>
          <w:szCs w:val="30"/>
          <w:lang w:val="en-US" w:eastAsia="zh-CN"/>
        </w:rPr>
        <w:t>湖南省宁乡市</w:t>
      </w:r>
      <w:r>
        <w:rPr>
          <w:rFonts w:hint="eastAsia" w:asciiTheme="minorEastAsia" w:hAnsiTheme="minorEastAsia" w:eastAsiaTheme="minorEastAsia" w:cstheme="minorEastAsia"/>
          <w:spacing w:val="0"/>
          <w:sz w:val="30"/>
          <w:szCs w:val="30"/>
          <w:lang w:eastAsia="zh-CN"/>
        </w:rPr>
        <w:t>人民法院根据申请人</w:t>
      </w:r>
      <w:r>
        <w:rPr>
          <w:rFonts w:hint="eastAsia" w:asciiTheme="minorEastAsia" w:hAnsiTheme="minorEastAsia" w:eastAsiaTheme="minorEastAsia" w:cstheme="minorEastAsia"/>
          <w:spacing w:val="0"/>
          <w:sz w:val="30"/>
          <w:szCs w:val="30"/>
          <w:lang w:val="en-US" w:eastAsia="zh-CN"/>
        </w:rPr>
        <w:t>湖南金洲凤凰谷投资有限公司（</w:t>
      </w:r>
      <w:r>
        <w:rPr>
          <w:rFonts w:hint="eastAsia" w:asciiTheme="minorEastAsia" w:hAnsiTheme="minorEastAsia" w:eastAsiaTheme="minorEastAsia" w:cstheme="minorEastAsia"/>
          <w:spacing w:val="0"/>
          <w:sz w:val="30"/>
          <w:szCs w:val="30"/>
          <w:lang w:eastAsia="zh-CN"/>
        </w:rPr>
        <w:t>以下简称“</w:t>
      </w:r>
      <w:r>
        <w:rPr>
          <w:rFonts w:hint="eastAsia" w:asciiTheme="minorEastAsia" w:hAnsiTheme="minorEastAsia" w:eastAsiaTheme="minorEastAsia" w:cstheme="minorEastAsia"/>
          <w:spacing w:val="0"/>
          <w:sz w:val="30"/>
          <w:szCs w:val="30"/>
          <w:lang w:val="en-US" w:eastAsia="zh-CN"/>
        </w:rPr>
        <w:t>凤凰谷</w:t>
      </w:r>
      <w:r>
        <w:rPr>
          <w:rFonts w:hint="eastAsia" w:asciiTheme="minorEastAsia" w:hAnsiTheme="minorEastAsia" w:eastAsiaTheme="minorEastAsia" w:cstheme="minorEastAsia"/>
          <w:spacing w:val="0"/>
          <w:sz w:val="30"/>
          <w:szCs w:val="30"/>
          <w:lang w:eastAsia="zh-CN"/>
        </w:rPr>
        <w:t>公司”）的申请，裁定受理</w:t>
      </w:r>
      <w:r>
        <w:rPr>
          <w:rFonts w:hint="eastAsia" w:asciiTheme="minorEastAsia" w:hAnsiTheme="minorEastAsia" w:eastAsiaTheme="minorEastAsia" w:cstheme="minorEastAsia"/>
          <w:spacing w:val="0"/>
          <w:sz w:val="30"/>
          <w:szCs w:val="30"/>
          <w:lang w:val="en-US" w:eastAsia="zh-CN"/>
        </w:rPr>
        <w:t>湖南金洲凤凰谷投资有限公司</w:t>
      </w:r>
      <w:r>
        <w:rPr>
          <w:rFonts w:hint="eastAsia" w:asciiTheme="minorEastAsia" w:hAnsiTheme="minorEastAsia" w:eastAsiaTheme="minorEastAsia" w:cstheme="minorEastAsia"/>
          <w:spacing w:val="0"/>
          <w:sz w:val="30"/>
          <w:szCs w:val="30"/>
          <w:lang w:eastAsia="zh-CN"/>
        </w:rPr>
        <w:t>破产重整一案，并于2025年</w:t>
      </w:r>
      <w:r>
        <w:rPr>
          <w:rFonts w:hint="eastAsia" w:asciiTheme="minorEastAsia" w:hAnsiTheme="minorEastAsia" w:eastAsiaTheme="minorEastAsia" w:cstheme="minorEastAsia"/>
          <w:spacing w:val="0"/>
          <w:sz w:val="30"/>
          <w:szCs w:val="30"/>
          <w:lang w:val="en-US" w:eastAsia="zh-CN"/>
        </w:rPr>
        <w:t>12</w:t>
      </w:r>
      <w:r>
        <w:rPr>
          <w:rFonts w:hint="eastAsia" w:asciiTheme="minorEastAsia" w:hAnsiTheme="minorEastAsia" w:eastAsiaTheme="minorEastAsia" w:cstheme="minorEastAsia"/>
          <w:spacing w:val="0"/>
          <w:sz w:val="30"/>
          <w:szCs w:val="30"/>
          <w:lang w:eastAsia="zh-CN"/>
        </w:rPr>
        <w:t>月</w:t>
      </w:r>
      <w:r>
        <w:rPr>
          <w:rFonts w:hint="eastAsia" w:asciiTheme="minorEastAsia" w:hAnsiTheme="minorEastAsia" w:eastAsiaTheme="minorEastAsia" w:cstheme="minorEastAsia"/>
          <w:spacing w:val="0"/>
          <w:sz w:val="30"/>
          <w:szCs w:val="30"/>
          <w:lang w:val="en-US" w:eastAsia="zh-CN"/>
        </w:rPr>
        <w:t>5</w:t>
      </w:r>
      <w:r>
        <w:rPr>
          <w:rFonts w:hint="eastAsia" w:asciiTheme="minorEastAsia" w:hAnsiTheme="minorEastAsia" w:eastAsiaTheme="minorEastAsia" w:cstheme="minorEastAsia"/>
          <w:spacing w:val="0"/>
          <w:sz w:val="30"/>
          <w:szCs w:val="30"/>
          <w:lang w:eastAsia="zh-CN"/>
        </w:rPr>
        <w:t>日指定</w:t>
      </w:r>
      <w:r>
        <w:rPr>
          <w:rFonts w:hint="eastAsia" w:asciiTheme="minorEastAsia" w:hAnsiTheme="minorEastAsia" w:eastAsiaTheme="minorEastAsia" w:cstheme="minorEastAsia"/>
          <w:spacing w:val="0"/>
          <w:sz w:val="30"/>
          <w:szCs w:val="30"/>
          <w:lang w:val="en-US" w:eastAsia="zh-CN"/>
        </w:rPr>
        <w:t>湖南泓锐</w:t>
      </w:r>
      <w:r>
        <w:rPr>
          <w:rFonts w:hint="eastAsia" w:asciiTheme="minorEastAsia" w:hAnsiTheme="minorEastAsia" w:eastAsiaTheme="minorEastAsia" w:cstheme="minorEastAsia"/>
          <w:spacing w:val="0"/>
          <w:sz w:val="30"/>
          <w:szCs w:val="30"/>
          <w:lang w:eastAsia="zh-CN"/>
        </w:rPr>
        <w:t>律师事务所担任</w:t>
      </w:r>
      <w:r>
        <w:rPr>
          <w:rFonts w:hint="eastAsia" w:asciiTheme="minorEastAsia" w:hAnsiTheme="minorEastAsia" w:eastAsiaTheme="minorEastAsia" w:cstheme="minorEastAsia"/>
          <w:spacing w:val="0"/>
          <w:sz w:val="30"/>
          <w:szCs w:val="30"/>
          <w:lang w:val="en-US" w:eastAsia="zh-CN"/>
        </w:rPr>
        <w:t>凤凰谷</w:t>
      </w:r>
      <w:r>
        <w:rPr>
          <w:rFonts w:hint="eastAsia" w:asciiTheme="minorEastAsia" w:hAnsiTheme="minorEastAsia" w:eastAsiaTheme="minorEastAsia" w:cstheme="minorEastAsia"/>
          <w:spacing w:val="0"/>
          <w:sz w:val="30"/>
          <w:szCs w:val="30"/>
          <w:lang w:eastAsia="zh-CN"/>
        </w:rPr>
        <w:t>公司重整管理人（以下简称“</w:t>
      </w:r>
      <w:r>
        <w:rPr>
          <w:rFonts w:hint="eastAsia" w:asciiTheme="minorEastAsia" w:hAnsiTheme="minorEastAsia" w:eastAsiaTheme="minorEastAsia" w:cstheme="minorEastAsia"/>
          <w:spacing w:val="0"/>
          <w:sz w:val="30"/>
          <w:szCs w:val="30"/>
          <w:lang w:val="en-US" w:eastAsia="zh-CN"/>
        </w:rPr>
        <w:t>管理人</w:t>
      </w:r>
      <w:r>
        <w:rPr>
          <w:rFonts w:hint="eastAsia" w:asciiTheme="minorEastAsia" w:hAnsiTheme="minorEastAsia" w:eastAsiaTheme="minorEastAsia" w:cstheme="minorEastAsia"/>
          <w:spacing w:val="0"/>
          <w:sz w:val="30"/>
          <w:szCs w:val="30"/>
          <w:lang w:eastAsia="zh-CN"/>
        </w:rPr>
        <w:t>”）</w:t>
      </w:r>
      <w:r>
        <w:rPr>
          <w:rFonts w:hint="eastAsia" w:cs="宋体" w:asciiTheme="minorEastAsia" w:hAnsiTheme="minorEastAsia" w:eastAsiaTheme="minorEastAsia"/>
          <w:sz w:val="28"/>
          <w:szCs w:val="28"/>
          <w:lang w:eastAsia="zh-CN"/>
        </w:rPr>
        <w:t>。</w:t>
      </w:r>
    </w:p>
    <w:p w14:paraId="141B7072">
      <w:pPr>
        <w:pStyle w:val="2"/>
        <w:keepNext w:val="0"/>
        <w:keepLines w:val="0"/>
        <w:pageBreakBefore w:val="0"/>
        <w:widowControl/>
        <w:wordWrap/>
        <w:overflowPunct/>
        <w:autoSpaceDE w:val="0"/>
        <w:autoSpaceDN w:val="0"/>
        <w:bidi w:val="0"/>
        <w:adjustRightInd w:val="0"/>
        <w:snapToGrid w:val="0"/>
        <w:spacing w:line="520" w:lineRule="exact"/>
        <w:ind w:firstLine="56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sz w:val="28"/>
          <w:szCs w:val="28"/>
          <w:lang w:eastAsia="zh-CN"/>
        </w:rPr>
        <w:t>为明确本破产重整案债权申报的有关事项，帮助债权人顺利申报债权，管理人现依据相关法律和司法解释的规定，就债权申报事项特制定本《债权申报指引》（以下简称</w:t>
      </w:r>
      <w:r>
        <w:rPr>
          <w:rFonts w:hint="eastAsia" w:cs="宋体" w:asciiTheme="minorEastAsia" w:hAnsiTheme="minorEastAsia" w:eastAsiaTheme="minorEastAsia"/>
          <w:bCs/>
          <w:sz w:val="28"/>
          <w:szCs w:val="28"/>
          <w:lang w:eastAsia="zh-CN"/>
        </w:rPr>
        <w:t>《指引》</w:t>
      </w:r>
      <w:r>
        <w:rPr>
          <w:rFonts w:hint="eastAsia" w:cs="宋体" w:asciiTheme="minorEastAsia" w:hAnsiTheme="minorEastAsia" w:eastAsiaTheme="minorEastAsia"/>
          <w:w w:val="94"/>
          <w:sz w:val="28"/>
          <w:szCs w:val="28"/>
          <w:lang w:eastAsia="zh-CN"/>
        </w:rPr>
        <w:t>）。</w:t>
      </w:r>
      <w:r>
        <w:rPr>
          <w:rFonts w:hint="eastAsia" w:cs="宋体" w:asciiTheme="minorEastAsia" w:hAnsiTheme="minorEastAsia" w:eastAsiaTheme="minorEastAsia"/>
          <w:sz w:val="28"/>
          <w:szCs w:val="28"/>
          <w:lang w:eastAsia="zh-CN"/>
        </w:rPr>
        <w:t>请债权申报人在申报债权时认真阅读，未按《指引》申报债权的，其产生的不利后果由申报人自行承担。</w:t>
      </w:r>
    </w:p>
    <w:p w14:paraId="7ED26228">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outlineLvl w:val="1"/>
        <w:rPr>
          <w:rFonts w:cs="宋体" w:asciiTheme="minorEastAsia" w:hAnsiTheme="minorEastAsia" w:eastAsiaTheme="minorEastAsia"/>
          <w:lang w:eastAsia="zh-CN"/>
        </w:rPr>
      </w:pPr>
      <w:r>
        <w:rPr>
          <w:rFonts w:hint="eastAsia" w:cs="宋体" w:asciiTheme="minorEastAsia" w:hAnsiTheme="minorEastAsia" w:eastAsiaTheme="minorEastAsia"/>
          <w:lang w:eastAsia="zh-CN"/>
        </w:rPr>
        <w:t>一、债权申报主体</w:t>
      </w:r>
    </w:p>
    <w:p w14:paraId="3B8E588E">
      <w:pPr>
        <w:pStyle w:val="2"/>
        <w:keepNext w:val="0"/>
        <w:keepLines w:val="0"/>
        <w:pageBreakBefore w:val="0"/>
        <w:widowControl/>
        <w:kinsoku/>
        <w:wordWrap/>
        <w:overflowPunct/>
        <w:topLine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参照《中华人民共和国企业破产法》（以下简称《企业破产法》</w:t>
      </w:r>
      <w:r>
        <w:rPr>
          <w:rFonts w:hint="eastAsia" w:cs="宋体" w:asciiTheme="minorEastAsia" w:hAnsiTheme="minorEastAsia" w:eastAsiaTheme="minorEastAsia"/>
          <w:b/>
          <w:bCs/>
          <w:lang w:eastAsia="zh-CN"/>
        </w:rPr>
        <w:t>）</w:t>
      </w:r>
      <w:r>
        <w:rPr>
          <w:rFonts w:hint="eastAsia" w:cs="宋体" w:asciiTheme="minorEastAsia" w:hAnsiTheme="minorEastAsia" w:eastAsiaTheme="minorEastAsia"/>
          <w:lang w:eastAsia="zh-CN"/>
        </w:rPr>
        <w:t>的规定，法院受理破产重整申请时对凤凰谷公司享有债权的自然人、法人或其他组织，均可以向管理人申报债权。未到期的债权，在法院破产重整受理时视为到期，相关债权人可以向管理人申报债权。附条件、附期限的债权和诉讼、仲裁未决的债权，债权人可以向管理人申报。</w:t>
      </w:r>
    </w:p>
    <w:p w14:paraId="48B2895F">
      <w:pPr>
        <w:pStyle w:val="2"/>
        <w:keepNext w:val="0"/>
        <w:keepLines w:val="0"/>
        <w:pageBreakBefore w:val="0"/>
        <w:widowControl/>
        <w:wordWrap/>
        <w:overflowPunct/>
        <w:autoSpaceDE w:val="0"/>
        <w:autoSpaceDN w:val="0"/>
        <w:bidi w:val="0"/>
        <w:adjustRightInd w:val="0"/>
        <w:snapToGrid w:val="0"/>
        <w:spacing w:line="520" w:lineRule="exact"/>
        <w:ind w:firstLine="602"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b/>
          <w:bCs/>
          <w:lang w:eastAsia="zh-CN"/>
        </w:rPr>
        <w:t>管理人特别提示</w:t>
      </w:r>
      <w:r>
        <w:rPr>
          <w:rFonts w:hint="eastAsia" w:cs="宋体" w:asciiTheme="minorEastAsia" w:hAnsiTheme="minorEastAsia" w:eastAsiaTheme="minorEastAsia"/>
          <w:lang w:eastAsia="zh-CN"/>
        </w:rPr>
        <w:t>，依据《企业破产法》第四十六条第二款之规定，附利息的债权自破产申请受理时停止计息。因此，凤凰谷公司的债权申报人均应以凤凰谷公司破产重整申请受理日（即2025年</w:t>
      </w:r>
      <w:r>
        <w:rPr>
          <w:rFonts w:hint="eastAsia" w:cs="宋体" w:asciiTheme="minorEastAsia" w:hAnsiTheme="minorEastAsia" w:eastAsiaTheme="minorEastAsia"/>
          <w:lang w:val="en-US" w:eastAsia="zh-CN"/>
        </w:rPr>
        <w:t>12</w:t>
      </w:r>
      <w:r>
        <w:rPr>
          <w:rFonts w:hint="eastAsia" w:cs="宋体" w:asciiTheme="minorEastAsia" w:hAnsiTheme="minorEastAsia" w:eastAsiaTheme="minorEastAsia"/>
          <w:lang w:eastAsia="zh-CN"/>
        </w:rPr>
        <w:t>月1日）前一日为利息计算截止日，即利息至2025年12月1日（利息计算期间不含破产重整申请受理日当日）。</w:t>
      </w:r>
    </w:p>
    <w:p w14:paraId="092D2D9F">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outlineLvl w:val="1"/>
        <w:rPr>
          <w:rFonts w:cs="宋体" w:asciiTheme="minorEastAsia" w:hAnsiTheme="minorEastAsia" w:eastAsiaTheme="minorEastAsia"/>
          <w:lang w:eastAsia="zh-CN"/>
        </w:rPr>
      </w:pPr>
      <w:r>
        <w:rPr>
          <w:rFonts w:hint="eastAsia" w:cs="宋体" w:asciiTheme="minorEastAsia" w:hAnsiTheme="minorEastAsia" w:eastAsiaTheme="minorEastAsia"/>
          <w:lang w:eastAsia="zh-CN"/>
        </w:rPr>
        <w:t>二、债权申报期限</w:t>
      </w:r>
    </w:p>
    <w:p w14:paraId="49EE6994">
      <w:pPr>
        <w:pStyle w:val="2"/>
        <w:keepNext w:val="0"/>
        <w:keepLines w:val="0"/>
        <w:pageBreakBefore w:val="0"/>
        <w:widowControl/>
        <w:kinsoku/>
        <w:wordWrap/>
        <w:overflowPunct/>
        <w:topLinePunct/>
        <w:autoSpaceDE w:val="0"/>
        <w:autoSpaceDN w:val="0"/>
        <w:bidi w:val="0"/>
        <w:adjustRightInd w:val="0"/>
        <w:snapToGrid w:val="0"/>
        <w:spacing w:line="520" w:lineRule="exact"/>
        <w:ind w:firstLine="602" w:firstLineChars="200"/>
        <w:jc w:val="both"/>
        <w:textAlignment w:val="baseline"/>
        <w:rPr>
          <w:rFonts w:cs="宋体" w:asciiTheme="minorEastAsia" w:hAnsiTheme="minorEastAsia" w:eastAsiaTheme="minorEastAsia"/>
          <w:b/>
          <w:bCs/>
          <w:lang w:eastAsia="zh-CN"/>
        </w:rPr>
      </w:pPr>
      <w:r>
        <w:rPr>
          <w:rFonts w:hint="eastAsia" w:cs="宋体" w:asciiTheme="minorEastAsia" w:hAnsiTheme="minorEastAsia" w:eastAsiaTheme="minorEastAsia"/>
          <w:b/>
          <w:bCs/>
          <w:u w:val="single"/>
          <w:lang w:eastAsia="zh-CN"/>
        </w:rPr>
        <w:t>根据</w:t>
      </w:r>
      <w:r>
        <w:rPr>
          <w:rFonts w:hint="eastAsia" w:cs="宋体" w:asciiTheme="minorEastAsia" w:hAnsiTheme="minorEastAsia" w:eastAsiaTheme="minorEastAsia"/>
          <w:b/>
          <w:bCs/>
          <w:u w:val="single"/>
          <w:lang w:val="en-US" w:eastAsia="zh-CN"/>
        </w:rPr>
        <w:t>管理人</w:t>
      </w:r>
      <w:r>
        <w:rPr>
          <w:rFonts w:hint="eastAsia" w:cs="宋体" w:asciiTheme="minorEastAsia" w:hAnsiTheme="minorEastAsia" w:eastAsiaTheme="minorEastAsia"/>
          <w:b/>
          <w:bCs/>
          <w:u w:val="single"/>
          <w:lang w:eastAsia="zh-CN"/>
        </w:rPr>
        <w:t>2025年</w:t>
      </w:r>
      <w:r>
        <w:rPr>
          <w:rFonts w:hint="eastAsia" w:cs="宋体" w:asciiTheme="minorEastAsia" w:hAnsiTheme="minorEastAsia" w:eastAsiaTheme="minorEastAsia"/>
          <w:b/>
          <w:bCs/>
          <w:u w:val="single"/>
          <w:lang w:val="en-US" w:eastAsia="zh-CN"/>
        </w:rPr>
        <w:t>12</w:t>
      </w:r>
      <w:r>
        <w:rPr>
          <w:rFonts w:hint="eastAsia" w:cs="宋体" w:asciiTheme="minorEastAsia" w:hAnsiTheme="minorEastAsia" w:eastAsiaTheme="minorEastAsia"/>
          <w:b/>
          <w:bCs/>
          <w:u w:val="single"/>
          <w:lang w:eastAsia="zh-CN"/>
        </w:rPr>
        <w:t>月9日在全国企业破产重整案件信息网上发布的（2025）凤凰谷破管第1号《湖南金洲凤凰谷投资有限公司破产重整债权申报通知》，凤凰谷公司的债权人应自公告之日起31日内（即在202</w:t>
      </w:r>
      <w:r>
        <w:rPr>
          <w:rFonts w:hint="eastAsia" w:cs="宋体" w:asciiTheme="minorEastAsia" w:hAnsiTheme="minorEastAsia" w:eastAsiaTheme="minorEastAsia"/>
          <w:b/>
          <w:bCs/>
          <w:u w:val="single"/>
          <w:lang w:val="en-US" w:eastAsia="zh-CN"/>
        </w:rPr>
        <w:t>6</w:t>
      </w:r>
      <w:r>
        <w:rPr>
          <w:rFonts w:hint="eastAsia" w:cs="宋体" w:asciiTheme="minorEastAsia" w:hAnsiTheme="minorEastAsia" w:eastAsiaTheme="minorEastAsia"/>
          <w:b/>
          <w:bCs/>
          <w:u w:val="single"/>
          <w:lang w:eastAsia="zh-CN"/>
        </w:rPr>
        <w:t>年1月9日之前</w:t>
      </w:r>
      <w:r>
        <w:rPr>
          <w:rFonts w:hint="eastAsia" w:cs="宋体" w:asciiTheme="minorEastAsia" w:hAnsiTheme="minorEastAsia" w:eastAsiaTheme="minorEastAsia"/>
          <w:b/>
          <w:bCs/>
          <w:w w:val="85"/>
          <w:u w:val="single"/>
          <w:lang w:eastAsia="zh-CN"/>
        </w:rPr>
        <w:t>）</w:t>
      </w:r>
      <w:r>
        <w:rPr>
          <w:rFonts w:hint="eastAsia" w:cs="宋体" w:asciiTheme="minorEastAsia" w:hAnsiTheme="minorEastAsia" w:eastAsiaTheme="minorEastAsia"/>
          <w:b/>
          <w:bCs/>
          <w:u w:val="single"/>
          <w:lang w:eastAsia="zh-CN"/>
        </w:rPr>
        <w:t>向凤凰谷公司管理人申报债权。</w:t>
      </w:r>
    </w:p>
    <w:p w14:paraId="2CD3C781">
      <w:pPr>
        <w:pStyle w:val="2"/>
        <w:keepNext w:val="0"/>
        <w:keepLines w:val="0"/>
        <w:pageBreakBefore w:val="0"/>
        <w:widowControl/>
        <w:kinsoku/>
        <w:wordWrap/>
        <w:overflowPunct/>
        <w:topLine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未依法申报债权的，在重整计划执行期间不得行使权利；在重整计划执行完毕后，可以按照重整计划规定的同类债权的清偿条件行使权利。</w:t>
      </w:r>
    </w:p>
    <w:p w14:paraId="33D41992">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outlineLvl w:val="1"/>
        <w:rPr>
          <w:rFonts w:cs="宋体" w:asciiTheme="minorEastAsia" w:hAnsiTheme="minorEastAsia" w:eastAsiaTheme="minorEastAsia"/>
          <w:lang w:eastAsia="zh-CN"/>
        </w:rPr>
      </w:pPr>
      <w:r>
        <w:rPr>
          <w:rFonts w:hint="eastAsia" w:cs="宋体" w:asciiTheme="minorEastAsia" w:hAnsiTheme="minorEastAsia" w:eastAsiaTheme="minorEastAsia"/>
          <w:lang w:eastAsia="zh-CN"/>
        </w:rPr>
        <w:t>三、债权申报方式</w:t>
      </w:r>
    </w:p>
    <w:p w14:paraId="133A9E8F">
      <w:pPr>
        <w:pStyle w:val="2"/>
        <w:keepNext w:val="0"/>
        <w:keepLines w:val="0"/>
        <w:pageBreakBefore w:val="0"/>
        <w:widowControl/>
        <w:wordWrap/>
        <w:overflowPunct/>
        <w:autoSpaceDE w:val="0"/>
        <w:autoSpaceDN w:val="0"/>
        <w:bidi w:val="0"/>
        <w:adjustRightInd w:val="0"/>
        <w:snapToGrid w:val="0"/>
        <w:spacing w:line="520" w:lineRule="exact"/>
        <w:ind w:firstLine="560" w:firstLineChars="200"/>
        <w:jc w:val="both"/>
        <w:textAlignment w:val="baseline"/>
        <w:rPr>
          <w:rFonts w:cs="宋体" w:asciiTheme="minorEastAsia" w:hAnsiTheme="minorEastAsia" w:eastAsiaTheme="minorEastAsia"/>
          <w:sz w:val="28"/>
          <w:szCs w:val="28"/>
          <w:lang w:eastAsia="zh-CN"/>
        </w:rPr>
      </w:pPr>
      <w:r>
        <w:rPr>
          <w:rFonts w:hint="eastAsia" w:cs="宋体" w:asciiTheme="minorEastAsia" w:hAnsiTheme="minorEastAsia" w:eastAsiaTheme="minorEastAsia"/>
          <w:sz w:val="28"/>
          <w:szCs w:val="28"/>
          <w:lang w:eastAsia="zh-CN"/>
        </w:rPr>
        <w:t>本次申报采取</w:t>
      </w:r>
      <w:r>
        <w:rPr>
          <w:rFonts w:hint="eastAsia" w:cs="宋体" w:asciiTheme="minorEastAsia" w:hAnsiTheme="minorEastAsia" w:eastAsiaTheme="minorEastAsia"/>
          <w:b/>
          <w:bCs/>
          <w:sz w:val="28"/>
          <w:szCs w:val="28"/>
          <w:lang w:eastAsia="zh-CN"/>
        </w:rPr>
        <w:t>“现场申报+邮寄纸质材料申报”</w:t>
      </w:r>
      <w:r>
        <w:rPr>
          <w:rFonts w:hint="eastAsia" w:cs="宋体" w:asciiTheme="minorEastAsia" w:hAnsiTheme="minorEastAsia" w:eastAsiaTheme="minorEastAsia"/>
          <w:sz w:val="28"/>
          <w:szCs w:val="28"/>
          <w:lang w:eastAsia="zh-CN"/>
        </w:rPr>
        <w:t>的形式，请债权人及时按照《湖南金洲凤凰谷投资有限公司破产重整案债权申报指引》进行债权申报。债权人申报利息或违约金的，暂计算至2025年12月1日，有关附利息或违约金的债权部分，按债权人会议或有关法律规定确认。</w:t>
      </w:r>
    </w:p>
    <w:p w14:paraId="0685333D">
      <w:pPr>
        <w:pStyle w:val="2"/>
        <w:keepNext w:val="0"/>
        <w:keepLines w:val="0"/>
        <w:pageBreakBefore w:val="0"/>
        <w:widowControl/>
        <w:wordWrap/>
        <w:overflowPunct/>
        <w:autoSpaceDE w:val="0"/>
        <w:autoSpaceDN w:val="0"/>
        <w:bidi w:val="0"/>
        <w:adjustRightInd w:val="0"/>
        <w:snapToGrid w:val="0"/>
        <w:spacing w:line="520" w:lineRule="exact"/>
        <w:ind w:firstLine="560" w:firstLineChars="200"/>
        <w:jc w:val="both"/>
        <w:textAlignment w:val="baseline"/>
        <w:outlineLvl w:val="1"/>
        <w:rPr>
          <w:rFonts w:cs="宋体" w:asciiTheme="minorEastAsia" w:hAnsiTheme="minorEastAsia" w:eastAsiaTheme="minorEastAsia"/>
          <w:sz w:val="28"/>
          <w:szCs w:val="28"/>
          <w:lang w:eastAsia="zh-CN"/>
        </w:rPr>
      </w:pPr>
      <w:r>
        <w:rPr>
          <w:rFonts w:hint="eastAsia" w:cs="宋体" w:asciiTheme="minorEastAsia" w:hAnsiTheme="minorEastAsia" w:eastAsiaTheme="minorEastAsia"/>
          <w:sz w:val="28"/>
          <w:szCs w:val="28"/>
          <w:lang w:eastAsia="zh-CN"/>
        </w:rPr>
        <w:t>债权申报联系人：欧阳璟波，联系电话：13574188887，电子邮箱：411691924@qq.com</w:t>
      </w:r>
    </w:p>
    <w:p w14:paraId="0D39A61C">
      <w:pPr>
        <w:pStyle w:val="2"/>
        <w:keepNext w:val="0"/>
        <w:keepLines w:val="0"/>
        <w:pageBreakBefore w:val="0"/>
        <w:widowControl/>
        <w:wordWrap/>
        <w:overflowPunct/>
        <w:autoSpaceDE w:val="0"/>
        <w:autoSpaceDN w:val="0"/>
        <w:bidi w:val="0"/>
        <w:adjustRightInd w:val="0"/>
        <w:snapToGrid w:val="0"/>
        <w:spacing w:line="520" w:lineRule="exact"/>
        <w:ind w:firstLine="560" w:firstLineChars="200"/>
        <w:jc w:val="both"/>
        <w:textAlignment w:val="baseline"/>
        <w:outlineLvl w:val="1"/>
        <w:rPr>
          <w:rFonts w:cs="宋体" w:asciiTheme="minorEastAsia" w:hAnsiTheme="minorEastAsia" w:eastAsiaTheme="minorEastAsia"/>
          <w:color w:val="auto"/>
          <w:sz w:val="28"/>
          <w:szCs w:val="28"/>
          <w:lang w:eastAsia="zh-CN"/>
        </w:rPr>
      </w:pPr>
      <w:r>
        <w:rPr>
          <w:rFonts w:hint="eastAsia" w:cs="宋体" w:asciiTheme="minorEastAsia" w:hAnsiTheme="minorEastAsia" w:eastAsiaTheme="minorEastAsia"/>
          <w:sz w:val="28"/>
          <w:szCs w:val="28"/>
          <w:lang w:eastAsia="zh-CN"/>
        </w:rPr>
        <w:t>综合事务联系人：欧阳静源，联系电话：13077039192，电子邮箱：</w:t>
      </w:r>
      <w:r>
        <w:rPr>
          <w:rFonts w:hint="eastAsia" w:cs="宋体" w:asciiTheme="minorEastAsia" w:hAnsiTheme="minorEastAsia" w:eastAsiaTheme="minorEastAsia"/>
          <w:color w:val="auto"/>
          <w:sz w:val="28"/>
          <w:szCs w:val="28"/>
          <w:lang w:eastAsia="zh-CN"/>
        </w:rPr>
        <w:fldChar w:fldCharType="begin"/>
      </w:r>
      <w:r>
        <w:rPr>
          <w:rFonts w:hint="eastAsia" w:cs="宋体" w:asciiTheme="minorEastAsia" w:hAnsiTheme="minorEastAsia" w:eastAsiaTheme="minorEastAsia"/>
          <w:color w:val="auto"/>
          <w:sz w:val="28"/>
          <w:szCs w:val="28"/>
          <w:lang w:eastAsia="zh-CN"/>
        </w:rPr>
        <w:instrText xml:space="preserve"> HYPERLINK "mailto:504056787@qq.com" </w:instrText>
      </w:r>
      <w:r>
        <w:rPr>
          <w:rFonts w:hint="eastAsia" w:cs="宋体" w:asciiTheme="minorEastAsia" w:hAnsiTheme="minorEastAsia" w:eastAsiaTheme="minorEastAsia"/>
          <w:color w:val="auto"/>
          <w:sz w:val="28"/>
          <w:szCs w:val="28"/>
          <w:lang w:eastAsia="zh-CN"/>
        </w:rPr>
        <w:fldChar w:fldCharType="separate"/>
      </w:r>
      <w:r>
        <w:rPr>
          <w:rStyle w:val="7"/>
          <w:rFonts w:hint="eastAsia" w:cs="宋体" w:asciiTheme="minorEastAsia" w:hAnsiTheme="minorEastAsia" w:eastAsiaTheme="minorEastAsia"/>
          <w:color w:val="auto"/>
          <w:sz w:val="28"/>
          <w:szCs w:val="28"/>
          <w:u w:val="none"/>
          <w:lang w:eastAsia="zh-CN"/>
        </w:rPr>
        <w:t>504056787@qq.com</w:t>
      </w:r>
      <w:r>
        <w:rPr>
          <w:rFonts w:hint="eastAsia" w:cs="宋体" w:asciiTheme="minorEastAsia" w:hAnsiTheme="minorEastAsia" w:eastAsiaTheme="minorEastAsia"/>
          <w:color w:val="auto"/>
          <w:sz w:val="28"/>
          <w:szCs w:val="28"/>
          <w:lang w:eastAsia="zh-CN"/>
        </w:rPr>
        <w:fldChar w:fldCharType="end"/>
      </w:r>
    </w:p>
    <w:p w14:paraId="0B9535FA">
      <w:pPr>
        <w:pStyle w:val="2"/>
        <w:keepNext w:val="0"/>
        <w:keepLines w:val="0"/>
        <w:pageBreakBefore w:val="0"/>
        <w:widowControl/>
        <w:wordWrap/>
        <w:overflowPunct/>
        <w:autoSpaceDE w:val="0"/>
        <w:autoSpaceDN w:val="0"/>
        <w:bidi w:val="0"/>
        <w:adjustRightInd w:val="0"/>
        <w:snapToGrid w:val="0"/>
        <w:spacing w:line="520" w:lineRule="exact"/>
        <w:ind w:firstLine="560" w:firstLineChars="200"/>
        <w:jc w:val="both"/>
        <w:textAlignment w:val="baseline"/>
        <w:outlineLvl w:val="1"/>
        <w:rPr>
          <w:rFonts w:cs="宋体" w:asciiTheme="minorEastAsia" w:hAnsiTheme="minorEastAsia" w:eastAsiaTheme="minorEastAsia"/>
          <w:color w:val="auto"/>
          <w:sz w:val="28"/>
          <w:szCs w:val="28"/>
          <w:lang w:eastAsia="zh-CN"/>
        </w:rPr>
      </w:pPr>
      <w:r>
        <w:rPr>
          <w:rFonts w:hint="eastAsia" w:cs="宋体" w:asciiTheme="minorEastAsia" w:hAnsiTheme="minorEastAsia" w:eastAsiaTheme="minorEastAsia"/>
          <w:color w:val="auto"/>
          <w:sz w:val="28"/>
          <w:szCs w:val="28"/>
          <w:lang w:eastAsia="zh-CN"/>
        </w:rPr>
        <w:t>处理事务的地址：湖南省宁乡市高新区金洲大道与规划外环路交汇处金钟美墅湾售楼部。</w:t>
      </w:r>
    </w:p>
    <w:p w14:paraId="74444C63">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outlineLvl w:val="1"/>
        <w:rPr>
          <w:rFonts w:cs="宋体" w:asciiTheme="minorEastAsia" w:hAnsiTheme="minorEastAsia" w:eastAsiaTheme="minorEastAsia"/>
          <w:lang w:eastAsia="zh-CN"/>
        </w:rPr>
      </w:pPr>
      <w:r>
        <w:rPr>
          <w:rFonts w:hint="eastAsia" w:cs="宋体" w:asciiTheme="minorEastAsia" w:hAnsiTheme="minorEastAsia" w:eastAsiaTheme="minorEastAsia"/>
          <w:lang w:eastAsia="zh-CN"/>
        </w:rPr>
        <w:t>四、债权申报材料要求</w:t>
      </w:r>
    </w:p>
    <w:p w14:paraId="07CA7597">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1.债权人需按照本指引的要求提交债权申报材料（详见“五、债权人应提交的材料”）。</w:t>
      </w:r>
    </w:p>
    <w:p w14:paraId="061E2845">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2.债权人提交的全套申报材料均需加盖印鉴或签字。债权人为机构的，加盖单位公章及骑缝章；债权人为自然人的，由债权人本人或代理人签字并按手印。其中，涉及营业执照、身份证复印件等证明债权人主体资格的文件每页均需加盖印鉴或签字，涉及债权成立及其金额的证据材料可加盖骑缝章。</w:t>
      </w:r>
    </w:p>
    <w:p w14:paraId="0ABD42FF">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3.债权人向管理人提供的外文材料，应当附有有资质的翻译机构出具的中文译本。</w:t>
      </w:r>
    </w:p>
    <w:p w14:paraId="23296B32">
      <w:pPr>
        <w:pStyle w:val="2"/>
        <w:keepNext w:val="0"/>
        <w:keepLines w:val="0"/>
        <w:pageBreakBefore w:val="0"/>
        <w:widowControl/>
        <w:kinsoku/>
        <w:wordWrap/>
        <w:overflowPunct/>
        <w:topLine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4.在中国领域内没有住所的债权人委托中国律师或者其他人代理，从中国领域外寄交或者托交的授权委托书，外国企业或者组织提交的身份证明文件，以及在中国领域外形成的涉及身份关系的证据，应当经所在国公证机关证明，并经中国驻该国使领馆认证，或履行中国与该所在国订立有关条约中规定的证明手续后，才具有效力。</w:t>
      </w:r>
    </w:p>
    <w:p w14:paraId="4D964798">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5.债权人向管理人提供的在中国领域外形成的公文书证，应当经所在国公证机关证明，或者履行中国与该所在国订立的有关条约中规定的证明手续；在中国领域外形成的普通的民商事法律关系的证据，需要所在国公证或履行条约证明手续。</w:t>
      </w:r>
    </w:p>
    <w:p w14:paraId="3AA49E58">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6.债权人向管理人提供的主体资格证明材料和证据材料是在中国香港、中国澳门、中国台湾地区形成的，应当履行相关的证明手续。</w:t>
      </w:r>
    </w:p>
    <w:p w14:paraId="1DFD34A1">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7.债权人及其委托代理人务必在债权申报材料中注明有效的联系方式，包括但不限于固定电话、手机电话、电子邮箱、邮寄地址、邮政编码等。管理人将相关文件邮寄到指定地址、发送短信至指定手机电话或以电子邮件方式发至指定邮箱均视为有效送达。</w:t>
      </w:r>
    </w:p>
    <w:p w14:paraId="177365B3">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outlineLvl w:val="1"/>
        <w:rPr>
          <w:rFonts w:cs="宋体" w:asciiTheme="minorEastAsia" w:hAnsiTheme="minorEastAsia" w:eastAsiaTheme="minorEastAsia"/>
          <w:lang w:eastAsia="zh-CN"/>
        </w:rPr>
      </w:pPr>
      <w:r>
        <w:rPr>
          <w:rFonts w:hint="eastAsia" w:cs="宋体" w:asciiTheme="minorEastAsia" w:hAnsiTheme="minorEastAsia" w:eastAsiaTheme="minorEastAsia"/>
          <w:lang w:eastAsia="zh-CN"/>
        </w:rPr>
        <w:t>五、债权人应提交的材料</w:t>
      </w:r>
    </w:p>
    <w:p w14:paraId="1B4D59B4">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债权人申报债权时</w:t>
      </w:r>
      <w:r>
        <w:rPr>
          <w:rFonts w:hint="eastAsia" w:cs="宋体" w:asciiTheme="minorEastAsia" w:hAnsiTheme="minorEastAsia" w:eastAsiaTheme="minorEastAsia"/>
          <w:b/>
          <w:bCs/>
          <w:lang w:eastAsia="zh-CN"/>
        </w:rPr>
        <w:t>必须</w:t>
      </w:r>
      <w:r>
        <w:rPr>
          <w:rFonts w:hint="eastAsia" w:cs="宋体" w:asciiTheme="minorEastAsia" w:hAnsiTheme="minorEastAsia" w:eastAsiaTheme="minorEastAsia"/>
          <w:lang w:eastAsia="zh-CN"/>
        </w:rPr>
        <w:t>提交以下材料（</w:t>
      </w:r>
      <w:r>
        <w:rPr>
          <w:rFonts w:hint="eastAsia" w:cs="宋体" w:asciiTheme="minorEastAsia" w:hAnsiTheme="minorEastAsia" w:eastAsiaTheme="minorEastAsia"/>
          <w:b/>
          <w:bCs/>
          <w:lang w:eastAsia="zh-CN"/>
        </w:rPr>
        <w:t>管理人特别提示</w:t>
      </w:r>
      <w:r>
        <w:rPr>
          <w:rFonts w:hint="eastAsia" w:cs="宋体" w:asciiTheme="minorEastAsia" w:hAnsiTheme="minorEastAsia" w:eastAsiaTheme="minorEastAsia"/>
          <w:lang w:eastAsia="zh-CN"/>
        </w:rPr>
        <w:t>，如管理人认为提交材料不完整，可要求债权人补充；若债权人拒绝或无法提交的，对应申报部分可能因事实不清无法确认</w:t>
      </w:r>
      <w:r>
        <w:rPr>
          <w:rFonts w:hint="eastAsia" w:cs="宋体" w:asciiTheme="minorEastAsia" w:hAnsiTheme="minorEastAsia" w:eastAsiaTheme="minorEastAsia"/>
          <w:w w:val="99"/>
          <w:lang w:eastAsia="zh-CN"/>
        </w:rPr>
        <w:t>）：</w:t>
      </w:r>
    </w:p>
    <w:p w14:paraId="615D8FDC">
      <w:pPr>
        <w:pStyle w:val="2"/>
        <w:keepNext w:val="0"/>
        <w:keepLines w:val="0"/>
        <w:pageBreakBefore w:val="0"/>
        <w:widowControl/>
        <w:kinsoku/>
        <w:wordWrap/>
        <w:overflowPunct/>
        <w:topLinePunct/>
        <w:autoSpaceDE w:val="0"/>
        <w:autoSpaceDN w:val="0"/>
        <w:bidi w:val="0"/>
        <w:adjustRightInd w:val="0"/>
        <w:snapToGrid w:val="0"/>
        <w:spacing w:line="520" w:lineRule="exact"/>
        <w:ind w:firstLine="600" w:firstLineChars="200"/>
        <w:jc w:val="both"/>
        <w:textAlignment w:val="baseline"/>
        <w:outlineLvl w:val="2"/>
        <w:rPr>
          <w:rFonts w:cs="宋体" w:asciiTheme="minorEastAsia" w:hAnsiTheme="minorEastAsia" w:eastAsiaTheme="minorEastAsia"/>
          <w:lang w:eastAsia="zh-CN"/>
        </w:rPr>
      </w:pPr>
      <w:r>
        <w:rPr>
          <w:rFonts w:hint="eastAsia" w:cs="宋体" w:asciiTheme="minorEastAsia" w:hAnsiTheme="minorEastAsia" w:eastAsiaTheme="minorEastAsia"/>
          <w:lang w:eastAsia="zh-CN"/>
        </w:rPr>
        <w:t>（一）《债权申报材料目录》《债权申报表》《债权申报书》（后附模板，请按照指定模板填写，可加页）</w:t>
      </w:r>
    </w:p>
    <w:p w14:paraId="611DDC09">
      <w:pPr>
        <w:pStyle w:val="2"/>
        <w:keepNext w:val="0"/>
        <w:keepLines w:val="0"/>
        <w:pageBreakBefore w:val="0"/>
        <w:widowControl/>
        <w:kinsoku/>
        <w:wordWrap/>
        <w:overflowPunct/>
        <w:topLine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1.《债权申报材料目录》中按顺序填写提交的书面材料名称，并注明每份书面材料页数、页码、是否为原件等。</w:t>
      </w:r>
    </w:p>
    <w:p w14:paraId="57DFF2C7">
      <w:pPr>
        <w:pStyle w:val="2"/>
        <w:keepNext w:val="0"/>
        <w:keepLines w:val="0"/>
        <w:pageBreakBefore w:val="0"/>
        <w:widowControl/>
        <w:kinsoku/>
        <w:wordWrap/>
        <w:overflowPunct/>
        <w:topLine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2.申报人应真实、准确、完整填写《债权申报表》，填写债权申报人的基本信息、联系方式、送达地址、申报债权金额、是否存在担保以及诉讼、仲裁等情况。《债权申报表》尾部“申报日期”为申报人在债权申报网站提交债权申报材料的日期，</w:t>
      </w:r>
      <w:r>
        <w:rPr>
          <w:rFonts w:hint="eastAsia" w:cs="宋体" w:asciiTheme="minorEastAsia" w:hAnsiTheme="minorEastAsia" w:eastAsiaTheme="minorEastAsia"/>
          <w:b/>
          <w:bCs/>
          <w:lang w:eastAsia="zh-CN"/>
        </w:rPr>
        <w:t>以上信息如有虚假填写，债权人将自行承担法律后果</w:t>
      </w:r>
      <w:r>
        <w:rPr>
          <w:rFonts w:hint="eastAsia" w:cs="宋体" w:asciiTheme="minorEastAsia" w:hAnsiTheme="minorEastAsia" w:eastAsiaTheme="minorEastAsia"/>
          <w:lang w:eastAsia="zh-CN"/>
        </w:rPr>
        <w:t>。</w:t>
      </w:r>
    </w:p>
    <w:p w14:paraId="6C031CF3">
      <w:pPr>
        <w:pStyle w:val="2"/>
        <w:keepNext w:val="0"/>
        <w:keepLines w:val="0"/>
        <w:pageBreakBefore w:val="0"/>
        <w:widowControl/>
        <w:kinsoku/>
        <w:wordWrap/>
        <w:overflowPunct/>
        <w:topLine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3.《债权申报书》须写明申报的债权构成，包括但不限于金额、利息（如有）的计算方法及详细计算过程、债权性质、债权形成原因及经过、有无财产担保等相关事项。债权人填写债权申报书时，若主张利息、罚息或违约金等，涉及金额计算的，需就每笔债权的计算过程进行书面说明</w:t>
      </w:r>
      <w:r>
        <w:rPr>
          <w:rFonts w:hint="eastAsia" w:cs="宋体" w:asciiTheme="minorEastAsia" w:hAnsiTheme="minorEastAsia" w:eastAsiaTheme="minorEastAsia"/>
          <w:w w:val="97"/>
          <w:lang w:eastAsia="zh-CN"/>
        </w:rPr>
        <w:t>；</w:t>
      </w:r>
      <w:r>
        <w:rPr>
          <w:rFonts w:hint="eastAsia" w:cs="宋体" w:asciiTheme="minorEastAsia" w:hAnsiTheme="minorEastAsia" w:eastAsiaTheme="minorEastAsia"/>
          <w:lang w:eastAsia="zh-CN"/>
        </w:rPr>
        <w:t>否则，对应申报部分可能因事实不清无法确认。</w:t>
      </w:r>
    </w:p>
    <w:p w14:paraId="051B1415">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4.《债权申报表》和《债权申报书》记载的信息应当保持一致。</w:t>
      </w:r>
    </w:p>
    <w:p w14:paraId="41F460BF">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outlineLvl w:val="2"/>
        <w:rPr>
          <w:rFonts w:cs="宋体" w:asciiTheme="minorEastAsia" w:hAnsiTheme="minorEastAsia" w:eastAsiaTheme="minorEastAsia"/>
          <w:lang w:eastAsia="zh-CN"/>
        </w:rPr>
      </w:pPr>
      <w:r>
        <w:rPr>
          <w:rFonts w:hint="eastAsia" w:cs="宋体" w:asciiTheme="minorEastAsia" w:hAnsiTheme="minorEastAsia" w:eastAsiaTheme="minorEastAsia"/>
          <w:lang w:eastAsia="zh-CN"/>
        </w:rPr>
        <w:t>（二）债权人主体资格证明材料</w:t>
      </w:r>
    </w:p>
    <w:p w14:paraId="4A0BCE9E">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1.债权人为机构的，应提供如下主体资格证明材料：</w:t>
      </w:r>
    </w:p>
    <w:p w14:paraId="6BE8C295">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（1）有效的营业执照、事业单位和社团法人登记证书或其他合法证明书复印件；</w:t>
      </w:r>
    </w:p>
    <w:p w14:paraId="45394A9A">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（2）法定代表人（负责人）身份证明书原件（请参照范本）；</w:t>
      </w:r>
    </w:p>
    <w:p w14:paraId="31278007">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（3）法定代表人（负责人）身份证等个人有效证件复印件；</w:t>
      </w:r>
    </w:p>
    <w:p w14:paraId="5B2D85F5">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（4）法定代表人（负责人）之外的人员进行申报的，除上述资料外，还应当提交：</w:t>
      </w:r>
    </w:p>
    <w:p w14:paraId="64A259A6">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①机构的授权委托书原件（请参照范本）；</w:t>
      </w:r>
    </w:p>
    <w:p w14:paraId="551D22A9">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②委托代理人的身份证等个人有效证件复印件，委托代理人为律师的，还应提交律师执业证复印件、律师事务所指派函原件。</w:t>
      </w:r>
    </w:p>
    <w:p w14:paraId="2D598915">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（5）如发生单位名称变更的，必须提交变更的法律文件和证明文件。</w:t>
      </w:r>
    </w:p>
    <w:p w14:paraId="7DD667E1">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2.债权人为自然人的，应提供债权人身份证等个人有效证件复印件。债权人委托他人申报的，除上述资料外，还应当提交：</w:t>
      </w:r>
    </w:p>
    <w:p w14:paraId="62E93BA5">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（1）债权人的授权委托书原件（请参照范本</w:t>
      </w:r>
      <w:r>
        <w:rPr>
          <w:rFonts w:hint="eastAsia" w:cs="宋体" w:asciiTheme="minorEastAsia" w:hAnsiTheme="minorEastAsia" w:eastAsiaTheme="minorEastAsia"/>
          <w:w w:val="96"/>
          <w:lang w:eastAsia="zh-CN"/>
        </w:rPr>
        <w:t>）；</w:t>
      </w:r>
    </w:p>
    <w:p w14:paraId="274BA38D">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（2）委托代理人的身份证等个人有效证件复印件，委托代理人为律师的，还应提交律师执业证复印件、律师事务所指派函原件。</w:t>
      </w:r>
    </w:p>
    <w:p w14:paraId="39CD9CB3">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outlineLvl w:val="2"/>
        <w:rPr>
          <w:rFonts w:cs="宋体" w:asciiTheme="minorEastAsia" w:hAnsiTheme="minorEastAsia" w:eastAsiaTheme="minorEastAsia"/>
          <w:lang w:eastAsia="zh-CN"/>
        </w:rPr>
      </w:pPr>
      <w:r>
        <w:rPr>
          <w:rFonts w:hint="eastAsia" w:cs="宋体" w:asciiTheme="minorEastAsia" w:hAnsiTheme="minorEastAsia" w:eastAsiaTheme="minorEastAsia"/>
          <w:lang w:eastAsia="zh-CN"/>
        </w:rPr>
        <w:t>（三）证明债权成立及其金额的证据材料</w:t>
      </w:r>
    </w:p>
    <w:p w14:paraId="69760350">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债权人申报债权应提交能够证明债权成立及其金额的全部证据材料，包括但不限于：</w:t>
      </w:r>
    </w:p>
    <w:p w14:paraId="6EB85D8F">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1.合同（包括但不限于商品房买卖合同、借贷款合同、施工合同等）、协议（抵债协议、还款协议）、备忘录等证明存在债权债务关系的文件；</w:t>
      </w:r>
    </w:p>
    <w:p w14:paraId="75001F16">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2.各类票据、划账单、汇款单、对账单、收据、结算单等履行凭证；</w:t>
      </w:r>
    </w:p>
    <w:p w14:paraId="150FA53A">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3.债权如有担保的，还须提交抵押合同、质押合同、保证合同、担保物清单以及相关的抵押、质押登记证明（包括但不限于他项权利证明）等；</w:t>
      </w:r>
    </w:p>
    <w:p w14:paraId="64390820">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4.债权的发生及变更（包括但不限于债权转让、债务承担、合同转让、债务重组、抵销、部分清偿）等原始材料；</w:t>
      </w:r>
    </w:p>
    <w:p w14:paraId="55717A3D">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5.债权人主张债权的相关证明，如催款、催收通知等；</w:t>
      </w:r>
    </w:p>
    <w:p w14:paraId="38CE50D6">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6.相关公证文书（如有）；</w:t>
      </w:r>
    </w:p>
    <w:p w14:paraId="4BC865C5">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7.能够证明债权发生、变更、存续，诉讼时效中止、中断、延长及债权金额等情况的其他材料；</w:t>
      </w:r>
    </w:p>
    <w:p w14:paraId="250EA528">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8.债权如涉及诉讼、仲裁、调解、保全、执行，则须提交诉讼、仲裁、调解、保全、执行有关的文件（包括但不限于已经判决正在执行或正在进行中的案件的起诉状、仲裁申请书、诉讼保全申请书、保全裁定书、生效判决书、调解书、裁决书、执行申请书、法院执行裁定书、法院执行案件通知书等）。法院出具的生效法律文书应附生效证明（或送达回执等能证明生效的材料）。如果经过两级法院审理，一、二审法院的法律文书皆需提供；仲裁机关出具的生效法律文书应附上仲裁机关关于法律文书已经生效的函件或双方当事人已签收的送达回执以及证据材料。如已申请人民法院强制执行的，还须提交人民法院执行立案通知书、执行裁定书等相关文件，并应向管理人说明是否已领取部分执行款；</w:t>
      </w:r>
    </w:p>
    <w:p w14:paraId="2F2E3BC4">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9.其他能够证明债权成立的依据。</w:t>
      </w:r>
    </w:p>
    <w:p w14:paraId="023FF3D0">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以上证明债权成立及其金额的证据材料，请按照证据材料的形成时间先后排序，并提供文件复印件。</w:t>
      </w:r>
    </w:p>
    <w:p w14:paraId="52035344">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outlineLvl w:val="1"/>
        <w:rPr>
          <w:rFonts w:cs="宋体" w:asciiTheme="minorEastAsia" w:hAnsiTheme="minorEastAsia" w:eastAsiaTheme="minorEastAsia"/>
          <w:lang w:eastAsia="zh-CN"/>
        </w:rPr>
      </w:pPr>
      <w:r>
        <w:rPr>
          <w:rFonts w:hint="eastAsia" w:cs="宋体" w:asciiTheme="minorEastAsia" w:hAnsiTheme="minorEastAsia" w:eastAsiaTheme="minorEastAsia"/>
          <w:lang w:eastAsia="zh-CN"/>
        </w:rPr>
        <w:t>六、其他特别注意事项</w:t>
      </w:r>
    </w:p>
    <w:p w14:paraId="285EA19A">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一）债权人务必在《债权人送达地址确认书》注明有效的联系方式，包括收件人、电子邮箱、通信地址、手机号码等。管理人发送短信至指定手机电话、将相关文件交寄至指定地址或以电子邮件方式发送至指定邮箱均视为有效送达。如登记信息变更，债权人应以书面形式及时通知管理人，否则应自行承担不能送达的不利后果。</w:t>
      </w:r>
    </w:p>
    <w:p w14:paraId="672FB28F">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二）请各债权人于收到申报通知后及时向管理人提交申报材料。因本案债权人众多，如债权人迟延申报，可能造成大量债权集中于申报截止日前的数日内申报，以致债权审查工作难以及时完成，进而可能影响债权人相关权利的行使。</w:t>
      </w:r>
    </w:p>
    <w:p w14:paraId="2F988575">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三）债权人申报的债权已经获得或将要获得（如已达成清偿协议但未履行完毕）凤凰谷公司或者其他连带债务人清偿的，或凤凰谷公司作为担保人的，主债务人已经履行全部或部分清偿义务的，应及时告知管理人，隐瞒债权受偿情况将承担相应的法律责任。</w:t>
      </w:r>
    </w:p>
    <w:p w14:paraId="147971FB">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四）债权人以外币申报债权的，应按照法院受理凤凰谷公司破产重整之日（即2025年12月1日）中国人民银行公布的外币兑人民币的汇率中间价统一折算为人民币。债权人未折算为人民币的，管理人有权不接受其申报。债权人申报利息的，应以折算为人民币后的本金数额作为计息基数。</w:t>
      </w:r>
    </w:p>
    <w:p w14:paraId="2F902ED6">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（五）债权人邮寄书面材料的，应自行承担邮寄费用，管理人不接受以到付方式邮寄的书面债权材料。</w:t>
      </w:r>
    </w:p>
    <w:p w14:paraId="32268D15">
      <w:pPr>
        <w:pStyle w:val="2"/>
        <w:keepNext w:val="0"/>
        <w:keepLines w:val="0"/>
        <w:pageBreakBefore w:val="0"/>
        <w:widowControl/>
        <w:wordWrap/>
        <w:overflowPunct/>
        <w:autoSpaceDE w:val="0"/>
        <w:autoSpaceDN w:val="0"/>
        <w:bidi w:val="0"/>
        <w:adjustRightInd w:val="0"/>
        <w:snapToGrid w:val="0"/>
        <w:spacing w:line="520" w:lineRule="exact"/>
        <w:ind w:firstLine="600" w:firstLineChars="200"/>
        <w:jc w:val="both"/>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（六）本《债权申报指引》不构成无效债权（包括但不限于已过诉讼时效的债权等）的重新有效确认。</w:t>
      </w:r>
    </w:p>
    <w:p w14:paraId="7B6817C2">
      <w:pPr>
        <w:keepNext w:val="0"/>
        <w:keepLines w:val="0"/>
        <w:pageBreakBefore w:val="0"/>
        <w:widowControl/>
        <w:wordWrap/>
        <w:overflowPunct/>
        <w:autoSpaceDE w:val="0"/>
        <w:autoSpaceDN w:val="0"/>
        <w:bidi w:val="0"/>
        <w:adjustRightInd w:val="0"/>
        <w:snapToGrid w:val="0"/>
        <w:spacing w:line="520" w:lineRule="exact"/>
        <w:ind w:left="2730" w:leftChars="1300" w:firstLine="420" w:firstLineChars="200"/>
        <w:jc w:val="center"/>
        <w:textAlignment w:val="baseline"/>
        <w:rPr>
          <w:rFonts w:cs="宋体" w:asciiTheme="minorEastAsia" w:hAnsiTheme="minorEastAsia" w:eastAsiaTheme="minorEastAsia"/>
          <w:lang w:eastAsia="zh-CN"/>
        </w:rPr>
      </w:pPr>
    </w:p>
    <w:p w14:paraId="6AB92A79">
      <w:pPr>
        <w:keepNext w:val="0"/>
        <w:keepLines w:val="0"/>
        <w:pageBreakBefore w:val="0"/>
        <w:widowControl/>
        <w:wordWrap/>
        <w:overflowPunct/>
        <w:autoSpaceDE w:val="0"/>
        <w:autoSpaceDN w:val="0"/>
        <w:bidi w:val="0"/>
        <w:adjustRightInd w:val="0"/>
        <w:snapToGrid w:val="0"/>
        <w:spacing w:line="520" w:lineRule="exact"/>
        <w:ind w:left="2730" w:leftChars="1300" w:firstLine="420" w:firstLineChars="200"/>
        <w:jc w:val="center"/>
        <w:textAlignment w:val="baseline"/>
        <w:rPr>
          <w:rFonts w:cs="宋体" w:asciiTheme="minorEastAsia" w:hAnsiTheme="minorEastAsia" w:eastAsiaTheme="minorEastAsia"/>
          <w:lang w:eastAsia="zh-CN"/>
        </w:rPr>
      </w:pPr>
    </w:p>
    <w:p w14:paraId="0AFBE509">
      <w:pPr>
        <w:keepNext w:val="0"/>
        <w:keepLines w:val="0"/>
        <w:pageBreakBefore w:val="0"/>
        <w:widowControl/>
        <w:wordWrap/>
        <w:overflowPunct/>
        <w:autoSpaceDE w:val="0"/>
        <w:autoSpaceDN w:val="0"/>
        <w:bidi w:val="0"/>
        <w:adjustRightInd w:val="0"/>
        <w:snapToGrid w:val="0"/>
        <w:spacing w:line="520" w:lineRule="exact"/>
        <w:ind w:left="2730" w:leftChars="1300" w:firstLine="420" w:firstLineChars="200"/>
        <w:jc w:val="center"/>
        <w:textAlignment w:val="baseline"/>
        <w:rPr>
          <w:rFonts w:cs="宋体" w:asciiTheme="minorEastAsia" w:hAnsiTheme="minorEastAsia" w:eastAsiaTheme="minorEastAsia"/>
          <w:lang w:eastAsia="zh-CN"/>
        </w:rPr>
      </w:pPr>
    </w:p>
    <w:p w14:paraId="32B08D62">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2730" w:leftChars="1300" w:firstLine="600" w:firstLineChars="200"/>
        <w:jc w:val="right"/>
        <w:textAlignment w:val="baseline"/>
        <w:rPr>
          <w:rFonts w:cs="宋体" w:asciiTheme="minorEastAsia" w:hAnsiTheme="minorEastAsia" w:eastAsiaTheme="minorEastAsia"/>
          <w:lang w:eastAsia="zh-CN"/>
        </w:rPr>
      </w:pPr>
      <w:r>
        <w:rPr>
          <w:rFonts w:hint="eastAsia" w:cs="宋体" w:asciiTheme="minorEastAsia" w:hAnsiTheme="minorEastAsia" w:eastAsiaTheme="minorEastAsia"/>
          <w:lang w:eastAsia="zh-CN"/>
        </w:rPr>
        <w:t>湖南金洲凤凰谷投资有限公司管理人</w:t>
      </w:r>
    </w:p>
    <w:p w14:paraId="6931F98F">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2730" w:leftChars="1300" w:firstLine="600" w:firstLineChars="200"/>
        <w:jc w:val="right"/>
        <w:textAlignment w:val="baseline"/>
        <w:rPr>
          <w:rFonts w:hint="eastAsia" w:cs="宋体" w:asciiTheme="minorEastAsia" w:hAnsiTheme="minorEastAsia" w:eastAsiaTheme="minorEastAsia"/>
          <w:lang w:val="en-US" w:eastAsia="zh-CN"/>
        </w:rPr>
      </w:pPr>
      <w:r>
        <w:rPr>
          <w:rFonts w:hint="eastAsia" w:cs="宋体" w:asciiTheme="minorEastAsia" w:hAnsiTheme="minorEastAsia" w:eastAsiaTheme="minorEastAsia"/>
          <w:lang w:val="en-US" w:eastAsia="zh-CN"/>
        </w:rPr>
        <w:t xml:space="preserve">                                </w:t>
      </w:r>
    </w:p>
    <w:p w14:paraId="493F220C">
      <w:pPr>
        <w:pStyle w:val="2"/>
        <w:keepNext w:val="0"/>
        <w:keepLines w:val="0"/>
        <w:pageBreakBefore w:val="0"/>
        <w:widowControl/>
        <w:kinsoku w:val="0"/>
        <w:wordWrap/>
        <w:overflowPunct/>
        <w:topLinePunct w:val="0"/>
        <w:autoSpaceDE w:val="0"/>
        <w:autoSpaceDN w:val="0"/>
        <w:bidi w:val="0"/>
        <w:adjustRightInd w:val="0"/>
        <w:snapToGrid w:val="0"/>
        <w:spacing w:line="520" w:lineRule="exact"/>
        <w:ind w:left="2730" w:leftChars="1300" w:firstLine="600" w:firstLineChars="200"/>
        <w:jc w:val="right"/>
        <w:textAlignment w:val="baseline"/>
        <w:rPr>
          <w:rFonts w:cs="宋体" w:asciiTheme="minorEastAsia" w:hAnsiTheme="minorEastAsia" w:eastAsiaTheme="minorEastAsia"/>
        </w:rPr>
      </w:pPr>
      <w:bookmarkStart w:id="0" w:name="_GoBack"/>
      <w:bookmarkEnd w:id="0"/>
      <w:r>
        <w:rPr>
          <w:rFonts w:hint="eastAsia" w:cs="宋体" w:asciiTheme="minorEastAsia" w:hAnsiTheme="minorEastAsia" w:eastAsiaTheme="minorEastAsia"/>
        </w:rPr>
        <w:t>二〇二</w:t>
      </w:r>
      <w:r>
        <w:rPr>
          <w:rFonts w:hint="eastAsia" w:cs="宋体" w:asciiTheme="minorEastAsia" w:hAnsiTheme="minorEastAsia" w:eastAsiaTheme="minorEastAsia"/>
          <w:lang w:eastAsia="zh-CN"/>
        </w:rPr>
        <w:t>五</w:t>
      </w:r>
      <w:r>
        <w:rPr>
          <w:rFonts w:hint="eastAsia" w:cs="宋体" w:asciiTheme="minorEastAsia" w:hAnsiTheme="minorEastAsia" w:eastAsiaTheme="minorEastAsia"/>
        </w:rPr>
        <w:t>年</w:t>
      </w:r>
      <w:r>
        <w:rPr>
          <w:rFonts w:hint="eastAsia" w:cs="宋体" w:asciiTheme="minorEastAsia" w:hAnsiTheme="minorEastAsia" w:eastAsiaTheme="minorEastAsia"/>
          <w:lang w:val="en-US" w:eastAsia="zh-CN"/>
        </w:rPr>
        <w:t>十二</w:t>
      </w:r>
      <w:r>
        <w:rPr>
          <w:rFonts w:hint="eastAsia" w:cs="宋体" w:asciiTheme="minorEastAsia" w:hAnsiTheme="minorEastAsia" w:eastAsiaTheme="minorEastAsia"/>
        </w:rPr>
        <w:t>月</w:t>
      </w:r>
      <w:r>
        <w:rPr>
          <w:rFonts w:hint="eastAsia" w:cs="宋体" w:asciiTheme="minorEastAsia" w:hAnsiTheme="minorEastAsia" w:eastAsiaTheme="minorEastAsia"/>
          <w:lang w:eastAsia="zh-CN"/>
        </w:rPr>
        <w:t>九</w:t>
      </w:r>
      <w:r>
        <w:rPr>
          <w:rFonts w:hint="eastAsia" w:cs="宋体" w:asciiTheme="minorEastAsia" w:hAnsiTheme="minorEastAsia" w:eastAsiaTheme="minorEastAsia"/>
        </w:rPr>
        <w:t>日</w:t>
      </w:r>
    </w:p>
    <w:sectPr>
      <w:footerReference r:id="rId3" w:type="default"/>
      <w:pgSz w:w="11904" w:h="16839"/>
      <w:pgMar w:top="1429" w:right="1522" w:bottom="1429" w:left="1554" w:header="0" w:footer="567" w:gutter="0"/>
      <w:pgNumType w:fmt="decimal"/>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PingFang SC">
    <w:altName w:val="宋体"/>
    <w:panose1 w:val="020B0400000000000000"/>
    <w:charset w:val="86"/>
    <w:family w:val="swiss"/>
    <w:pitch w:val="default"/>
    <w:sig w:usb0="00000000" w:usb1="00000000" w:usb2="00000017"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26830D">
    <w:pPr>
      <w:pStyle w:val="3"/>
      <w:jc w:val="both"/>
      <w:rPr>
        <w:color w:val="4F81BD" w:themeColor="accent1"/>
        <w14:textFill>
          <w14:solidFill>
            <w14:schemeClr w14:val="accent1"/>
          </w14:solidFill>
        </w14:textFill>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7C21B2">
                          <w:pPr>
                            <w:pStyle w:val="3"/>
                          </w:pPr>
                          <w:r>
                            <w:t xml:space="preserve">第 </w:t>
                          </w:r>
                          <w:r>
                            <w:fldChar w:fldCharType="begin"/>
                          </w:r>
                          <w:r>
                            <w:instrText xml:space="preserve"> PAGE  \* MERGEFORMAT </w:instrText>
                          </w:r>
                          <w:r>
                            <w:fldChar w:fldCharType="separate"/>
                          </w:r>
                          <w:r>
                            <w:t>一</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F7C21B2">
                    <w:pPr>
                      <w:pStyle w:val="3"/>
                    </w:pPr>
                    <w:r>
                      <w:t xml:space="preserve">第 </w:t>
                    </w:r>
                    <w:r>
                      <w:fldChar w:fldCharType="begin"/>
                    </w:r>
                    <w:r>
                      <w:instrText xml:space="preserve"> PAGE  \* MERGEFORMAT </w:instrText>
                    </w:r>
                    <w:r>
                      <w:fldChar w:fldCharType="separate"/>
                    </w:r>
                    <w:r>
                      <w:t>一</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p w14:paraId="0A35DA48">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rsids>
    <w:rsidRoot w:val="00C8326B"/>
    <w:rsid w:val="000E101A"/>
    <w:rsid w:val="00182813"/>
    <w:rsid w:val="0026039E"/>
    <w:rsid w:val="00260ECB"/>
    <w:rsid w:val="00272D19"/>
    <w:rsid w:val="0036662B"/>
    <w:rsid w:val="00394B80"/>
    <w:rsid w:val="00602258"/>
    <w:rsid w:val="00611A10"/>
    <w:rsid w:val="007516AE"/>
    <w:rsid w:val="00796CA5"/>
    <w:rsid w:val="007B5EBA"/>
    <w:rsid w:val="007D0AD0"/>
    <w:rsid w:val="007F245D"/>
    <w:rsid w:val="008621BA"/>
    <w:rsid w:val="009600B0"/>
    <w:rsid w:val="009D3514"/>
    <w:rsid w:val="009D75D2"/>
    <w:rsid w:val="009F3EDC"/>
    <w:rsid w:val="00C8326B"/>
    <w:rsid w:val="00CB143D"/>
    <w:rsid w:val="00CF3B32"/>
    <w:rsid w:val="00CF707A"/>
    <w:rsid w:val="00D22ABC"/>
    <w:rsid w:val="00DA23EF"/>
    <w:rsid w:val="00E71694"/>
    <w:rsid w:val="00F07131"/>
    <w:rsid w:val="00F61755"/>
    <w:rsid w:val="3691ED6B"/>
    <w:rsid w:val="37FFDD6D"/>
    <w:rsid w:val="3EFDA1D7"/>
    <w:rsid w:val="4E6CCFF5"/>
    <w:rsid w:val="695564F2"/>
    <w:rsid w:val="69D7F6B9"/>
    <w:rsid w:val="6FFE16BB"/>
    <w:rsid w:val="73F7EFFB"/>
    <w:rsid w:val="775FAB39"/>
    <w:rsid w:val="7DBF7B62"/>
    <w:rsid w:val="ADFC12E1"/>
    <w:rsid w:val="BDFD3827"/>
    <w:rsid w:val="BDFE4065"/>
    <w:rsid w:val="BDFF887C"/>
    <w:rsid w:val="BE5C47CB"/>
    <w:rsid w:val="BEBF36A9"/>
    <w:rsid w:val="DDF570EB"/>
    <w:rsid w:val="DE5F8154"/>
    <w:rsid w:val="F9CF296D"/>
    <w:rsid w:val="FF4F7A3F"/>
    <w:rsid w:val="FFD4AEC8"/>
    <w:rsid w:val="FFFF7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semiHidden/>
    <w:qFormat/>
    <w:uiPriority w:val="0"/>
    <w:rPr>
      <w:rFonts w:ascii="PingFang SC" w:hAnsi="PingFang SC" w:eastAsia="PingFang SC" w:cs="PingFang SC"/>
      <w:sz w:val="30"/>
      <w:szCs w:val="30"/>
    </w:rPr>
  </w:style>
  <w:style w:type="paragraph" w:styleId="3">
    <w:name w:val="footer"/>
    <w:basedOn w:val="1"/>
    <w:link w:val="11"/>
    <w:uiPriority w:val="99"/>
    <w:pPr>
      <w:tabs>
        <w:tab w:val="center" w:pos="4153"/>
        <w:tab w:val="right" w:pos="8306"/>
      </w:tabs>
    </w:pPr>
    <w:rPr>
      <w:sz w:val="18"/>
      <w:szCs w:val="18"/>
    </w:rPr>
  </w:style>
  <w:style w:type="paragraph" w:styleId="4">
    <w:name w:val="header"/>
    <w:basedOn w:val="1"/>
    <w:link w:val="10"/>
    <w:uiPriority w:val="0"/>
    <w:pPr>
      <w:pBdr>
        <w:bottom w:val="single" w:color="auto" w:sz="6" w:space="1"/>
      </w:pBdr>
      <w:tabs>
        <w:tab w:val="center" w:pos="4153"/>
        <w:tab w:val="right" w:pos="8306"/>
      </w:tabs>
      <w:jc w:val="center"/>
    </w:pPr>
    <w:rPr>
      <w:sz w:val="18"/>
      <w:szCs w:val="18"/>
    </w:rPr>
  </w:style>
  <w:style w:type="character" w:styleId="7">
    <w:name w:val="Hyperlink"/>
    <w:basedOn w:val="6"/>
    <w:uiPriority w:val="0"/>
    <w:rPr>
      <w:color w:val="0000FF"/>
      <w:u w:val="single"/>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_Style 13"/>
    <w:uiPriority w:val="0"/>
    <w:pPr>
      <w:spacing w:before="120" w:after="120" w:line="288" w:lineRule="auto"/>
    </w:pPr>
    <w:rPr>
      <w:rFonts w:ascii="Arial" w:hAnsi="Arial" w:eastAsia="等线" w:cs="Arial"/>
      <w:sz w:val="22"/>
      <w:szCs w:val="22"/>
      <w:lang w:val="en-US" w:eastAsia="zh-CN" w:bidi="ar-SA"/>
    </w:rPr>
  </w:style>
  <w:style w:type="character" w:customStyle="1" w:styleId="10">
    <w:name w:val="页眉 字符"/>
    <w:basedOn w:val="6"/>
    <w:link w:val="4"/>
    <w:uiPriority w:val="0"/>
    <w:rPr>
      <w:rFonts w:eastAsia="Arial"/>
      <w:snapToGrid w:val="0"/>
      <w:color w:val="000000"/>
      <w:sz w:val="18"/>
      <w:szCs w:val="18"/>
      <w:lang w:eastAsia="en-US"/>
    </w:rPr>
  </w:style>
  <w:style w:type="character" w:customStyle="1" w:styleId="11">
    <w:name w:val="页脚 字符"/>
    <w:basedOn w:val="6"/>
    <w:link w:val="3"/>
    <w:uiPriority w:val="99"/>
    <w:rPr>
      <w:rFonts w:eastAsia="Arial"/>
      <w:snapToGrid w:val="0"/>
      <w:color w:val="000000"/>
      <w:sz w:val="18"/>
      <w:szCs w:val="1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3813</Words>
  <Characters>3920</Characters>
  <Lines>29</Lines>
  <Paragraphs>8</Paragraphs>
  <TotalTime>3</TotalTime>
  <ScaleCrop>false</ScaleCrop>
  <LinksUpToDate>false</LinksUpToDate>
  <CharactersWithSpaces>3952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2024-03-03T23:52:00Z</dcterms:created>
  <dc:creator>Data</dc:creator>
  <cp:lastModifiedBy>荻草生紫花</cp:lastModifiedBy>
  <dcterms:modified xsi:type="dcterms:W3CDTF">2025-12-09T10:59:33Z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2025-09-08T11:49:57Z</vt:filetime>
  </property>
  <property fmtid="{D5CDD505-2E9C-101B-9397-08002B2CF9AE}" pid="4" name="KSOProductBuildVer">
    <vt:lpwstr>2052-12.1.0.24034</vt:lpwstr>
  </property>
  <property fmtid="{D5CDD505-2E9C-101B-9397-08002B2CF9AE}" pid="5" name="ICV">
    <vt:lpwstr>8207F2A1E3E39A1F0661BE6870FFB809_42</vt:lpwstr>
  </property>
  <property fmtid="{D5CDD505-2E9C-101B-9397-08002B2CF9AE}" pid="6" name="KSOTemplateDocerSaveRecord">
    <vt:lpwstr>eyJoZGlkIjoiMmU1MTAwNTU0MzYzNjhhZGVhMmMyMTgyOTE0Nzk2NDMiLCJ1c2VySWQiOiIyMjA3MzQwMTUifQ==</vt:lpwstr>
  </property>
</Properties>
</file>