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71764">
      <w:pPr>
        <w:pStyle w:val="8"/>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480" w:lineRule="exact"/>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38F84457">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u w:val="none"/>
        </w:rPr>
      </w:pPr>
      <w:r>
        <w:rPr>
          <w:rFonts w:hint="eastAsia" w:ascii="宋体" w:hAnsi="宋体" w:eastAsia="宋体" w:cs="宋体"/>
          <w:sz w:val="24"/>
          <w:szCs w:val="24"/>
          <w:u w:val="none"/>
          <w:lang w:val="en-US" w:eastAsia="zh-Hans"/>
        </w:rPr>
        <w:t>福建鸿志兴股份有限公司管理人（以下简称管理人）将于202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12</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22</w:t>
      </w:r>
      <w:r>
        <w:rPr>
          <w:rFonts w:hint="eastAsia" w:ascii="宋体" w:hAnsi="宋体" w:eastAsia="宋体" w:cs="宋体"/>
          <w:sz w:val="24"/>
          <w:szCs w:val="24"/>
          <w:u w:val="none"/>
          <w:lang w:val="en-US" w:eastAsia="zh-Hans"/>
        </w:rPr>
        <w:t>日10时至202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12</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23</w:t>
      </w:r>
      <w:r>
        <w:rPr>
          <w:rFonts w:hint="eastAsia" w:ascii="宋体" w:hAnsi="宋体" w:eastAsia="宋体" w:cs="宋体"/>
          <w:sz w:val="24"/>
          <w:szCs w:val="24"/>
          <w:u w:val="none"/>
          <w:lang w:val="en-US" w:eastAsia="zh-Hans"/>
        </w:rPr>
        <w:t>日10时止（延时顺延）在京东拍卖平台【处置</w:t>
      </w:r>
      <w:r>
        <w:rPr>
          <w:rFonts w:hint="eastAsia" w:ascii="宋体" w:hAnsi="宋体" w:eastAsia="宋体" w:cs="宋体"/>
          <w:sz w:val="24"/>
          <w:szCs w:val="24"/>
          <w:u w:val="none"/>
          <w:lang w:val="en-US" w:eastAsia="zh-CN"/>
        </w:rPr>
        <w:t>单位</w:t>
      </w:r>
      <w:r>
        <w:rPr>
          <w:rFonts w:hint="eastAsia" w:ascii="宋体" w:hAnsi="宋体" w:eastAsia="宋体" w:cs="宋体"/>
          <w:sz w:val="24"/>
          <w:szCs w:val="24"/>
          <w:u w:val="none"/>
          <w:lang w:val="en-US" w:eastAsia="zh-Hans"/>
        </w:rPr>
        <w:t>：</w:t>
      </w:r>
      <w:r>
        <w:rPr>
          <w:rFonts w:hint="eastAsia" w:ascii="宋体" w:hAnsi="宋体" w:eastAsia="宋体" w:cs="宋体"/>
          <w:sz w:val="24"/>
          <w:szCs w:val="24"/>
          <w:u w:val="none"/>
          <w:lang w:val="en-US" w:eastAsia="zh-CN"/>
        </w:rPr>
        <w:t>福建鸿志兴股份有限公司</w:t>
      </w:r>
      <w:r>
        <w:rPr>
          <w:rFonts w:hint="eastAsia" w:ascii="宋体" w:hAnsi="宋体" w:eastAsia="宋体" w:cs="宋体"/>
          <w:sz w:val="24"/>
          <w:szCs w:val="24"/>
          <w:u w:val="none"/>
          <w:lang w:val="en-US" w:eastAsia="zh-Hans"/>
        </w:rPr>
        <w:t>管理人；监督单位：</w:t>
      </w:r>
      <w:r>
        <w:rPr>
          <w:rFonts w:hint="eastAsia" w:cs="宋体"/>
          <w:sz w:val="24"/>
          <w:szCs w:val="24"/>
          <w:u w:val="none"/>
          <w:lang w:val="en-US" w:eastAsia="zh-CN"/>
        </w:rPr>
        <w:t>福建省建瓯市</w:t>
      </w:r>
      <w:r>
        <w:rPr>
          <w:rFonts w:hint="eastAsia" w:ascii="宋体" w:hAnsi="宋体" w:eastAsia="宋体" w:cs="宋体"/>
          <w:sz w:val="24"/>
          <w:szCs w:val="24"/>
          <w:u w:val="none"/>
          <w:lang w:val="en-US" w:eastAsia="zh-Hans"/>
        </w:rPr>
        <w:t>人民法院；网址：https://auction.jd.com/bankrupt.html】进行公开拍卖活动，现公告如下：</w:t>
      </w:r>
    </w:p>
    <w:p w14:paraId="0621EF85">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SA"/>
        </w:rPr>
        <w:t>一、</w:t>
      </w: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4B1DDAB7">
      <w:pPr>
        <w:pStyle w:val="8"/>
        <w:keepNext w:val="0"/>
        <w:keepLines w:val="0"/>
        <w:pageBreakBefore w:val="0"/>
        <w:widowControl/>
        <w:numPr>
          <w:ilvl w:val="-1"/>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cs="宋体"/>
          <w:b/>
          <w:bCs/>
          <w:sz w:val="24"/>
          <w:szCs w:val="24"/>
          <w:lang w:eastAsia="zh-CN"/>
        </w:rPr>
        <w:t>（</w:t>
      </w:r>
      <w:r>
        <w:rPr>
          <w:rFonts w:hint="eastAsia" w:cs="宋体"/>
          <w:b/>
          <w:bCs/>
          <w:sz w:val="24"/>
          <w:szCs w:val="24"/>
          <w:lang w:val="en-US" w:eastAsia="zh-CN"/>
        </w:rPr>
        <w:t>一</w:t>
      </w:r>
      <w:r>
        <w:rPr>
          <w:rFonts w:hint="eastAsia" w:cs="宋体"/>
          <w:b/>
          <w:bCs/>
          <w:sz w:val="24"/>
          <w:szCs w:val="24"/>
          <w:lang w:eastAsia="zh-CN"/>
        </w:rPr>
        <w:t>）</w:t>
      </w:r>
      <w:r>
        <w:rPr>
          <w:rFonts w:hint="eastAsia" w:ascii="宋体" w:hAnsi="宋体" w:eastAsia="宋体" w:cs="宋体"/>
          <w:b/>
          <w:bCs/>
          <w:sz w:val="24"/>
          <w:szCs w:val="24"/>
          <w:lang w:eastAsia="zh-Hans"/>
        </w:rPr>
        <w:t>拍卖标的</w:t>
      </w:r>
    </w:p>
    <w:p w14:paraId="108EE1C8">
      <w:pPr>
        <w:pStyle w:val="8"/>
        <w:keepNext w:val="0"/>
        <w:keepLines w:val="0"/>
        <w:pageBreakBefore w:val="0"/>
        <w:widowControl/>
        <w:numPr>
          <w:ilvl w:val="-1"/>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val="en-US" w:eastAsia="zh-Hans"/>
        </w:rPr>
        <w:t>福建鸿志兴股份有限公司</w:t>
      </w:r>
      <w:r>
        <w:rPr>
          <w:rFonts w:hint="eastAsia" w:cs="宋体"/>
          <w:b/>
          <w:bCs/>
          <w:sz w:val="24"/>
          <w:szCs w:val="24"/>
          <w:lang w:val="en-US" w:eastAsia="zh-CN"/>
        </w:rPr>
        <w:t>名下位于建瓯市东门外笋竹城开发区D区16-1#地块的五宗国有出让工业用地及地上建（构）筑物，其中已办理产权证的厂房面积15,120.00平方米，取得</w:t>
      </w:r>
      <w:r>
        <w:rPr>
          <w:rFonts w:hint="eastAsia" w:cs="宋体"/>
          <w:b/>
          <w:bCs/>
          <w:sz w:val="24"/>
          <w:szCs w:val="24"/>
          <w:highlight w:val="none"/>
          <w:lang w:val="en-US" w:eastAsia="zh-CN"/>
        </w:rPr>
        <w:t>《建设工程规划许可证》及《建筑工程施工许可证》但尚未办理产权证的厂房面积16,141.76平方米，未查有审建手续的厂房</w:t>
      </w:r>
      <w:r>
        <w:rPr>
          <w:rFonts w:hint="eastAsia" w:cs="宋体"/>
          <w:b/>
          <w:bCs/>
          <w:sz w:val="24"/>
          <w:szCs w:val="24"/>
          <w:lang w:val="en-US" w:eastAsia="zh-CN"/>
        </w:rPr>
        <w:t>面积14,845.11平方米，水泥硬化面积15,895.00平方米，土地使用权面积80,805.19平方米。详细资产概括如下：</w:t>
      </w:r>
    </w:p>
    <w:p w14:paraId="23B27220">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default" w:ascii="宋体" w:hAnsi="宋体" w:eastAsia="宋体" w:cs="宋体"/>
          <w:b/>
          <w:bCs/>
          <w:sz w:val="24"/>
          <w:szCs w:val="24"/>
          <w:lang w:val="en-US" w:eastAsia="zh-CN"/>
        </w:rPr>
      </w:pPr>
      <w:r>
        <w:rPr>
          <w:rFonts w:hint="eastAsia" w:cs="宋体"/>
          <w:b/>
          <w:bCs/>
          <w:sz w:val="24"/>
          <w:szCs w:val="24"/>
          <w:lang w:val="en-US" w:eastAsia="zh-CN"/>
        </w:rPr>
        <w:t>1.地上建（构）筑物</w:t>
      </w:r>
    </w:p>
    <w:tbl>
      <w:tblPr>
        <w:tblStyle w:val="11"/>
        <w:tblW w:w="8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6"/>
        <w:gridCol w:w="1299"/>
        <w:gridCol w:w="1148"/>
        <w:gridCol w:w="1087"/>
        <w:gridCol w:w="2592"/>
        <w:gridCol w:w="1179"/>
      </w:tblGrid>
      <w:tr w14:paraId="0765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756" w:type="dxa"/>
            <w:tcBorders>
              <w:tl2br w:val="nil"/>
              <w:tr2bl w:val="nil"/>
            </w:tcBorders>
            <w:shd w:val="clear" w:color="auto" w:fill="auto"/>
            <w:vAlign w:val="center"/>
          </w:tcPr>
          <w:p w14:paraId="5276CA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99" w:type="dxa"/>
            <w:tcBorders>
              <w:tl2br w:val="nil"/>
              <w:tr2bl w:val="nil"/>
            </w:tcBorders>
            <w:shd w:val="clear" w:color="auto" w:fill="auto"/>
            <w:vAlign w:val="center"/>
          </w:tcPr>
          <w:p w14:paraId="157615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148" w:type="dxa"/>
            <w:tcBorders>
              <w:tl2br w:val="nil"/>
              <w:tr2bl w:val="nil"/>
            </w:tcBorders>
            <w:shd w:val="clear" w:color="auto" w:fill="auto"/>
            <w:vAlign w:val="center"/>
          </w:tcPr>
          <w:p w14:paraId="318A2C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面积（㎡）</w:t>
            </w:r>
          </w:p>
        </w:tc>
        <w:tc>
          <w:tcPr>
            <w:tcW w:w="1087" w:type="dxa"/>
            <w:tcBorders>
              <w:tl2br w:val="nil"/>
              <w:tr2bl w:val="nil"/>
            </w:tcBorders>
            <w:shd w:val="clear" w:color="auto" w:fill="auto"/>
            <w:vAlign w:val="center"/>
          </w:tcPr>
          <w:p w14:paraId="5013851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结构</w:t>
            </w:r>
          </w:p>
        </w:tc>
        <w:tc>
          <w:tcPr>
            <w:tcW w:w="2592" w:type="dxa"/>
            <w:tcBorders>
              <w:tl2br w:val="nil"/>
              <w:tr2bl w:val="nil"/>
            </w:tcBorders>
            <w:shd w:val="clear" w:color="auto" w:fill="auto"/>
            <w:vAlign w:val="center"/>
          </w:tcPr>
          <w:p w14:paraId="00F035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权证编号</w:t>
            </w:r>
          </w:p>
        </w:tc>
        <w:tc>
          <w:tcPr>
            <w:tcW w:w="1179" w:type="dxa"/>
            <w:tcBorders>
              <w:tl2br w:val="nil"/>
              <w:tr2bl w:val="nil"/>
            </w:tcBorders>
            <w:shd w:val="clear" w:color="auto" w:fill="auto"/>
            <w:vAlign w:val="center"/>
          </w:tcPr>
          <w:p w14:paraId="19A889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7084A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jc w:val="center"/>
        </w:trPr>
        <w:tc>
          <w:tcPr>
            <w:tcW w:w="756" w:type="dxa"/>
            <w:tcBorders>
              <w:tl2br w:val="nil"/>
              <w:tr2bl w:val="nil"/>
            </w:tcBorders>
            <w:shd w:val="clear" w:color="auto" w:fill="auto"/>
            <w:vAlign w:val="center"/>
          </w:tcPr>
          <w:p w14:paraId="23784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9" w:type="dxa"/>
            <w:tcBorders>
              <w:tl2br w:val="nil"/>
              <w:tr2bl w:val="nil"/>
            </w:tcBorders>
            <w:shd w:val="clear" w:color="auto" w:fill="auto"/>
            <w:vAlign w:val="center"/>
          </w:tcPr>
          <w:p w14:paraId="30E1D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1#厂房</w:t>
            </w:r>
          </w:p>
        </w:tc>
        <w:tc>
          <w:tcPr>
            <w:tcW w:w="1148" w:type="dxa"/>
            <w:tcBorders>
              <w:tl2br w:val="nil"/>
              <w:tr2bl w:val="nil"/>
            </w:tcBorders>
            <w:shd w:val="clear" w:color="auto" w:fill="auto"/>
            <w:vAlign w:val="center"/>
          </w:tcPr>
          <w:p w14:paraId="510610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15,120.00</w:t>
            </w:r>
          </w:p>
        </w:tc>
        <w:tc>
          <w:tcPr>
            <w:tcW w:w="1087" w:type="dxa"/>
            <w:tcBorders>
              <w:tl2br w:val="nil"/>
              <w:tr2bl w:val="nil"/>
            </w:tcBorders>
            <w:shd w:val="clear" w:color="auto" w:fill="auto"/>
            <w:vAlign w:val="center"/>
          </w:tcPr>
          <w:p w14:paraId="100C5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钢架</w:t>
            </w:r>
          </w:p>
        </w:tc>
        <w:tc>
          <w:tcPr>
            <w:tcW w:w="2592" w:type="dxa"/>
            <w:tcBorders>
              <w:tl2br w:val="nil"/>
              <w:tr2bl w:val="nil"/>
            </w:tcBorders>
            <w:shd w:val="clear" w:color="auto" w:fill="auto"/>
            <w:vAlign w:val="center"/>
          </w:tcPr>
          <w:p w14:paraId="7EFBB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瓯房权证字第201512100号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《房屋所有权证》</w:t>
            </w:r>
          </w:p>
        </w:tc>
        <w:tc>
          <w:tcPr>
            <w:tcW w:w="1179" w:type="dxa"/>
            <w:vMerge w:val="restart"/>
            <w:tcBorders>
              <w:tl2br w:val="nil"/>
              <w:tr2bl w:val="nil"/>
            </w:tcBorders>
            <w:shd w:val="clear" w:color="auto" w:fill="auto"/>
            <w:vAlign w:val="center"/>
          </w:tcPr>
          <w:p w14:paraId="369956D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已设立</w:t>
            </w:r>
            <w:r>
              <w:rPr>
                <w:rStyle w:val="24"/>
                <w:lang w:val="en-US" w:eastAsia="zh-CN" w:bidi="ar"/>
              </w:rPr>
              <w:t>抵押，</w:t>
            </w:r>
            <w:r>
              <w:rPr>
                <w:rStyle w:val="24"/>
                <w:rFonts w:hint="eastAsia"/>
                <w:lang w:val="en-US" w:eastAsia="zh-CN" w:bidi="ar"/>
              </w:rPr>
              <w:t>已被法院查封。</w:t>
            </w:r>
          </w:p>
        </w:tc>
      </w:tr>
      <w:tr w14:paraId="33359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8" w:hRule="atLeast"/>
          <w:jc w:val="center"/>
        </w:trPr>
        <w:tc>
          <w:tcPr>
            <w:tcW w:w="2055" w:type="dxa"/>
            <w:gridSpan w:val="2"/>
            <w:tcBorders>
              <w:tl2br w:val="nil"/>
              <w:tr2bl w:val="nil"/>
            </w:tcBorders>
            <w:shd w:val="clear" w:color="auto" w:fill="auto"/>
            <w:vAlign w:val="center"/>
          </w:tcPr>
          <w:p w14:paraId="55CA0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小计1</w:t>
            </w:r>
          </w:p>
        </w:tc>
        <w:tc>
          <w:tcPr>
            <w:tcW w:w="1148" w:type="dxa"/>
            <w:tcBorders>
              <w:tl2br w:val="nil"/>
              <w:tr2bl w:val="nil"/>
            </w:tcBorders>
            <w:shd w:val="clear" w:color="auto" w:fill="auto"/>
            <w:vAlign w:val="center"/>
          </w:tcPr>
          <w:p w14:paraId="03619A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15,120.00</w:t>
            </w:r>
          </w:p>
        </w:tc>
        <w:tc>
          <w:tcPr>
            <w:tcW w:w="1087" w:type="dxa"/>
            <w:tcBorders>
              <w:tl2br w:val="nil"/>
              <w:tr2bl w:val="nil"/>
            </w:tcBorders>
            <w:shd w:val="clear" w:color="auto" w:fill="auto"/>
            <w:vAlign w:val="center"/>
          </w:tcPr>
          <w:p w14:paraId="0DD5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592" w:type="dxa"/>
            <w:tcBorders>
              <w:tl2br w:val="nil"/>
              <w:tr2bl w:val="nil"/>
            </w:tcBorders>
            <w:shd w:val="clear" w:color="auto" w:fill="auto"/>
            <w:vAlign w:val="center"/>
          </w:tcPr>
          <w:p w14:paraId="2F4F4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vMerge w:val="continue"/>
            <w:tcBorders>
              <w:tl2br w:val="nil"/>
              <w:tr2bl w:val="nil"/>
            </w:tcBorders>
            <w:shd w:val="clear" w:color="auto" w:fill="auto"/>
            <w:vAlign w:val="center"/>
          </w:tcPr>
          <w:p w14:paraId="238DD541">
            <w:pPr>
              <w:jc w:val="both"/>
              <w:rPr>
                <w:rFonts w:hint="eastAsia" w:ascii="宋体" w:hAnsi="宋体" w:eastAsia="宋体" w:cs="宋体"/>
                <w:i w:val="0"/>
                <w:iCs w:val="0"/>
                <w:color w:val="000000"/>
                <w:sz w:val="20"/>
                <w:szCs w:val="20"/>
                <w:u w:val="none"/>
              </w:rPr>
            </w:pPr>
          </w:p>
        </w:tc>
      </w:tr>
      <w:tr w14:paraId="419CD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jc w:val="center"/>
        </w:trPr>
        <w:tc>
          <w:tcPr>
            <w:tcW w:w="756" w:type="dxa"/>
            <w:tcBorders>
              <w:tl2br w:val="nil"/>
              <w:tr2bl w:val="nil"/>
            </w:tcBorders>
            <w:shd w:val="clear" w:color="auto" w:fill="auto"/>
            <w:vAlign w:val="center"/>
          </w:tcPr>
          <w:p w14:paraId="1FADC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99" w:type="dxa"/>
            <w:tcBorders>
              <w:tl2br w:val="nil"/>
              <w:tr2bl w:val="nil"/>
            </w:tcBorders>
            <w:shd w:val="clear" w:color="auto" w:fill="auto"/>
            <w:vAlign w:val="center"/>
          </w:tcPr>
          <w:p w14:paraId="113EC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2#厂房</w:t>
            </w:r>
          </w:p>
        </w:tc>
        <w:tc>
          <w:tcPr>
            <w:tcW w:w="1148" w:type="dxa"/>
            <w:tcBorders>
              <w:tl2br w:val="nil"/>
              <w:tr2bl w:val="nil"/>
            </w:tcBorders>
            <w:shd w:val="clear" w:color="auto" w:fill="auto"/>
            <w:vAlign w:val="center"/>
          </w:tcPr>
          <w:p w14:paraId="0ADABA9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16,141.76</w:t>
            </w:r>
          </w:p>
        </w:tc>
        <w:tc>
          <w:tcPr>
            <w:tcW w:w="1087" w:type="dxa"/>
            <w:tcBorders>
              <w:tl2br w:val="nil"/>
              <w:tr2bl w:val="nil"/>
            </w:tcBorders>
            <w:shd w:val="clear" w:color="auto" w:fill="auto"/>
            <w:vAlign w:val="center"/>
          </w:tcPr>
          <w:p w14:paraId="3E8BE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框架</w:t>
            </w:r>
          </w:p>
        </w:tc>
        <w:tc>
          <w:tcPr>
            <w:tcW w:w="2592" w:type="dxa"/>
            <w:tcBorders>
              <w:tl2br w:val="nil"/>
              <w:tr2bl w:val="nil"/>
            </w:tcBorders>
            <w:shd w:val="clear" w:color="auto" w:fill="auto"/>
            <w:vAlign w:val="center"/>
          </w:tcPr>
          <w:p w14:paraId="39F6D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编号第350783201309073号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《建设工程规划许可证》，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编号352123201309290101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《建筑工程施工许可证》</w:t>
            </w:r>
          </w:p>
        </w:tc>
        <w:tc>
          <w:tcPr>
            <w:tcW w:w="1179" w:type="dxa"/>
            <w:vMerge w:val="continue"/>
            <w:tcBorders>
              <w:tl2br w:val="nil"/>
              <w:tr2bl w:val="nil"/>
            </w:tcBorders>
            <w:shd w:val="clear" w:color="auto" w:fill="auto"/>
            <w:vAlign w:val="center"/>
          </w:tcPr>
          <w:p w14:paraId="1AD3D126">
            <w:pPr>
              <w:jc w:val="both"/>
              <w:rPr>
                <w:rFonts w:hint="eastAsia" w:ascii="宋体" w:hAnsi="宋体" w:eastAsia="宋体" w:cs="宋体"/>
                <w:i w:val="0"/>
                <w:iCs w:val="0"/>
                <w:color w:val="000000"/>
                <w:sz w:val="20"/>
                <w:szCs w:val="20"/>
                <w:u w:val="none"/>
              </w:rPr>
            </w:pPr>
          </w:p>
        </w:tc>
      </w:tr>
      <w:tr w14:paraId="0A567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2055" w:type="dxa"/>
            <w:gridSpan w:val="2"/>
            <w:tcBorders>
              <w:tl2br w:val="nil"/>
              <w:tr2bl w:val="nil"/>
            </w:tcBorders>
            <w:shd w:val="clear" w:color="auto" w:fill="auto"/>
            <w:vAlign w:val="center"/>
          </w:tcPr>
          <w:p w14:paraId="7694FAB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小计2</w:t>
            </w:r>
          </w:p>
        </w:tc>
        <w:tc>
          <w:tcPr>
            <w:tcW w:w="1148" w:type="dxa"/>
            <w:tcBorders>
              <w:tl2br w:val="nil"/>
              <w:tr2bl w:val="nil"/>
            </w:tcBorders>
            <w:shd w:val="clear" w:color="auto" w:fill="auto"/>
            <w:vAlign w:val="center"/>
          </w:tcPr>
          <w:p w14:paraId="5405E9F3">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16,141.76</w:t>
            </w:r>
          </w:p>
        </w:tc>
        <w:tc>
          <w:tcPr>
            <w:tcW w:w="1087" w:type="dxa"/>
            <w:tcBorders>
              <w:tl2br w:val="nil"/>
              <w:tr2bl w:val="nil"/>
            </w:tcBorders>
            <w:shd w:val="clear" w:color="auto" w:fill="auto"/>
            <w:vAlign w:val="center"/>
          </w:tcPr>
          <w:p w14:paraId="2D11A41B">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w:t>
            </w:r>
          </w:p>
        </w:tc>
        <w:tc>
          <w:tcPr>
            <w:tcW w:w="2592" w:type="dxa"/>
            <w:tcBorders>
              <w:tl2br w:val="nil"/>
              <w:tr2bl w:val="nil"/>
            </w:tcBorders>
            <w:shd w:val="clear" w:color="auto" w:fill="auto"/>
            <w:vAlign w:val="center"/>
          </w:tcPr>
          <w:p w14:paraId="3A031FB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w:t>
            </w:r>
          </w:p>
        </w:tc>
        <w:tc>
          <w:tcPr>
            <w:tcW w:w="1179" w:type="dxa"/>
            <w:vMerge w:val="continue"/>
            <w:tcBorders>
              <w:tl2br w:val="nil"/>
              <w:tr2bl w:val="nil"/>
            </w:tcBorders>
            <w:shd w:val="clear" w:color="auto" w:fill="auto"/>
            <w:vAlign w:val="top"/>
          </w:tcPr>
          <w:p w14:paraId="4A2B5D40">
            <w:pPr>
              <w:jc w:val="left"/>
              <w:rPr>
                <w:rFonts w:hint="eastAsia" w:ascii="宋体" w:hAnsi="宋体" w:eastAsia="宋体" w:cs="宋体"/>
                <w:i w:val="0"/>
                <w:iCs w:val="0"/>
                <w:color w:val="000000"/>
                <w:sz w:val="20"/>
                <w:szCs w:val="20"/>
                <w:u w:val="none"/>
              </w:rPr>
            </w:pPr>
          </w:p>
        </w:tc>
      </w:tr>
      <w:tr w14:paraId="08E0D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CACF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99" w:type="dxa"/>
            <w:tcBorders>
              <w:tl2br w:val="nil"/>
              <w:tr2bl w:val="nil"/>
            </w:tcBorders>
            <w:shd w:val="clear" w:color="auto" w:fill="auto"/>
            <w:vAlign w:val="center"/>
          </w:tcPr>
          <w:p w14:paraId="1B3A6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房屋1</w:t>
            </w:r>
          </w:p>
        </w:tc>
        <w:tc>
          <w:tcPr>
            <w:tcW w:w="1148" w:type="dxa"/>
            <w:tcBorders>
              <w:tl2br w:val="nil"/>
              <w:tr2bl w:val="nil"/>
            </w:tcBorders>
            <w:shd w:val="clear" w:color="auto" w:fill="auto"/>
            <w:vAlign w:val="center"/>
          </w:tcPr>
          <w:p w14:paraId="0ED800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700.94</w:t>
            </w:r>
          </w:p>
        </w:tc>
        <w:tc>
          <w:tcPr>
            <w:tcW w:w="1087" w:type="dxa"/>
            <w:tcBorders>
              <w:tl2br w:val="nil"/>
              <w:tr2bl w:val="nil"/>
            </w:tcBorders>
            <w:shd w:val="clear" w:color="auto" w:fill="auto"/>
            <w:vAlign w:val="center"/>
          </w:tcPr>
          <w:p w14:paraId="34ABB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框架</w:t>
            </w:r>
          </w:p>
        </w:tc>
        <w:tc>
          <w:tcPr>
            <w:tcW w:w="2592" w:type="dxa"/>
            <w:tcBorders>
              <w:tl2br w:val="nil"/>
              <w:tr2bl w:val="nil"/>
            </w:tcBorders>
            <w:shd w:val="clear" w:color="auto" w:fill="auto"/>
            <w:vAlign w:val="center"/>
          </w:tcPr>
          <w:p w14:paraId="7BB53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D2FB42A">
            <w:pPr>
              <w:jc w:val="left"/>
              <w:rPr>
                <w:rFonts w:hint="eastAsia" w:ascii="宋体" w:hAnsi="宋体" w:eastAsia="宋体" w:cs="宋体"/>
                <w:i w:val="0"/>
                <w:iCs w:val="0"/>
                <w:color w:val="000000"/>
                <w:sz w:val="20"/>
                <w:szCs w:val="20"/>
                <w:u w:val="none"/>
              </w:rPr>
            </w:pPr>
          </w:p>
        </w:tc>
      </w:tr>
      <w:tr w14:paraId="1EFA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BCE3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99" w:type="dxa"/>
            <w:tcBorders>
              <w:tl2br w:val="nil"/>
              <w:tr2bl w:val="nil"/>
            </w:tcBorders>
            <w:shd w:val="clear" w:color="auto" w:fill="auto"/>
            <w:vAlign w:val="center"/>
          </w:tcPr>
          <w:p w14:paraId="515F9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房屋2</w:t>
            </w:r>
          </w:p>
        </w:tc>
        <w:tc>
          <w:tcPr>
            <w:tcW w:w="1148" w:type="dxa"/>
            <w:tcBorders>
              <w:tl2br w:val="nil"/>
              <w:tr2bl w:val="nil"/>
            </w:tcBorders>
            <w:shd w:val="clear" w:color="auto" w:fill="auto"/>
            <w:vAlign w:val="center"/>
          </w:tcPr>
          <w:p w14:paraId="5EB0E2A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582.26</w:t>
            </w:r>
          </w:p>
        </w:tc>
        <w:tc>
          <w:tcPr>
            <w:tcW w:w="1087" w:type="dxa"/>
            <w:tcBorders>
              <w:tl2br w:val="nil"/>
              <w:tr2bl w:val="nil"/>
            </w:tcBorders>
            <w:shd w:val="clear" w:color="auto" w:fill="auto"/>
            <w:vAlign w:val="center"/>
          </w:tcPr>
          <w:p w14:paraId="4BA4A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27AEC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6C657F7">
            <w:pPr>
              <w:jc w:val="left"/>
              <w:rPr>
                <w:rFonts w:hint="eastAsia" w:ascii="宋体" w:hAnsi="宋体" w:eastAsia="宋体" w:cs="宋体"/>
                <w:i w:val="0"/>
                <w:iCs w:val="0"/>
                <w:color w:val="000000"/>
                <w:sz w:val="20"/>
                <w:szCs w:val="20"/>
                <w:u w:val="none"/>
              </w:rPr>
            </w:pPr>
          </w:p>
        </w:tc>
      </w:tr>
      <w:tr w14:paraId="1E2AD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4E126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99" w:type="dxa"/>
            <w:tcBorders>
              <w:tl2br w:val="nil"/>
              <w:tr2bl w:val="nil"/>
            </w:tcBorders>
            <w:shd w:val="clear" w:color="auto" w:fill="auto"/>
            <w:vAlign w:val="center"/>
          </w:tcPr>
          <w:p w14:paraId="167E5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房屋3</w:t>
            </w:r>
          </w:p>
        </w:tc>
        <w:tc>
          <w:tcPr>
            <w:tcW w:w="1148" w:type="dxa"/>
            <w:tcBorders>
              <w:tl2br w:val="nil"/>
              <w:tr2bl w:val="nil"/>
            </w:tcBorders>
            <w:shd w:val="clear" w:color="auto" w:fill="auto"/>
            <w:vAlign w:val="center"/>
          </w:tcPr>
          <w:p w14:paraId="2D007D9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215.36</w:t>
            </w:r>
          </w:p>
        </w:tc>
        <w:tc>
          <w:tcPr>
            <w:tcW w:w="1087" w:type="dxa"/>
            <w:tcBorders>
              <w:tl2br w:val="nil"/>
              <w:tr2bl w:val="nil"/>
            </w:tcBorders>
            <w:shd w:val="clear" w:color="auto" w:fill="auto"/>
            <w:vAlign w:val="center"/>
          </w:tcPr>
          <w:p w14:paraId="0D5B22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6C8F3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6DF7463">
            <w:pPr>
              <w:jc w:val="left"/>
              <w:rPr>
                <w:rFonts w:hint="eastAsia" w:ascii="宋体" w:hAnsi="宋体" w:eastAsia="宋体" w:cs="宋体"/>
                <w:i w:val="0"/>
                <w:iCs w:val="0"/>
                <w:color w:val="000000"/>
                <w:sz w:val="20"/>
                <w:szCs w:val="20"/>
                <w:u w:val="none"/>
              </w:rPr>
            </w:pPr>
          </w:p>
        </w:tc>
      </w:tr>
      <w:tr w14:paraId="3FE62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3919C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99" w:type="dxa"/>
            <w:tcBorders>
              <w:tl2br w:val="nil"/>
              <w:tr2bl w:val="nil"/>
            </w:tcBorders>
            <w:shd w:val="clear" w:color="auto" w:fill="auto"/>
            <w:vAlign w:val="center"/>
          </w:tcPr>
          <w:p w14:paraId="55426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房屋4</w:t>
            </w:r>
          </w:p>
        </w:tc>
        <w:tc>
          <w:tcPr>
            <w:tcW w:w="1148" w:type="dxa"/>
            <w:tcBorders>
              <w:tl2br w:val="nil"/>
              <w:tr2bl w:val="nil"/>
            </w:tcBorders>
            <w:shd w:val="clear" w:color="auto" w:fill="auto"/>
            <w:vAlign w:val="center"/>
          </w:tcPr>
          <w:p w14:paraId="3C987A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27.75</w:t>
            </w:r>
          </w:p>
        </w:tc>
        <w:tc>
          <w:tcPr>
            <w:tcW w:w="1087" w:type="dxa"/>
            <w:tcBorders>
              <w:tl2br w:val="nil"/>
              <w:tr2bl w:val="nil"/>
            </w:tcBorders>
            <w:shd w:val="clear" w:color="auto" w:fill="auto"/>
            <w:vAlign w:val="center"/>
          </w:tcPr>
          <w:p w14:paraId="401D7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59B2A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D3214C4">
            <w:pPr>
              <w:jc w:val="left"/>
              <w:rPr>
                <w:rFonts w:hint="eastAsia" w:ascii="宋体" w:hAnsi="宋体" w:eastAsia="宋体" w:cs="宋体"/>
                <w:i w:val="0"/>
                <w:iCs w:val="0"/>
                <w:color w:val="000000"/>
                <w:sz w:val="20"/>
                <w:szCs w:val="20"/>
                <w:u w:val="none"/>
              </w:rPr>
            </w:pPr>
          </w:p>
        </w:tc>
      </w:tr>
      <w:tr w14:paraId="2F932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626DC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99" w:type="dxa"/>
            <w:tcBorders>
              <w:tl2br w:val="nil"/>
              <w:tr2bl w:val="nil"/>
            </w:tcBorders>
            <w:shd w:val="clear" w:color="auto" w:fill="auto"/>
            <w:vAlign w:val="center"/>
          </w:tcPr>
          <w:p w14:paraId="27E71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房屋5</w:t>
            </w:r>
          </w:p>
        </w:tc>
        <w:tc>
          <w:tcPr>
            <w:tcW w:w="1148" w:type="dxa"/>
            <w:tcBorders>
              <w:tl2br w:val="nil"/>
              <w:tr2bl w:val="nil"/>
            </w:tcBorders>
            <w:shd w:val="clear" w:color="auto" w:fill="auto"/>
            <w:vAlign w:val="center"/>
          </w:tcPr>
          <w:p w14:paraId="3B8437E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392.02</w:t>
            </w:r>
          </w:p>
        </w:tc>
        <w:tc>
          <w:tcPr>
            <w:tcW w:w="1087" w:type="dxa"/>
            <w:tcBorders>
              <w:tl2br w:val="nil"/>
              <w:tr2bl w:val="nil"/>
            </w:tcBorders>
            <w:shd w:val="clear" w:color="auto" w:fill="auto"/>
            <w:vAlign w:val="center"/>
          </w:tcPr>
          <w:p w14:paraId="1ECF3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29424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3F8DD4D0">
            <w:pPr>
              <w:jc w:val="left"/>
              <w:rPr>
                <w:rFonts w:hint="eastAsia" w:ascii="宋体" w:hAnsi="宋体" w:eastAsia="宋体" w:cs="宋体"/>
                <w:i w:val="0"/>
                <w:iCs w:val="0"/>
                <w:color w:val="000000"/>
                <w:sz w:val="20"/>
                <w:szCs w:val="20"/>
                <w:u w:val="none"/>
              </w:rPr>
            </w:pPr>
          </w:p>
        </w:tc>
      </w:tr>
      <w:tr w14:paraId="7AEF7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0ED8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99" w:type="dxa"/>
            <w:tcBorders>
              <w:tl2br w:val="nil"/>
              <w:tr2bl w:val="nil"/>
            </w:tcBorders>
            <w:shd w:val="clear" w:color="auto" w:fill="auto"/>
            <w:vAlign w:val="center"/>
          </w:tcPr>
          <w:p w14:paraId="7CDE0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房屋6</w:t>
            </w:r>
          </w:p>
        </w:tc>
        <w:tc>
          <w:tcPr>
            <w:tcW w:w="1148" w:type="dxa"/>
            <w:tcBorders>
              <w:tl2br w:val="nil"/>
              <w:tr2bl w:val="nil"/>
            </w:tcBorders>
            <w:shd w:val="clear" w:color="auto" w:fill="auto"/>
            <w:vAlign w:val="center"/>
          </w:tcPr>
          <w:p w14:paraId="07A7F7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376.64</w:t>
            </w:r>
          </w:p>
        </w:tc>
        <w:tc>
          <w:tcPr>
            <w:tcW w:w="1087" w:type="dxa"/>
            <w:tcBorders>
              <w:tl2br w:val="nil"/>
              <w:tr2bl w:val="nil"/>
            </w:tcBorders>
            <w:shd w:val="clear" w:color="auto" w:fill="auto"/>
            <w:vAlign w:val="center"/>
          </w:tcPr>
          <w:p w14:paraId="5670E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047C0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EA7F0D0">
            <w:pPr>
              <w:jc w:val="left"/>
              <w:rPr>
                <w:rFonts w:hint="eastAsia" w:ascii="宋体" w:hAnsi="宋体" w:eastAsia="宋体" w:cs="宋体"/>
                <w:i w:val="0"/>
                <w:iCs w:val="0"/>
                <w:color w:val="000000"/>
                <w:sz w:val="20"/>
                <w:szCs w:val="20"/>
                <w:u w:val="none"/>
              </w:rPr>
            </w:pPr>
          </w:p>
        </w:tc>
      </w:tr>
      <w:tr w14:paraId="07C0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161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99" w:type="dxa"/>
            <w:tcBorders>
              <w:tl2br w:val="nil"/>
              <w:tr2bl w:val="nil"/>
            </w:tcBorders>
            <w:shd w:val="clear" w:color="auto" w:fill="auto"/>
            <w:vAlign w:val="center"/>
          </w:tcPr>
          <w:p w14:paraId="359D9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房屋7</w:t>
            </w:r>
          </w:p>
        </w:tc>
        <w:tc>
          <w:tcPr>
            <w:tcW w:w="1148" w:type="dxa"/>
            <w:tcBorders>
              <w:tl2br w:val="nil"/>
              <w:tr2bl w:val="nil"/>
            </w:tcBorders>
            <w:shd w:val="clear" w:color="auto" w:fill="auto"/>
            <w:vAlign w:val="center"/>
          </w:tcPr>
          <w:p w14:paraId="3A08934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33.11</w:t>
            </w:r>
          </w:p>
        </w:tc>
        <w:tc>
          <w:tcPr>
            <w:tcW w:w="1087" w:type="dxa"/>
            <w:tcBorders>
              <w:tl2br w:val="nil"/>
              <w:tr2bl w:val="nil"/>
            </w:tcBorders>
            <w:shd w:val="clear" w:color="auto" w:fill="auto"/>
            <w:vAlign w:val="center"/>
          </w:tcPr>
          <w:p w14:paraId="4B011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22774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F517785">
            <w:pPr>
              <w:jc w:val="left"/>
              <w:rPr>
                <w:rFonts w:hint="eastAsia" w:ascii="宋体" w:hAnsi="宋体" w:eastAsia="宋体" w:cs="宋体"/>
                <w:i w:val="0"/>
                <w:iCs w:val="0"/>
                <w:color w:val="000000"/>
                <w:sz w:val="20"/>
                <w:szCs w:val="20"/>
                <w:u w:val="none"/>
              </w:rPr>
            </w:pPr>
          </w:p>
        </w:tc>
      </w:tr>
      <w:tr w14:paraId="325D5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0BC1B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99" w:type="dxa"/>
            <w:tcBorders>
              <w:tl2br w:val="nil"/>
              <w:tr2bl w:val="nil"/>
            </w:tcBorders>
            <w:shd w:val="clear" w:color="auto" w:fill="auto"/>
            <w:vAlign w:val="center"/>
          </w:tcPr>
          <w:p w14:paraId="46FCA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房屋8</w:t>
            </w:r>
          </w:p>
        </w:tc>
        <w:tc>
          <w:tcPr>
            <w:tcW w:w="1148" w:type="dxa"/>
            <w:tcBorders>
              <w:tl2br w:val="nil"/>
              <w:tr2bl w:val="nil"/>
            </w:tcBorders>
            <w:shd w:val="clear" w:color="auto" w:fill="auto"/>
            <w:vAlign w:val="center"/>
          </w:tcPr>
          <w:p w14:paraId="18EEA70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46.57</w:t>
            </w:r>
          </w:p>
        </w:tc>
        <w:tc>
          <w:tcPr>
            <w:tcW w:w="1087" w:type="dxa"/>
            <w:tcBorders>
              <w:tl2br w:val="nil"/>
              <w:tr2bl w:val="nil"/>
            </w:tcBorders>
            <w:shd w:val="clear" w:color="auto" w:fill="auto"/>
            <w:vAlign w:val="center"/>
          </w:tcPr>
          <w:p w14:paraId="28BC4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44C85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5440189E">
            <w:pPr>
              <w:jc w:val="left"/>
              <w:rPr>
                <w:rFonts w:hint="eastAsia" w:ascii="宋体" w:hAnsi="宋体" w:eastAsia="宋体" w:cs="宋体"/>
                <w:i w:val="0"/>
                <w:iCs w:val="0"/>
                <w:color w:val="000000"/>
                <w:sz w:val="20"/>
                <w:szCs w:val="20"/>
                <w:u w:val="none"/>
              </w:rPr>
            </w:pPr>
          </w:p>
        </w:tc>
      </w:tr>
      <w:tr w14:paraId="4850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B203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299" w:type="dxa"/>
            <w:tcBorders>
              <w:tl2br w:val="nil"/>
              <w:tr2bl w:val="nil"/>
            </w:tcBorders>
            <w:shd w:val="clear" w:color="auto" w:fill="auto"/>
            <w:vAlign w:val="center"/>
          </w:tcPr>
          <w:p w14:paraId="230445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房屋9</w:t>
            </w:r>
          </w:p>
        </w:tc>
        <w:tc>
          <w:tcPr>
            <w:tcW w:w="1148" w:type="dxa"/>
            <w:tcBorders>
              <w:tl2br w:val="nil"/>
              <w:tr2bl w:val="nil"/>
            </w:tcBorders>
            <w:shd w:val="clear" w:color="auto" w:fill="auto"/>
            <w:vAlign w:val="center"/>
          </w:tcPr>
          <w:p w14:paraId="70CF1D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w:t>
            </w:r>
          </w:p>
        </w:tc>
        <w:tc>
          <w:tcPr>
            <w:tcW w:w="1087" w:type="dxa"/>
            <w:tcBorders>
              <w:tl2br w:val="nil"/>
              <w:tr2bl w:val="nil"/>
            </w:tcBorders>
            <w:shd w:val="clear" w:color="auto" w:fill="auto"/>
            <w:vAlign w:val="center"/>
          </w:tcPr>
          <w:p w14:paraId="4D139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15FFA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A627DB5">
            <w:pPr>
              <w:jc w:val="left"/>
              <w:rPr>
                <w:rFonts w:hint="eastAsia" w:ascii="宋体" w:hAnsi="宋体" w:eastAsia="宋体" w:cs="宋体"/>
                <w:i w:val="0"/>
                <w:iCs w:val="0"/>
                <w:color w:val="000000"/>
                <w:sz w:val="20"/>
                <w:szCs w:val="20"/>
                <w:u w:val="none"/>
              </w:rPr>
            </w:pPr>
          </w:p>
        </w:tc>
      </w:tr>
      <w:tr w14:paraId="60F1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02EC3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299" w:type="dxa"/>
            <w:tcBorders>
              <w:tl2br w:val="nil"/>
              <w:tr2bl w:val="nil"/>
            </w:tcBorders>
            <w:shd w:val="clear" w:color="auto" w:fill="auto"/>
            <w:vAlign w:val="center"/>
          </w:tcPr>
          <w:p w14:paraId="03025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房屋10</w:t>
            </w:r>
          </w:p>
        </w:tc>
        <w:tc>
          <w:tcPr>
            <w:tcW w:w="1148" w:type="dxa"/>
            <w:tcBorders>
              <w:tl2br w:val="nil"/>
              <w:tr2bl w:val="nil"/>
            </w:tcBorders>
            <w:shd w:val="clear" w:color="auto" w:fill="auto"/>
            <w:vAlign w:val="center"/>
          </w:tcPr>
          <w:p w14:paraId="72B935C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60.74</w:t>
            </w:r>
          </w:p>
        </w:tc>
        <w:tc>
          <w:tcPr>
            <w:tcW w:w="1087" w:type="dxa"/>
            <w:tcBorders>
              <w:tl2br w:val="nil"/>
              <w:tr2bl w:val="nil"/>
            </w:tcBorders>
            <w:shd w:val="clear" w:color="auto" w:fill="auto"/>
            <w:vAlign w:val="center"/>
          </w:tcPr>
          <w:p w14:paraId="35CB1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1AFF0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66453F10">
            <w:pPr>
              <w:jc w:val="left"/>
              <w:rPr>
                <w:rFonts w:hint="eastAsia" w:ascii="宋体" w:hAnsi="宋体" w:eastAsia="宋体" w:cs="宋体"/>
                <w:i w:val="0"/>
                <w:iCs w:val="0"/>
                <w:color w:val="000000"/>
                <w:sz w:val="20"/>
                <w:szCs w:val="20"/>
                <w:u w:val="none"/>
              </w:rPr>
            </w:pPr>
          </w:p>
        </w:tc>
      </w:tr>
      <w:tr w14:paraId="079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7CE33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299" w:type="dxa"/>
            <w:tcBorders>
              <w:tl2br w:val="nil"/>
              <w:tr2bl w:val="nil"/>
            </w:tcBorders>
            <w:shd w:val="clear" w:color="auto" w:fill="auto"/>
            <w:vAlign w:val="center"/>
          </w:tcPr>
          <w:p w14:paraId="6C0B4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房屋11</w:t>
            </w:r>
          </w:p>
        </w:tc>
        <w:tc>
          <w:tcPr>
            <w:tcW w:w="1148" w:type="dxa"/>
            <w:tcBorders>
              <w:tl2br w:val="nil"/>
              <w:tr2bl w:val="nil"/>
            </w:tcBorders>
            <w:shd w:val="clear" w:color="auto" w:fill="auto"/>
            <w:vAlign w:val="center"/>
          </w:tcPr>
          <w:p w14:paraId="4D95DCE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87.07</w:t>
            </w:r>
          </w:p>
        </w:tc>
        <w:tc>
          <w:tcPr>
            <w:tcW w:w="1087" w:type="dxa"/>
            <w:tcBorders>
              <w:tl2br w:val="nil"/>
              <w:tr2bl w:val="nil"/>
            </w:tcBorders>
            <w:shd w:val="clear" w:color="auto" w:fill="auto"/>
            <w:vAlign w:val="center"/>
          </w:tcPr>
          <w:p w14:paraId="181C4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50901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DCFEDF7">
            <w:pPr>
              <w:jc w:val="left"/>
              <w:rPr>
                <w:rFonts w:hint="eastAsia" w:ascii="宋体" w:hAnsi="宋体" w:eastAsia="宋体" w:cs="宋体"/>
                <w:i w:val="0"/>
                <w:iCs w:val="0"/>
                <w:color w:val="000000"/>
                <w:sz w:val="20"/>
                <w:szCs w:val="20"/>
                <w:u w:val="none"/>
              </w:rPr>
            </w:pPr>
          </w:p>
        </w:tc>
      </w:tr>
      <w:tr w14:paraId="7E209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45679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299" w:type="dxa"/>
            <w:tcBorders>
              <w:tl2br w:val="nil"/>
              <w:tr2bl w:val="nil"/>
            </w:tcBorders>
            <w:shd w:val="clear" w:color="auto" w:fill="auto"/>
            <w:vAlign w:val="center"/>
          </w:tcPr>
          <w:p w14:paraId="1E715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房屋12</w:t>
            </w:r>
          </w:p>
        </w:tc>
        <w:tc>
          <w:tcPr>
            <w:tcW w:w="1148" w:type="dxa"/>
            <w:tcBorders>
              <w:tl2br w:val="nil"/>
              <w:tr2bl w:val="nil"/>
            </w:tcBorders>
            <w:shd w:val="clear" w:color="auto" w:fill="auto"/>
            <w:vAlign w:val="center"/>
          </w:tcPr>
          <w:p w14:paraId="6E342D1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9.70</w:t>
            </w:r>
          </w:p>
        </w:tc>
        <w:tc>
          <w:tcPr>
            <w:tcW w:w="1087" w:type="dxa"/>
            <w:tcBorders>
              <w:tl2br w:val="nil"/>
              <w:tr2bl w:val="nil"/>
            </w:tcBorders>
            <w:shd w:val="clear" w:color="auto" w:fill="auto"/>
            <w:vAlign w:val="center"/>
          </w:tcPr>
          <w:p w14:paraId="14B12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混合</w:t>
            </w:r>
          </w:p>
        </w:tc>
        <w:tc>
          <w:tcPr>
            <w:tcW w:w="2592" w:type="dxa"/>
            <w:tcBorders>
              <w:tl2br w:val="nil"/>
              <w:tr2bl w:val="nil"/>
            </w:tcBorders>
            <w:shd w:val="clear" w:color="auto" w:fill="auto"/>
            <w:vAlign w:val="center"/>
          </w:tcPr>
          <w:p w14:paraId="6CD2F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3C6C065D">
            <w:pPr>
              <w:jc w:val="left"/>
              <w:rPr>
                <w:rFonts w:hint="eastAsia" w:ascii="宋体" w:hAnsi="宋体" w:eastAsia="宋体" w:cs="宋体"/>
                <w:i w:val="0"/>
                <w:iCs w:val="0"/>
                <w:color w:val="000000"/>
                <w:sz w:val="20"/>
                <w:szCs w:val="20"/>
                <w:u w:val="none"/>
              </w:rPr>
            </w:pPr>
          </w:p>
        </w:tc>
      </w:tr>
      <w:tr w14:paraId="5579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6A37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299" w:type="dxa"/>
            <w:tcBorders>
              <w:tl2br w:val="nil"/>
              <w:tr2bl w:val="nil"/>
            </w:tcBorders>
            <w:shd w:val="clear" w:color="auto" w:fill="auto"/>
            <w:vAlign w:val="center"/>
          </w:tcPr>
          <w:p w14:paraId="5699E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w:t>
            </w:r>
          </w:p>
        </w:tc>
        <w:tc>
          <w:tcPr>
            <w:tcW w:w="1148" w:type="dxa"/>
            <w:tcBorders>
              <w:tl2br w:val="nil"/>
              <w:tr2bl w:val="nil"/>
            </w:tcBorders>
            <w:shd w:val="clear" w:color="auto" w:fill="auto"/>
            <w:vAlign w:val="center"/>
          </w:tcPr>
          <w:p w14:paraId="01774B3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2,756.99</w:t>
            </w:r>
          </w:p>
        </w:tc>
        <w:tc>
          <w:tcPr>
            <w:tcW w:w="1087" w:type="dxa"/>
            <w:tcBorders>
              <w:tl2br w:val="nil"/>
              <w:tr2bl w:val="nil"/>
            </w:tcBorders>
            <w:shd w:val="clear" w:color="auto" w:fill="auto"/>
            <w:vAlign w:val="center"/>
          </w:tcPr>
          <w:p w14:paraId="0C132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02A52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6DD54A3">
            <w:pPr>
              <w:jc w:val="left"/>
              <w:rPr>
                <w:rFonts w:hint="eastAsia" w:ascii="宋体" w:hAnsi="宋体" w:eastAsia="宋体" w:cs="宋体"/>
                <w:i w:val="0"/>
                <w:iCs w:val="0"/>
                <w:color w:val="000000"/>
                <w:sz w:val="20"/>
                <w:szCs w:val="20"/>
                <w:u w:val="none"/>
              </w:rPr>
            </w:pPr>
          </w:p>
        </w:tc>
      </w:tr>
      <w:tr w14:paraId="7A489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D9D2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299" w:type="dxa"/>
            <w:tcBorders>
              <w:tl2br w:val="nil"/>
              <w:tr2bl w:val="nil"/>
            </w:tcBorders>
            <w:shd w:val="clear" w:color="auto" w:fill="auto"/>
            <w:vAlign w:val="center"/>
          </w:tcPr>
          <w:p w14:paraId="16097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彩钢瓦棚2</w:t>
            </w:r>
          </w:p>
        </w:tc>
        <w:tc>
          <w:tcPr>
            <w:tcW w:w="1148" w:type="dxa"/>
            <w:tcBorders>
              <w:tl2br w:val="nil"/>
              <w:tr2bl w:val="nil"/>
            </w:tcBorders>
            <w:shd w:val="clear" w:color="auto" w:fill="auto"/>
            <w:vAlign w:val="center"/>
          </w:tcPr>
          <w:p w14:paraId="50ADCD9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863.00</w:t>
            </w:r>
          </w:p>
        </w:tc>
        <w:tc>
          <w:tcPr>
            <w:tcW w:w="1087" w:type="dxa"/>
            <w:tcBorders>
              <w:tl2br w:val="nil"/>
              <w:tr2bl w:val="nil"/>
            </w:tcBorders>
            <w:shd w:val="clear" w:color="auto" w:fill="auto"/>
            <w:vAlign w:val="center"/>
          </w:tcPr>
          <w:p w14:paraId="7E4B4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13E6C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BE55583">
            <w:pPr>
              <w:jc w:val="left"/>
              <w:rPr>
                <w:rFonts w:hint="eastAsia" w:ascii="宋体" w:hAnsi="宋体" w:eastAsia="宋体" w:cs="宋体"/>
                <w:i w:val="0"/>
                <w:iCs w:val="0"/>
                <w:color w:val="000000"/>
                <w:sz w:val="20"/>
                <w:szCs w:val="20"/>
                <w:u w:val="none"/>
              </w:rPr>
            </w:pPr>
          </w:p>
        </w:tc>
      </w:tr>
      <w:tr w14:paraId="4EB7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CE21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299" w:type="dxa"/>
            <w:tcBorders>
              <w:tl2br w:val="nil"/>
              <w:tr2bl w:val="nil"/>
            </w:tcBorders>
            <w:shd w:val="clear" w:color="auto" w:fill="auto"/>
            <w:vAlign w:val="center"/>
          </w:tcPr>
          <w:p w14:paraId="06AC3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彩钢瓦棚3</w:t>
            </w:r>
          </w:p>
        </w:tc>
        <w:tc>
          <w:tcPr>
            <w:tcW w:w="1148" w:type="dxa"/>
            <w:tcBorders>
              <w:tl2br w:val="nil"/>
              <w:tr2bl w:val="nil"/>
            </w:tcBorders>
            <w:shd w:val="clear" w:color="auto" w:fill="auto"/>
            <w:vAlign w:val="center"/>
          </w:tcPr>
          <w:p w14:paraId="3DC585C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76.41</w:t>
            </w:r>
          </w:p>
        </w:tc>
        <w:tc>
          <w:tcPr>
            <w:tcW w:w="1087" w:type="dxa"/>
            <w:tcBorders>
              <w:tl2br w:val="nil"/>
              <w:tr2bl w:val="nil"/>
            </w:tcBorders>
            <w:shd w:val="clear" w:color="auto" w:fill="auto"/>
            <w:vAlign w:val="center"/>
          </w:tcPr>
          <w:p w14:paraId="27C7C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0CBCA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6EF04498">
            <w:pPr>
              <w:jc w:val="left"/>
              <w:rPr>
                <w:rFonts w:hint="eastAsia" w:ascii="宋体" w:hAnsi="宋体" w:eastAsia="宋体" w:cs="宋体"/>
                <w:i w:val="0"/>
                <w:iCs w:val="0"/>
                <w:color w:val="000000"/>
                <w:sz w:val="20"/>
                <w:szCs w:val="20"/>
                <w:u w:val="none"/>
              </w:rPr>
            </w:pPr>
          </w:p>
        </w:tc>
      </w:tr>
      <w:tr w14:paraId="702E8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08251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299" w:type="dxa"/>
            <w:tcBorders>
              <w:tl2br w:val="nil"/>
              <w:tr2bl w:val="nil"/>
            </w:tcBorders>
            <w:shd w:val="clear" w:color="auto" w:fill="auto"/>
            <w:vAlign w:val="center"/>
          </w:tcPr>
          <w:p w14:paraId="74AAF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彩钢瓦棚4</w:t>
            </w:r>
          </w:p>
        </w:tc>
        <w:tc>
          <w:tcPr>
            <w:tcW w:w="1148" w:type="dxa"/>
            <w:tcBorders>
              <w:tl2br w:val="nil"/>
              <w:tr2bl w:val="nil"/>
            </w:tcBorders>
            <w:shd w:val="clear" w:color="auto" w:fill="auto"/>
            <w:vAlign w:val="center"/>
          </w:tcPr>
          <w:p w14:paraId="65278B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2,381.60</w:t>
            </w:r>
          </w:p>
        </w:tc>
        <w:tc>
          <w:tcPr>
            <w:tcW w:w="1087" w:type="dxa"/>
            <w:tcBorders>
              <w:tl2br w:val="nil"/>
              <w:tr2bl w:val="nil"/>
            </w:tcBorders>
            <w:shd w:val="clear" w:color="auto" w:fill="auto"/>
            <w:vAlign w:val="center"/>
          </w:tcPr>
          <w:p w14:paraId="249B6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31CD7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AF103F9">
            <w:pPr>
              <w:jc w:val="left"/>
              <w:rPr>
                <w:rFonts w:hint="eastAsia" w:ascii="宋体" w:hAnsi="宋体" w:eastAsia="宋体" w:cs="宋体"/>
                <w:i w:val="0"/>
                <w:iCs w:val="0"/>
                <w:color w:val="000000"/>
                <w:sz w:val="20"/>
                <w:szCs w:val="20"/>
                <w:u w:val="none"/>
              </w:rPr>
            </w:pPr>
          </w:p>
        </w:tc>
      </w:tr>
      <w:tr w14:paraId="4CFBA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082C3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299" w:type="dxa"/>
            <w:tcBorders>
              <w:tl2br w:val="nil"/>
              <w:tr2bl w:val="nil"/>
            </w:tcBorders>
            <w:shd w:val="clear" w:color="auto" w:fill="auto"/>
            <w:vAlign w:val="center"/>
          </w:tcPr>
          <w:p w14:paraId="3176E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彩钢瓦棚5</w:t>
            </w:r>
          </w:p>
        </w:tc>
        <w:tc>
          <w:tcPr>
            <w:tcW w:w="1148" w:type="dxa"/>
            <w:tcBorders>
              <w:tl2br w:val="nil"/>
              <w:tr2bl w:val="nil"/>
            </w:tcBorders>
            <w:shd w:val="clear" w:color="auto" w:fill="auto"/>
            <w:vAlign w:val="center"/>
          </w:tcPr>
          <w:p w14:paraId="1B287C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241.08</w:t>
            </w:r>
          </w:p>
        </w:tc>
        <w:tc>
          <w:tcPr>
            <w:tcW w:w="1087" w:type="dxa"/>
            <w:tcBorders>
              <w:tl2br w:val="nil"/>
              <w:tr2bl w:val="nil"/>
            </w:tcBorders>
            <w:shd w:val="clear" w:color="auto" w:fill="auto"/>
            <w:vAlign w:val="center"/>
          </w:tcPr>
          <w:p w14:paraId="659DF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CB69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174290F">
            <w:pPr>
              <w:jc w:val="left"/>
              <w:rPr>
                <w:rFonts w:hint="eastAsia" w:ascii="宋体" w:hAnsi="宋体" w:eastAsia="宋体" w:cs="宋体"/>
                <w:i w:val="0"/>
                <w:iCs w:val="0"/>
                <w:color w:val="000000"/>
                <w:sz w:val="20"/>
                <w:szCs w:val="20"/>
                <w:u w:val="none"/>
              </w:rPr>
            </w:pPr>
          </w:p>
        </w:tc>
      </w:tr>
      <w:tr w14:paraId="0AC8C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9D02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299" w:type="dxa"/>
            <w:tcBorders>
              <w:tl2br w:val="nil"/>
              <w:tr2bl w:val="nil"/>
            </w:tcBorders>
            <w:shd w:val="clear" w:color="auto" w:fill="auto"/>
            <w:vAlign w:val="center"/>
          </w:tcPr>
          <w:p w14:paraId="174B1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彩钢瓦棚6</w:t>
            </w:r>
          </w:p>
        </w:tc>
        <w:tc>
          <w:tcPr>
            <w:tcW w:w="1148" w:type="dxa"/>
            <w:tcBorders>
              <w:tl2br w:val="nil"/>
              <w:tr2bl w:val="nil"/>
            </w:tcBorders>
            <w:shd w:val="clear" w:color="auto" w:fill="auto"/>
            <w:vAlign w:val="center"/>
          </w:tcPr>
          <w:p w14:paraId="16F148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92.52</w:t>
            </w:r>
          </w:p>
        </w:tc>
        <w:tc>
          <w:tcPr>
            <w:tcW w:w="1087" w:type="dxa"/>
            <w:tcBorders>
              <w:tl2br w:val="nil"/>
              <w:tr2bl w:val="nil"/>
            </w:tcBorders>
            <w:shd w:val="clear" w:color="auto" w:fill="auto"/>
            <w:vAlign w:val="center"/>
          </w:tcPr>
          <w:p w14:paraId="02F94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98D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6588F9E0">
            <w:pPr>
              <w:jc w:val="left"/>
              <w:rPr>
                <w:rFonts w:hint="eastAsia" w:ascii="宋体" w:hAnsi="宋体" w:eastAsia="宋体" w:cs="宋体"/>
                <w:i w:val="0"/>
                <w:iCs w:val="0"/>
                <w:color w:val="000000"/>
                <w:sz w:val="20"/>
                <w:szCs w:val="20"/>
                <w:u w:val="none"/>
              </w:rPr>
            </w:pPr>
          </w:p>
        </w:tc>
      </w:tr>
      <w:tr w14:paraId="0D8B2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3FF83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299" w:type="dxa"/>
            <w:tcBorders>
              <w:tl2br w:val="nil"/>
              <w:tr2bl w:val="nil"/>
            </w:tcBorders>
            <w:shd w:val="clear" w:color="auto" w:fill="auto"/>
            <w:vAlign w:val="center"/>
          </w:tcPr>
          <w:p w14:paraId="2AE79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彩钢瓦棚7</w:t>
            </w:r>
          </w:p>
        </w:tc>
        <w:tc>
          <w:tcPr>
            <w:tcW w:w="1148" w:type="dxa"/>
            <w:tcBorders>
              <w:tl2br w:val="nil"/>
              <w:tr2bl w:val="nil"/>
            </w:tcBorders>
            <w:shd w:val="clear" w:color="auto" w:fill="auto"/>
            <w:vAlign w:val="center"/>
          </w:tcPr>
          <w:p w14:paraId="257EFFF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62.46</w:t>
            </w:r>
          </w:p>
        </w:tc>
        <w:tc>
          <w:tcPr>
            <w:tcW w:w="1087" w:type="dxa"/>
            <w:tcBorders>
              <w:tl2br w:val="nil"/>
              <w:tr2bl w:val="nil"/>
            </w:tcBorders>
            <w:shd w:val="clear" w:color="auto" w:fill="auto"/>
            <w:vAlign w:val="center"/>
          </w:tcPr>
          <w:p w14:paraId="70898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B30F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35EA52C0">
            <w:pPr>
              <w:jc w:val="left"/>
              <w:rPr>
                <w:rFonts w:hint="eastAsia" w:ascii="宋体" w:hAnsi="宋体" w:eastAsia="宋体" w:cs="宋体"/>
                <w:i w:val="0"/>
                <w:iCs w:val="0"/>
                <w:color w:val="000000"/>
                <w:sz w:val="20"/>
                <w:szCs w:val="20"/>
                <w:u w:val="none"/>
              </w:rPr>
            </w:pPr>
          </w:p>
        </w:tc>
      </w:tr>
      <w:tr w14:paraId="60920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4C9CD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299" w:type="dxa"/>
            <w:tcBorders>
              <w:tl2br w:val="nil"/>
              <w:tr2bl w:val="nil"/>
            </w:tcBorders>
            <w:shd w:val="clear" w:color="auto" w:fill="auto"/>
            <w:vAlign w:val="center"/>
          </w:tcPr>
          <w:p w14:paraId="74AD55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彩钢瓦棚8</w:t>
            </w:r>
          </w:p>
        </w:tc>
        <w:tc>
          <w:tcPr>
            <w:tcW w:w="1148" w:type="dxa"/>
            <w:tcBorders>
              <w:tl2br w:val="nil"/>
              <w:tr2bl w:val="nil"/>
            </w:tcBorders>
            <w:shd w:val="clear" w:color="auto" w:fill="auto"/>
            <w:vAlign w:val="center"/>
          </w:tcPr>
          <w:p w14:paraId="0B5FF4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82.12</w:t>
            </w:r>
          </w:p>
        </w:tc>
        <w:tc>
          <w:tcPr>
            <w:tcW w:w="1087" w:type="dxa"/>
            <w:tcBorders>
              <w:tl2br w:val="nil"/>
              <w:tr2bl w:val="nil"/>
            </w:tcBorders>
            <w:shd w:val="clear" w:color="auto" w:fill="auto"/>
            <w:vAlign w:val="center"/>
          </w:tcPr>
          <w:p w14:paraId="7230F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397A35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B12C320">
            <w:pPr>
              <w:jc w:val="left"/>
              <w:rPr>
                <w:rFonts w:hint="eastAsia" w:ascii="宋体" w:hAnsi="宋体" w:eastAsia="宋体" w:cs="宋体"/>
                <w:i w:val="0"/>
                <w:iCs w:val="0"/>
                <w:color w:val="000000"/>
                <w:sz w:val="20"/>
                <w:szCs w:val="20"/>
                <w:u w:val="none"/>
              </w:rPr>
            </w:pPr>
          </w:p>
        </w:tc>
      </w:tr>
      <w:tr w14:paraId="4C556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76677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299" w:type="dxa"/>
            <w:tcBorders>
              <w:tl2br w:val="nil"/>
              <w:tr2bl w:val="nil"/>
            </w:tcBorders>
            <w:shd w:val="clear" w:color="auto" w:fill="auto"/>
            <w:vAlign w:val="center"/>
          </w:tcPr>
          <w:p w14:paraId="42D6B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彩钢瓦棚9</w:t>
            </w:r>
          </w:p>
        </w:tc>
        <w:tc>
          <w:tcPr>
            <w:tcW w:w="1148" w:type="dxa"/>
            <w:tcBorders>
              <w:tl2br w:val="nil"/>
              <w:tr2bl w:val="nil"/>
            </w:tcBorders>
            <w:shd w:val="clear" w:color="auto" w:fill="auto"/>
            <w:vAlign w:val="center"/>
          </w:tcPr>
          <w:p w14:paraId="2C99A06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27.38</w:t>
            </w:r>
          </w:p>
        </w:tc>
        <w:tc>
          <w:tcPr>
            <w:tcW w:w="1087" w:type="dxa"/>
            <w:tcBorders>
              <w:tl2br w:val="nil"/>
              <w:tr2bl w:val="nil"/>
            </w:tcBorders>
            <w:shd w:val="clear" w:color="auto" w:fill="auto"/>
            <w:vAlign w:val="center"/>
          </w:tcPr>
          <w:p w14:paraId="19347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1F070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FAAD26B">
            <w:pPr>
              <w:jc w:val="left"/>
              <w:rPr>
                <w:rFonts w:hint="eastAsia" w:ascii="宋体" w:hAnsi="宋体" w:eastAsia="宋体" w:cs="宋体"/>
                <w:i w:val="0"/>
                <w:iCs w:val="0"/>
                <w:color w:val="000000"/>
                <w:sz w:val="20"/>
                <w:szCs w:val="20"/>
                <w:u w:val="none"/>
              </w:rPr>
            </w:pPr>
          </w:p>
        </w:tc>
      </w:tr>
      <w:tr w14:paraId="5DD88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11FD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299" w:type="dxa"/>
            <w:tcBorders>
              <w:tl2br w:val="nil"/>
              <w:tr2bl w:val="nil"/>
            </w:tcBorders>
            <w:shd w:val="clear" w:color="auto" w:fill="auto"/>
            <w:vAlign w:val="center"/>
          </w:tcPr>
          <w:p w14:paraId="7637C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彩钢瓦棚10</w:t>
            </w:r>
          </w:p>
        </w:tc>
        <w:tc>
          <w:tcPr>
            <w:tcW w:w="1148" w:type="dxa"/>
            <w:tcBorders>
              <w:tl2br w:val="nil"/>
              <w:tr2bl w:val="nil"/>
            </w:tcBorders>
            <w:shd w:val="clear" w:color="auto" w:fill="auto"/>
            <w:vAlign w:val="center"/>
          </w:tcPr>
          <w:p w14:paraId="58C977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45.09</w:t>
            </w:r>
          </w:p>
        </w:tc>
        <w:tc>
          <w:tcPr>
            <w:tcW w:w="1087" w:type="dxa"/>
            <w:tcBorders>
              <w:tl2br w:val="nil"/>
              <w:tr2bl w:val="nil"/>
            </w:tcBorders>
            <w:shd w:val="clear" w:color="auto" w:fill="auto"/>
            <w:vAlign w:val="center"/>
          </w:tcPr>
          <w:p w14:paraId="407A3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1DFCD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85E1869">
            <w:pPr>
              <w:jc w:val="left"/>
              <w:rPr>
                <w:rFonts w:hint="eastAsia" w:ascii="宋体" w:hAnsi="宋体" w:eastAsia="宋体" w:cs="宋体"/>
                <w:i w:val="0"/>
                <w:iCs w:val="0"/>
                <w:color w:val="000000"/>
                <w:sz w:val="20"/>
                <w:szCs w:val="20"/>
                <w:u w:val="none"/>
              </w:rPr>
            </w:pPr>
          </w:p>
        </w:tc>
      </w:tr>
      <w:tr w14:paraId="7902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73F9D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299" w:type="dxa"/>
            <w:tcBorders>
              <w:tl2br w:val="nil"/>
              <w:tr2bl w:val="nil"/>
            </w:tcBorders>
            <w:shd w:val="clear" w:color="auto" w:fill="auto"/>
            <w:vAlign w:val="center"/>
          </w:tcPr>
          <w:p w14:paraId="1FC67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彩钢瓦棚11</w:t>
            </w:r>
          </w:p>
        </w:tc>
        <w:tc>
          <w:tcPr>
            <w:tcW w:w="1148" w:type="dxa"/>
            <w:tcBorders>
              <w:tl2br w:val="nil"/>
              <w:tr2bl w:val="nil"/>
            </w:tcBorders>
            <w:shd w:val="clear" w:color="auto" w:fill="auto"/>
            <w:vAlign w:val="center"/>
          </w:tcPr>
          <w:p w14:paraId="33A542C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35.14</w:t>
            </w:r>
          </w:p>
        </w:tc>
        <w:tc>
          <w:tcPr>
            <w:tcW w:w="1087" w:type="dxa"/>
            <w:tcBorders>
              <w:tl2br w:val="nil"/>
              <w:tr2bl w:val="nil"/>
            </w:tcBorders>
            <w:shd w:val="clear" w:color="auto" w:fill="auto"/>
            <w:vAlign w:val="center"/>
          </w:tcPr>
          <w:p w14:paraId="26BEC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32F3F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E07EB6B">
            <w:pPr>
              <w:jc w:val="left"/>
              <w:rPr>
                <w:rFonts w:hint="eastAsia" w:ascii="宋体" w:hAnsi="宋体" w:eastAsia="宋体" w:cs="宋体"/>
                <w:i w:val="0"/>
                <w:iCs w:val="0"/>
                <w:color w:val="000000"/>
                <w:sz w:val="20"/>
                <w:szCs w:val="20"/>
                <w:u w:val="none"/>
              </w:rPr>
            </w:pPr>
          </w:p>
        </w:tc>
      </w:tr>
      <w:tr w14:paraId="6517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BD252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299" w:type="dxa"/>
            <w:tcBorders>
              <w:tl2br w:val="nil"/>
              <w:tr2bl w:val="nil"/>
            </w:tcBorders>
            <w:shd w:val="clear" w:color="auto" w:fill="auto"/>
            <w:vAlign w:val="center"/>
          </w:tcPr>
          <w:p w14:paraId="43B52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彩钢瓦棚12</w:t>
            </w:r>
          </w:p>
        </w:tc>
        <w:tc>
          <w:tcPr>
            <w:tcW w:w="1148" w:type="dxa"/>
            <w:tcBorders>
              <w:tl2br w:val="nil"/>
              <w:tr2bl w:val="nil"/>
            </w:tcBorders>
            <w:shd w:val="clear" w:color="auto" w:fill="auto"/>
            <w:vAlign w:val="center"/>
          </w:tcPr>
          <w:p w14:paraId="5565D7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86.02</w:t>
            </w:r>
          </w:p>
        </w:tc>
        <w:tc>
          <w:tcPr>
            <w:tcW w:w="1087" w:type="dxa"/>
            <w:tcBorders>
              <w:tl2br w:val="nil"/>
              <w:tr2bl w:val="nil"/>
            </w:tcBorders>
            <w:shd w:val="clear" w:color="auto" w:fill="auto"/>
            <w:vAlign w:val="center"/>
          </w:tcPr>
          <w:p w14:paraId="2E240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6FD87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0BC6A94">
            <w:pPr>
              <w:jc w:val="left"/>
              <w:rPr>
                <w:rFonts w:hint="eastAsia" w:ascii="宋体" w:hAnsi="宋体" w:eastAsia="宋体" w:cs="宋体"/>
                <w:i w:val="0"/>
                <w:iCs w:val="0"/>
                <w:color w:val="000000"/>
                <w:sz w:val="20"/>
                <w:szCs w:val="20"/>
                <w:u w:val="none"/>
              </w:rPr>
            </w:pPr>
          </w:p>
        </w:tc>
      </w:tr>
      <w:tr w14:paraId="219D5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CD5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299" w:type="dxa"/>
            <w:tcBorders>
              <w:tl2br w:val="nil"/>
              <w:tr2bl w:val="nil"/>
            </w:tcBorders>
            <w:shd w:val="clear" w:color="auto" w:fill="auto"/>
            <w:vAlign w:val="center"/>
          </w:tcPr>
          <w:p w14:paraId="67044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彩钢瓦棚13</w:t>
            </w:r>
          </w:p>
        </w:tc>
        <w:tc>
          <w:tcPr>
            <w:tcW w:w="1148" w:type="dxa"/>
            <w:tcBorders>
              <w:tl2br w:val="nil"/>
              <w:tr2bl w:val="nil"/>
            </w:tcBorders>
            <w:shd w:val="clear" w:color="auto" w:fill="auto"/>
            <w:vAlign w:val="center"/>
          </w:tcPr>
          <w:p w14:paraId="3AD590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49.90</w:t>
            </w:r>
          </w:p>
        </w:tc>
        <w:tc>
          <w:tcPr>
            <w:tcW w:w="1087" w:type="dxa"/>
            <w:tcBorders>
              <w:tl2br w:val="nil"/>
              <w:tr2bl w:val="nil"/>
            </w:tcBorders>
            <w:shd w:val="clear" w:color="auto" w:fill="auto"/>
            <w:vAlign w:val="center"/>
          </w:tcPr>
          <w:p w14:paraId="3F176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1E717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63ED2BF0">
            <w:pPr>
              <w:jc w:val="left"/>
              <w:rPr>
                <w:rFonts w:hint="eastAsia" w:ascii="宋体" w:hAnsi="宋体" w:eastAsia="宋体" w:cs="宋体"/>
                <w:i w:val="0"/>
                <w:iCs w:val="0"/>
                <w:color w:val="000000"/>
                <w:sz w:val="20"/>
                <w:szCs w:val="20"/>
                <w:u w:val="none"/>
              </w:rPr>
            </w:pPr>
          </w:p>
        </w:tc>
      </w:tr>
      <w:tr w14:paraId="24C01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62E50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299" w:type="dxa"/>
            <w:tcBorders>
              <w:tl2br w:val="nil"/>
              <w:tr2bl w:val="nil"/>
            </w:tcBorders>
            <w:shd w:val="clear" w:color="auto" w:fill="auto"/>
            <w:vAlign w:val="center"/>
          </w:tcPr>
          <w:p w14:paraId="3F68B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彩钢瓦棚14</w:t>
            </w:r>
          </w:p>
        </w:tc>
        <w:tc>
          <w:tcPr>
            <w:tcW w:w="1148" w:type="dxa"/>
            <w:tcBorders>
              <w:tl2br w:val="nil"/>
              <w:tr2bl w:val="nil"/>
            </w:tcBorders>
            <w:shd w:val="clear" w:color="auto" w:fill="auto"/>
            <w:vAlign w:val="center"/>
          </w:tcPr>
          <w:p w14:paraId="6E6AD6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235.15</w:t>
            </w:r>
          </w:p>
        </w:tc>
        <w:tc>
          <w:tcPr>
            <w:tcW w:w="1087" w:type="dxa"/>
            <w:tcBorders>
              <w:tl2br w:val="nil"/>
              <w:tr2bl w:val="nil"/>
            </w:tcBorders>
            <w:shd w:val="clear" w:color="auto" w:fill="auto"/>
            <w:vAlign w:val="center"/>
          </w:tcPr>
          <w:p w14:paraId="3A21B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A0DF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0707D90">
            <w:pPr>
              <w:jc w:val="left"/>
              <w:rPr>
                <w:rFonts w:hint="eastAsia" w:ascii="宋体" w:hAnsi="宋体" w:eastAsia="宋体" w:cs="宋体"/>
                <w:i w:val="0"/>
                <w:iCs w:val="0"/>
                <w:color w:val="000000"/>
                <w:sz w:val="20"/>
                <w:szCs w:val="20"/>
                <w:u w:val="none"/>
              </w:rPr>
            </w:pPr>
          </w:p>
        </w:tc>
      </w:tr>
      <w:tr w14:paraId="62C62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E4BE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299" w:type="dxa"/>
            <w:tcBorders>
              <w:tl2br w:val="nil"/>
              <w:tr2bl w:val="nil"/>
            </w:tcBorders>
            <w:shd w:val="clear" w:color="auto" w:fill="auto"/>
            <w:vAlign w:val="center"/>
          </w:tcPr>
          <w:p w14:paraId="08FE6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彩钢瓦棚15</w:t>
            </w:r>
          </w:p>
        </w:tc>
        <w:tc>
          <w:tcPr>
            <w:tcW w:w="1148" w:type="dxa"/>
            <w:tcBorders>
              <w:tl2br w:val="nil"/>
              <w:tr2bl w:val="nil"/>
            </w:tcBorders>
            <w:shd w:val="clear" w:color="auto" w:fill="auto"/>
            <w:vAlign w:val="center"/>
          </w:tcPr>
          <w:p w14:paraId="15DC11B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536.03</w:t>
            </w:r>
          </w:p>
        </w:tc>
        <w:tc>
          <w:tcPr>
            <w:tcW w:w="1087" w:type="dxa"/>
            <w:tcBorders>
              <w:tl2br w:val="nil"/>
              <w:tr2bl w:val="nil"/>
            </w:tcBorders>
            <w:shd w:val="clear" w:color="auto" w:fill="auto"/>
            <w:vAlign w:val="center"/>
          </w:tcPr>
          <w:p w14:paraId="056A8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22E14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72B827B">
            <w:pPr>
              <w:jc w:val="left"/>
              <w:rPr>
                <w:rFonts w:hint="eastAsia" w:ascii="宋体" w:hAnsi="宋体" w:eastAsia="宋体" w:cs="宋体"/>
                <w:i w:val="0"/>
                <w:iCs w:val="0"/>
                <w:color w:val="000000"/>
                <w:sz w:val="20"/>
                <w:szCs w:val="20"/>
                <w:u w:val="none"/>
              </w:rPr>
            </w:pPr>
          </w:p>
        </w:tc>
      </w:tr>
      <w:tr w14:paraId="505A4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F55D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299" w:type="dxa"/>
            <w:tcBorders>
              <w:tl2br w:val="nil"/>
              <w:tr2bl w:val="nil"/>
            </w:tcBorders>
            <w:shd w:val="clear" w:color="auto" w:fill="auto"/>
            <w:vAlign w:val="center"/>
          </w:tcPr>
          <w:p w14:paraId="0C5AA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彩钢瓦棚16</w:t>
            </w:r>
          </w:p>
        </w:tc>
        <w:tc>
          <w:tcPr>
            <w:tcW w:w="1148" w:type="dxa"/>
            <w:tcBorders>
              <w:tl2br w:val="nil"/>
              <w:tr2bl w:val="nil"/>
            </w:tcBorders>
            <w:shd w:val="clear" w:color="auto" w:fill="auto"/>
            <w:vAlign w:val="center"/>
          </w:tcPr>
          <w:p w14:paraId="678A542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44.18</w:t>
            </w:r>
          </w:p>
        </w:tc>
        <w:tc>
          <w:tcPr>
            <w:tcW w:w="1087" w:type="dxa"/>
            <w:tcBorders>
              <w:tl2br w:val="nil"/>
              <w:tr2bl w:val="nil"/>
            </w:tcBorders>
            <w:shd w:val="clear" w:color="auto" w:fill="auto"/>
            <w:vAlign w:val="center"/>
          </w:tcPr>
          <w:p w14:paraId="019E2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5D809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33B0FAF">
            <w:pPr>
              <w:jc w:val="left"/>
              <w:rPr>
                <w:rFonts w:hint="eastAsia" w:ascii="宋体" w:hAnsi="宋体" w:eastAsia="宋体" w:cs="宋体"/>
                <w:i w:val="0"/>
                <w:iCs w:val="0"/>
                <w:color w:val="000000"/>
                <w:sz w:val="20"/>
                <w:szCs w:val="20"/>
                <w:u w:val="none"/>
              </w:rPr>
            </w:pPr>
          </w:p>
        </w:tc>
      </w:tr>
      <w:tr w14:paraId="1CA73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1C43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299" w:type="dxa"/>
            <w:tcBorders>
              <w:tl2br w:val="nil"/>
              <w:tr2bl w:val="nil"/>
            </w:tcBorders>
            <w:shd w:val="clear" w:color="auto" w:fill="auto"/>
            <w:vAlign w:val="center"/>
          </w:tcPr>
          <w:p w14:paraId="55E01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彩钢瓦棚17</w:t>
            </w:r>
          </w:p>
        </w:tc>
        <w:tc>
          <w:tcPr>
            <w:tcW w:w="1148" w:type="dxa"/>
            <w:tcBorders>
              <w:tl2br w:val="nil"/>
              <w:tr2bl w:val="nil"/>
            </w:tcBorders>
            <w:shd w:val="clear" w:color="auto" w:fill="auto"/>
            <w:vAlign w:val="center"/>
          </w:tcPr>
          <w:p w14:paraId="3340035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21.92</w:t>
            </w:r>
          </w:p>
        </w:tc>
        <w:tc>
          <w:tcPr>
            <w:tcW w:w="1087" w:type="dxa"/>
            <w:tcBorders>
              <w:tl2br w:val="nil"/>
              <w:tr2bl w:val="nil"/>
            </w:tcBorders>
            <w:shd w:val="clear" w:color="auto" w:fill="auto"/>
            <w:vAlign w:val="center"/>
          </w:tcPr>
          <w:p w14:paraId="28FF8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CC45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D150F52">
            <w:pPr>
              <w:jc w:val="left"/>
              <w:rPr>
                <w:rFonts w:hint="eastAsia" w:ascii="宋体" w:hAnsi="宋体" w:eastAsia="宋体" w:cs="宋体"/>
                <w:i w:val="0"/>
                <w:iCs w:val="0"/>
                <w:color w:val="000000"/>
                <w:sz w:val="20"/>
                <w:szCs w:val="20"/>
                <w:u w:val="none"/>
              </w:rPr>
            </w:pPr>
          </w:p>
        </w:tc>
      </w:tr>
      <w:tr w14:paraId="356C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3674A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299" w:type="dxa"/>
            <w:tcBorders>
              <w:tl2br w:val="nil"/>
              <w:tr2bl w:val="nil"/>
            </w:tcBorders>
            <w:shd w:val="clear" w:color="auto" w:fill="auto"/>
            <w:vAlign w:val="center"/>
          </w:tcPr>
          <w:p w14:paraId="05442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彩钢瓦棚18</w:t>
            </w:r>
          </w:p>
        </w:tc>
        <w:tc>
          <w:tcPr>
            <w:tcW w:w="1148" w:type="dxa"/>
            <w:tcBorders>
              <w:tl2br w:val="nil"/>
              <w:tr2bl w:val="nil"/>
            </w:tcBorders>
            <w:shd w:val="clear" w:color="auto" w:fill="auto"/>
            <w:vAlign w:val="center"/>
          </w:tcPr>
          <w:p w14:paraId="0724013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51.13</w:t>
            </w:r>
          </w:p>
        </w:tc>
        <w:tc>
          <w:tcPr>
            <w:tcW w:w="1087" w:type="dxa"/>
            <w:tcBorders>
              <w:tl2br w:val="nil"/>
              <w:tr2bl w:val="nil"/>
            </w:tcBorders>
            <w:shd w:val="clear" w:color="auto" w:fill="auto"/>
            <w:vAlign w:val="center"/>
          </w:tcPr>
          <w:p w14:paraId="35D3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3C798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F1CA29A">
            <w:pPr>
              <w:jc w:val="left"/>
              <w:rPr>
                <w:rFonts w:hint="eastAsia" w:ascii="宋体" w:hAnsi="宋体" w:eastAsia="宋体" w:cs="宋体"/>
                <w:i w:val="0"/>
                <w:iCs w:val="0"/>
                <w:color w:val="000000"/>
                <w:sz w:val="20"/>
                <w:szCs w:val="20"/>
                <w:u w:val="none"/>
              </w:rPr>
            </w:pPr>
          </w:p>
        </w:tc>
      </w:tr>
      <w:tr w14:paraId="46319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6D4D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299" w:type="dxa"/>
            <w:tcBorders>
              <w:tl2br w:val="nil"/>
              <w:tr2bl w:val="nil"/>
            </w:tcBorders>
            <w:shd w:val="clear" w:color="auto" w:fill="auto"/>
            <w:vAlign w:val="center"/>
          </w:tcPr>
          <w:p w14:paraId="225999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彩钢瓦棚19</w:t>
            </w:r>
          </w:p>
        </w:tc>
        <w:tc>
          <w:tcPr>
            <w:tcW w:w="1148" w:type="dxa"/>
            <w:tcBorders>
              <w:tl2br w:val="nil"/>
              <w:tr2bl w:val="nil"/>
            </w:tcBorders>
            <w:shd w:val="clear" w:color="auto" w:fill="auto"/>
            <w:vAlign w:val="center"/>
          </w:tcPr>
          <w:p w14:paraId="2725550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85.23</w:t>
            </w:r>
          </w:p>
        </w:tc>
        <w:tc>
          <w:tcPr>
            <w:tcW w:w="1087" w:type="dxa"/>
            <w:tcBorders>
              <w:tl2br w:val="nil"/>
              <w:tr2bl w:val="nil"/>
            </w:tcBorders>
            <w:shd w:val="clear" w:color="auto" w:fill="auto"/>
            <w:vAlign w:val="center"/>
          </w:tcPr>
          <w:p w14:paraId="098A7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7CF99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ADB2530">
            <w:pPr>
              <w:jc w:val="left"/>
              <w:rPr>
                <w:rFonts w:hint="eastAsia" w:ascii="宋体" w:hAnsi="宋体" w:eastAsia="宋体" w:cs="宋体"/>
                <w:i w:val="0"/>
                <w:iCs w:val="0"/>
                <w:color w:val="000000"/>
                <w:sz w:val="20"/>
                <w:szCs w:val="20"/>
                <w:u w:val="none"/>
              </w:rPr>
            </w:pPr>
          </w:p>
        </w:tc>
      </w:tr>
      <w:tr w14:paraId="3BFC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99329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299" w:type="dxa"/>
            <w:tcBorders>
              <w:tl2br w:val="nil"/>
              <w:tr2bl w:val="nil"/>
            </w:tcBorders>
            <w:shd w:val="clear" w:color="auto" w:fill="auto"/>
            <w:vAlign w:val="center"/>
          </w:tcPr>
          <w:p w14:paraId="2BF5C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彩钢瓦棚20</w:t>
            </w:r>
          </w:p>
        </w:tc>
        <w:tc>
          <w:tcPr>
            <w:tcW w:w="1148" w:type="dxa"/>
            <w:tcBorders>
              <w:tl2br w:val="nil"/>
              <w:tr2bl w:val="nil"/>
            </w:tcBorders>
            <w:shd w:val="clear" w:color="auto" w:fill="auto"/>
            <w:vAlign w:val="center"/>
          </w:tcPr>
          <w:p w14:paraId="006F59E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1,508.86</w:t>
            </w:r>
          </w:p>
        </w:tc>
        <w:tc>
          <w:tcPr>
            <w:tcW w:w="1087" w:type="dxa"/>
            <w:tcBorders>
              <w:tl2br w:val="nil"/>
              <w:tr2bl w:val="nil"/>
            </w:tcBorders>
            <w:shd w:val="clear" w:color="auto" w:fill="auto"/>
            <w:vAlign w:val="center"/>
          </w:tcPr>
          <w:p w14:paraId="4577A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4B672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33458871">
            <w:pPr>
              <w:jc w:val="left"/>
              <w:rPr>
                <w:rFonts w:hint="eastAsia" w:ascii="宋体" w:hAnsi="宋体" w:eastAsia="宋体" w:cs="宋体"/>
                <w:i w:val="0"/>
                <w:iCs w:val="0"/>
                <w:color w:val="000000"/>
                <w:sz w:val="20"/>
                <w:szCs w:val="20"/>
                <w:u w:val="none"/>
              </w:rPr>
            </w:pPr>
          </w:p>
        </w:tc>
      </w:tr>
      <w:tr w14:paraId="6E526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4D5E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299" w:type="dxa"/>
            <w:tcBorders>
              <w:tl2br w:val="nil"/>
              <w:tr2bl w:val="nil"/>
            </w:tcBorders>
            <w:shd w:val="clear" w:color="auto" w:fill="auto"/>
            <w:vAlign w:val="center"/>
          </w:tcPr>
          <w:p w14:paraId="07B73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彩钢瓦棚21</w:t>
            </w:r>
          </w:p>
        </w:tc>
        <w:tc>
          <w:tcPr>
            <w:tcW w:w="1148" w:type="dxa"/>
            <w:tcBorders>
              <w:tl2br w:val="nil"/>
              <w:tr2bl w:val="nil"/>
            </w:tcBorders>
            <w:shd w:val="clear" w:color="auto" w:fill="auto"/>
            <w:vAlign w:val="center"/>
          </w:tcPr>
          <w:p w14:paraId="04F9632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850.84</w:t>
            </w:r>
          </w:p>
        </w:tc>
        <w:tc>
          <w:tcPr>
            <w:tcW w:w="1087" w:type="dxa"/>
            <w:tcBorders>
              <w:tl2br w:val="nil"/>
              <w:tr2bl w:val="nil"/>
            </w:tcBorders>
            <w:shd w:val="clear" w:color="auto" w:fill="auto"/>
            <w:vAlign w:val="center"/>
          </w:tcPr>
          <w:p w14:paraId="3C565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4491C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AFB0414">
            <w:pPr>
              <w:jc w:val="left"/>
              <w:rPr>
                <w:rFonts w:hint="eastAsia" w:ascii="宋体" w:hAnsi="宋体" w:eastAsia="宋体" w:cs="宋体"/>
                <w:i w:val="0"/>
                <w:iCs w:val="0"/>
                <w:color w:val="000000"/>
                <w:sz w:val="20"/>
                <w:szCs w:val="20"/>
                <w:u w:val="none"/>
              </w:rPr>
            </w:pPr>
          </w:p>
        </w:tc>
      </w:tr>
      <w:tr w14:paraId="60514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45BD5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299" w:type="dxa"/>
            <w:tcBorders>
              <w:tl2br w:val="nil"/>
              <w:tr2bl w:val="nil"/>
            </w:tcBorders>
            <w:shd w:val="clear" w:color="auto" w:fill="auto"/>
            <w:vAlign w:val="center"/>
          </w:tcPr>
          <w:p w14:paraId="08032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彩钢瓦棚22</w:t>
            </w:r>
          </w:p>
        </w:tc>
        <w:tc>
          <w:tcPr>
            <w:tcW w:w="1148" w:type="dxa"/>
            <w:tcBorders>
              <w:tl2br w:val="nil"/>
              <w:tr2bl w:val="nil"/>
            </w:tcBorders>
            <w:shd w:val="clear" w:color="auto" w:fill="auto"/>
            <w:vAlign w:val="center"/>
          </w:tcPr>
          <w:p w14:paraId="342AAA9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97.60</w:t>
            </w:r>
          </w:p>
        </w:tc>
        <w:tc>
          <w:tcPr>
            <w:tcW w:w="1087" w:type="dxa"/>
            <w:tcBorders>
              <w:tl2br w:val="nil"/>
              <w:tr2bl w:val="nil"/>
            </w:tcBorders>
            <w:shd w:val="clear" w:color="auto" w:fill="auto"/>
            <w:vAlign w:val="center"/>
          </w:tcPr>
          <w:p w14:paraId="272FB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彩钢瓦棚</w:t>
            </w:r>
          </w:p>
        </w:tc>
        <w:tc>
          <w:tcPr>
            <w:tcW w:w="2592" w:type="dxa"/>
            <w:tcBorders>
              <w:tl2br w:val="nil"/>
              <w:tr2bl w:val="nil"/>
            </w:tcBorders>
            <w:shd w:val="clear" w:color="auto" w:fill="auto"/>
            <w:vAlign w:val="center"/>
          </w:tcPr>
          <w:p w14:paraId="361DA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4325B20">
            <w:pPr>
              <w:jc w:val="left"/>
              <w:rPr>
                <w:rFonts w:hint="eastAsia" w:ascii="宋体" w:hAnsi="宋体" w:eastAsia="宋体" w:cs="宋体"/>
                <w:i w:val="0"/>
                <w:iCs w:val="0"/>
                <w:color w:val="000000"/>
                <w:sz w:val="20"/>
                <w:szCs w:val="20"/>
                <w:u w:val="none"/>
              </w:rPr>
            </w:pPr>
          </w:p>
        </w:tc>
      </w:tr>
      <w:tr w14:paraId="48249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41D4F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299" w:type="dxa"/>
            <w:tcBorders>
              <w:tl2br w:val="nil"/>
              <w:tr2bl w:val="nil"/>
            </w:tcBorders>
            <w:shd w:val="clear" w:color="auto" w:fill="auto"/>
            <w:vAlign w:val="center"/>
          </w:tcPr>
          <w:p w14:paraId="29697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彩钢房1</w:t>
            </w:r>
          </w:p>
        </w:tc>
        <w:tc>
          <w:tcPr>
            <w:tcW w:w="1148" w:type="dxa"/>
            <w:tcBorders>
              <w:tl2br w:val="nil"/>
              <w:tr2bl w:val="nil"/>
            </w:tcBorders>
            <w:shd w:val="clear" w:color="auto" w:fill="auto"/>
            <w:vAlign w:val="center"/>
          </w:tcPr>
          <w:p w14:paraId="6DB7A7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215.16</w:t>
            </w:r>
          </w:p>
        </w:tc>
        <w:tc>
          <w:tcPr>
            <w:tcW w:w="1087" w:type="dxa"/>
            <w:tcBorders>
              <w:tl2br w:val="nil"/>
              <w:tr2bl w:val="nil"/>
            </w:tcBorders>
            <w:shd w:val="clear" w:color="auto" w:fill="auto"/>
            <w:vAlign w:val="center"/>
          </w:tcPr>
          <w:p w14:paraId="585E4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4C91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873ED33">
            <w:pPr>
              <w:jc w:val="left"/>
              <w:rPr>
                <w:rFonts w:hint="eastAsia" w:ascii="宋体" w:hAnsi="宋体" w:eastAsia="宋体" w:cs="宋体"/>
                <w:i w:val="0"/>
                <w:iCs w:val="0"/>
                <w:color w:val="000000"/>
                <w:sz w:val="20"/>
                <w:szCs w:val="20"/>
                <w:u w:val="none"/>
              </w:rPr>
            </w:pPr>
          </w:p>
        </w:tc>
      </w:tr>
      <w:tr w14:paraId="54457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56" w:type="dxa"/>
            <w:tcBorders>
              <w:tl2br w:val="nil"/>
              <w:tr2bl w:val="nil"/>
            </w:tcBorders>
            <w:shd w:val="clear" w:color="auto" w:fill="auto"/>
            <w:vAlign w:val="center"/>
          </w:tcPr>
          <w:p w14:paraId="1D684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299" w:type="dxa"/>
            <w:tcBorders>
              <w:tl2br w:val="nil"/>
              <w:tr2bl w:val="nil"/>
            </w:tcBorders>
            <w:shd w:val="clear" w:color="auto" w:fill="auto"/>
            <w:vAlign w:val="center"/>
          </w:tcPr>
          <w:p w14:paraId="0F3E4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彩钢房2</w:t>
            </w:r>
          </w:p>
        </w:tc>
        <w:tc>
          <w:tcPr>
            <w:tcW w:w="1148" w:type="dxa"/>
            <w:tcBorders>
              <w:tl2br w:val="nil"/>
              <w:tr2bl w:val="nil"/>
            </w:tcBorders>
            <w:shd w:val="clear" w:color="auto" w:fill="auto"/>
            <w:vAlign w:val="center"/>
          </w:tcPr>
          <w:p w14:paraId="751328F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w:t>
            </w:r>
          </w:p>
        </w:tc>
        <w:tc>
          <w:tcPr>
            <w:tcW w:w="1087" w:type="dxa"/>
            <w:tcBorders>
              <w:tl2br w:val="nil"/>
              <w:tr2bl w:val="nil"/>
            </w:tcBorders>
            <w:shd w:val="clear" w:color="auto" w:fill="auto"/>
            <w:vAlign w:val="center"/>
          </w:tcPr>
          <w:p w14:paraId="11C06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5859B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4E1CA90">
            <w:pPr>
              <w:jc w:val="left"/>
              <w:rPr>
                <w:rFonts w:hint="eastAsia" w:ascii="宋体" w:hAnsi="宋体" w:eastAsia="宋体" w:cs="宋体"/>
                <w:i w:val="0"/>
                <w:iCs w:val="0"/>
                <w:color w:val="000000"/>
                <w:sz w:val="20"/>
                <w:szCs w:val="20"/>
                <w:u w:val="none"/>
              </w:rPr>
            </w:pPr>
          </w:p>
        </w:tc>
      </w:tr>
      <w:tr w14:paraId="6D193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6C71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299" w:type="dxa"/>
            <w:tcBorders>
              <w:tl2br w:val="nil"/>
              <w:tr2bl w:val="nil"/>
            </w:tcBorders>
            <w:shd w:val="clear" w:color="auto" w:fill="auto"/>
            <w:vAlign w:val="center"/>
          </w:tcPr>
          <w:p w14:paraId="33BDE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彩钢房3</w:t>
            </w:r>
          </w:p>
        </w:tc>
        <w:tc>
          <w:tcPr>
            <w:tcW w:w="1148" w:type="dxa"/>
            <w:tcBorders>
              <w:tl2br w:val="nil"/>
              <w:tr2bl w:val="nil"/>
            </w:tcBorders>
            <w:shd w:val="clear" w:color="auto" w:fill="auto"/>
            <w:vAlign w:val="center"/>
          </w:tcPr>
          <w:p w14:paraId="36FE3BC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200.16</w:t>
            </w:r>
          </w:p>
        </w:tc>
        <w:tc>
          <w:tcPr>
            <w:tcW w:w="1087" w:type="dxa"/>
            <w:tcBorders>
              <w:tl2br w:val="nil"/>
              <w:tr2bl w:val="nil"/>
            </w:tcBorders>
            <w:shd w:val="clear" w:color="auto" w:fill="auto"/>
            <w:vAlign w:val="center"/>
          </w:tcPr>
          <w:p w14:paraId="3CAF1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016E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13F7B67A">
            <w:pPr>
              <w:jc w:val="left"/>
              <w:rPr>
                <w:rFonts w:hint="eastAsia" w:ascii="宋体" w:hAnsi="宋体" w:eastAsia="宋体" w:cs="宋体"/>
                <w:i w:val="0"/>
                <w:iCs w:val="0"/>
                <w:color w:val="000000"/>
                <w:sz w:val="20"/>
                <w:szCs w:val="20"/>
                <w:u w:val="none"/>
              </w:rPr>
            </w:pPr>
          </w:p>
        </w:tc>
      </w:tr>
      <w:tr w14:paraId="2A6C2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716EE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299" w:type="dxa"/>
            <w:tcBorders>
              <w:tl2br w:val="nil"/>
              <w:tr2bl w:val="nil"/>
            </w:tcBorders>
            <w:shd w:val="clear" w:color="auto" w:fill="auto"/>
            <w:vAlign w:val="center"/>
          </w:tcPr>
          <w:p w14:paraId="1BC1C9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彩钢房4</w:t>
            </w:r>
          </w:p>
        </w:tc>
        <w:tc>
          <w:tcPr>
            <w:tcW w:w="1148" w:type="dxa"/>
            <w:tcBorders>
              <w:tl2br w:val="nil"/>
              <w:tr2bl w:val="nil"/>
            </w:tcBorders>
            <w:shd w:val="clear" w:color="auto" w:fill="auto"/>
            <w:vAlign w:val="center"/>
          </w:tcPr>
          <w:p w14:paraId="07570A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97.46</w:t>
            </w:r>
          </w:p>
        </w:tc>
        <w:tc>
          <w:tcPr>
            <w:tcW w:w="1087" w:type="dxa"/>
            <w:tcBorders>
              <w:tl2br w:val="nil"/>
              <w:tr2bl w:val="nil"/>
            </w:tcBorders>
            <w:shd w:val="clear" w:color="auto" w:fill="auto"/>
            <w:vAlign w:val="center"/>
          </w:tcPr>
          <w:p w14:paraId="74D36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2C0E1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77258C4C">
            <w:pPr>
              <w:jc w:val="left"/>
              <w:rPr>
                <w:rFonts w:hint="eastAsia" w:ascii="宋体" w:hAnsi="宋体" w:eastAsia="宋体" w:cs="宋体"/>
                <w:i w:val="0"/>
                <w:iCs w:val="0"/>
                <w:color w:val="000000"/>
                <w:sz w:val="20"/>
                <w:szCs w:val="20"/>
                <w:u w:val="none"/>
              </w:rPr>
            </w:pPr>
          </w:p>
        </w:tc>
      </w:tr>
      <w:tr w14:paraId="36FC8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3295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299" w:type="dxa"/>
            <w:tcBorders>
              <w:tl2br w:val="nil"/>
              <w:tr2bl w:val="nil"/>
            </w:tcBorders>
            <w:shd w:val="clear" w:color="auto" w:fill="auto"/>
            <w:vAlign w:val="center"/>
          </w:tcPr>
          <w:p w14:paraId="1C8C3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彩钢房5</w:t>
            </w:r>
          </w:p>
        </w:tc>
        <w:tc>
          <w:tcPr>
            <w:tcW w:w="1148" w:type="dxa"/>
            <w:tcBorders>
              <w:tl2br w:val="nil"/>
              <w:tr2bl w:val="nil"/>
            </w:tcBorders>
            <w:shd w:val="clear" w:color="auto" w:fill="auto"/>
            <w:vAlign w:val="center"/>
          </w:tcPr>
          <w:p w14:paraId="446126E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222.92</w:t>
            </w:r>
          </w:p>
        </w:tc>
        <w:tc>
          <w:tcPr>
            <w:tcW w:w="1087" w:type="dxa"/>
            <w:tcBorders>
              <w:tl2br w:val="nil"/>
              <w:tr2bl w:val="nil"/>
            </w:tcBorders>
            <w:shd w:val="clear" w:color="auto" w:fill="auto"/>
            <w:vAlign w:val="center"/>
          </w:tcPr>
          <w:p w14:paraId="5753B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4DDA4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281311E">
            <w:pPr>
              <w:jc w:val="left"/>
              <w:rPr>
                <w:rFonts w:hint="eastAsia" w:ascii="宋体" w:hAnsi="宋体" w:eastAsia="宋体" w:cs="宋体"/>
                <w:i w:val="0"/>
                <w:iCs w:val="0"/>
                <w:color w:val="000000"/>
                <w:sz w:val="20"/>
                <w:szCs w:val="20"/>
                <w:u w:val="none"/>
              </w:rPr>
            </w:pPr>
          </w:p>
        </w:tc>
      </w:tr>
      <w:tr w14:paraId="3ED6D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5353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299" w:type="dxa"/>
            <w:tcBorders>
              <w:tl2br w:val="nil"/>
              <w:tr2bl w:val="nil"/>
            </w:tcBorders>
            <w:shd w:val="clear" w:color="auto" w:fill="auto"/>
            <w:vAlign w:val="center"/>
          </w:tcPr>
          <w:p w14:paraId="5606D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彩钢房6</w:t>
            </w:r>
          </w:p>
        </w:tc>
        <w:tc>
          <w:tcPr>
            <w:tcW w:w="1148" w:type="dxa"/>
            <w:tcBorders>
              <w:tl2br w:val="nil"/>
              <w:tr2bl w:val="nil"/>
            </w:tcBorders>
            <w:shd w:val="clear" w:color="auto" w:fill="auto"/>
            <w:vAlign w:val="center"/>
          </w:tcPr>
          <w:p w14:paraId="7651CA7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594.05</w:t>
            </w:r>
          </w:p>
        </w:tc>
        <w:tc>
          <w:tcPr>
            <w:tcW w:w="1087" w:type="dxa"/>
            <w:tcBorders>
              <w:tl2br w:val="nil"/>
              <w:tr2bl w:val="nil"/>
            </w:tcBorders>
            <w:shd w:val="clear" w:color="auto" w:fill="auto"/>
            <w:vAlign w:val="center"/>
          </w:tcPr>
          <w:p w14:paraId="7D5FB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2749E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646987A">
            <w:pPr>
              <w:jc w:val="left"/>
              <w:rPr>
                <w:rFonts w:hint="eastAsia" w:ascii="宋体" w:hAnsi="宋体" w:eastAsia="宋体" w:cs="宋体"/>
                <w:i w:val="0"/>
                <w:iCs w:val="0"/>
                <w:color w:val="000000"/>
                <w:sz w:val="20"/>
                <w:szCs w:val="20"/>
                <w:u w:val="none"/>
              </w:rPr>
            </w:pPr>
          </w:p>
        </w:tc>
      </w:tr>
      <w:tr w14:paraId="00B9D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5E4F6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299" w:type="dxa"/>
            <w:tcBorders>
              <w:tl2br w:val="nil"/>
              <w:tr2bl w:val="nil"/>
            </w:tcBorders>
            <w:shd w:val="clear" w:color="auto" w:fill="auto"/>
            <w:vAlign w:val="center"/>
          </w:tcPr>
          <w:p w14:paraId="14E84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彩钢房7</w:t>
            </w:r>
          </w:p>
        </w:tc>
        <w:tc>
          <w:tcPr>
            <w:tcW w:w="1148" w:type="dxa"/>
            <w:tcBorders>
              <w:tl2br w:val="nil"/>
              <w:tr2bl w:val="nil"/>
            </w:tcBorders>
            <w:shd w:val="clear" w:color="auto" w:fill="auto"/>
            <w:vAlign w:val="center"/>
          </w:tcPr>
          <w:p w14:paraId="1688ADE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203.24</w:t>
            </w:r>
          </w:p>
        </w:tc>
        <w:tc>
          <w:tcPr>
            <w:tcW w:w="1087" w:type="dxa"/>
            <w:tcBorders>
              <w:tl2br w:val="nil"/>
              <w:tr2bl w:val="nil"/>
            </w:tcBorders>
            <w:shd w:val="clear" w:color="auto" w:fill="auto"/>
            <w:vAlign w:val="center"/>
          </w:tcPr>
          <w:p w14:paraId="75483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5DDBD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515D926F">
            <w:pPr>
              <w:jc w:val="left"/>
              <w:rPr>
                <w:rFonts w:hint="eastAsia" w:ascii="宋体" w:hAnsi="宋体" w:eastAsia="宋体" w:cs="宋体"/>
                <w:i w:val="0"/>
                <w:iCs w:val="0"/>
                <w:color w:val="000000"/>
                <w:sz w:val="20"/>
                <w:szCs w:val="20"/>
                <w:u w:val="none"/>
              </w:rPr>
            </w:pPr>
          </w:p>
        </w:tc>
      </w:tr>
      <w:tr w14:paraId="14ED2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729BF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299" w:type="dxa"/>
            <w:tcBorders>
              <w:tl2br w:val="nil"/>
              <w:tr2bl w:val="nil"/>
            </w:tcBorders>
            <w:shd w:val="clear" w:color="auto" w:fill="auto"/>
            <w:vAlign w:val="center"/>
          </w:tcPr>
          <w:p w14:paraId="20D89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彩钢房8</w:t>
            </w:r>
          </w:p>
        </w:tc>
        <w:tc>
          <w:tcPr>
            <w:tcW w:w="1148" w:type="dxa"/>
            <w:tcBorders>
              <w:tl2br w:val="nil"/>
              <w:tr2bl w:val="nil"/>
            </w:tcBorders>
            <w:shd w:val="clear" w:color="auto" w:fill="auto"/>
            <w:vAlign w:val="center"/>
          </w:tcPr>
          <w:p w14:paraId="69206D6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162.32</w:t>
            </w:r>
          </w:p>
        </w:tc>
        <w:tc>
          <w:tcPr>
            <w:tcW w:w="1087" w:type="dxa"/>
            <w:tcBorders>
              <w:tl2br w:val="nil"/>
              <w:tr2bl w:val="nil"/>
            </w:tcBorders>
            <w:shd w:val="clear" w:color="auto" w:fill="auto"/>
            <w:vAlign w:val="center"/>
          </w:tcPr>
          <w:p w14:paraId="22BDA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7624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812DC1A">
            <w:pPr>
              <w:jc w:val="left"/>
              <w:rPr>
                <w:rFonts w:hint="eastAsia" w:ascii="宋体" w:hAnsi="宋体" w:eastAsia="宋体" w:cs="宋体"/>
                <w:i w:val="0"/>
                <w:iCs w:val="0"/>
                <w:color w:val="000000"/>
                <w:sz w:val="20"/>
                <w:szCs w:val="20"/>
                <w:u w:val="none"/>
              </w:rPr>
            </w:pPr>
          </w:p>
        </w:tc>
      </w:tr>
      <w:tr w14:paraId="5F945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D0BF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299" w:type="dxa"/>
            <w:tcBorders>
              <w:tl2br w:val="nil"/>
              <w:tr2bl w:val="nil"/>
            </w:tcBorders>
            <w:shd w:val="clear" w:color="auto" w:fill="auto"/>
            <w:vAlign w:val="center"/>
          </w:tcPr>
          <w:p w14:paraId="4D7C2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彩钢房9</w:t>
            </w:r>
          </w:p>
        </w:tc>
        <w:tc>
          <w:tcPr>
            <w:tcW w:w="1148" w:type="dxa"/>
            <w:tcBorders>
              <w:tl2br w:val="nil"/>
              <w:tr2bl w:val="nil"/>
            </w:tcBorders>
            <w:shd w:val="clear" w:color="auto" w:fill="auto"/>
            <w:vAlign w:val="center"/>
          </w:tcPr>
          <w:p w14:paraId="791087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23.91</w:t>
            </w:r>
          </w:p>
        </w:tc>
        <w:tc>
          <w:tcPr>
            <w:tcW w:w="1087" w:type="dxa"/>
            <w:tcBorders>
              <w:tl2br w:val="nil"/>
              <w:tr2bl w:val="nil"/>
            </w:tcBorders>
            <w:shd w:val="clear" w:color="auto" w:fill="auto"/>
            <w:vAlign w:val="center"/>
          </w:tcPr>
          <w:p w14:paraId="7C978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39F8F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24A0FE2C">
            <w:pPr>
              <w:jc w:val="left"/>
              <w:rPr>
                <w:rFonts w:hint="eastAsia" w:ascii="宋体" w:hAnsi="宋体" w:eastAsia="宋体" w:cs="宋体"/>
                <w:i w:val="0"/>
                <w:iCs w:val="0"/>
                <w:color w:val="000000"/>
                <w:sz w:val="20"/>
                <w:szCs w:val="20"/>
                <w:u w:val="none"/>
              </w:rPr>
            </w:pPr>
          </w:p>
        </w:tc>
      </w:tr>
      <w:tr w14:paraId="50F09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AB47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299" w:type="dxa"/>
            <w:tcBorders>
              <w:tl2br w:val="nil"/>
              <w:tr2bl w:val="nil"/>
            </w:tcBorders>
            <w:shd w:val="clear" w:color="auto" w:fill="auto"/>
            <w:vAlign w:val="center"/>
          </w:tcPr>
          <w:p w14:paraId="1690C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彩钢房10</w:t>
            </w:r>
          </w:p>
        </w:tc>
        <w:tc>
          <w:tcPr>
            <w:tcW w:w="1148" w:type="dxa"/>
            <w:tcBorders>
              <w:tl2br w:val="nil"/>
              <w:tr2bl w:val="nil"/>
            </w:tcBorders>
            <w:shd w:val="clear" w:color="auto" w:fill="auto"/>
            <w:vAlign w:val="center"/>
          </w:tcPr>
          <w:p w14:paraId="73E5DF7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33.44</w:t>
            </w:r>
          </w:p>
        </w:tc>
        <w:tc>
          <w:tcPr>
            <w:tcW w:w="1087" w:type="dxa"/>
            <w:tcBorders>
              <w:tl2br w:val="nil"/>
              <w:tr2bl w:val="nil"/>
            </w:tcBorders>
            <w:shd w:val="clear" w:color="auto" w:fill="auto"/>
            <w:vAlign w:val="center"/>
          </w:tcPr>
          <w:p w14:paraId="20FA8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1FD05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027688D0">
            <w:pPr>
              <w:jc w:val="left"/>
              <w:rPr>
                <w:rFonts w:hint="eastAsia" w:ascii="宋体" w:hAnsi="宋体" w:eastAsia="宋体" w:cs="宋体"/>
                <w:i w:val="0"/>
                <w:iCs w:val="0"/>
                <w:color w:val="000000"/>
                <w:sz w:val="20"/>
                <w:szCs w:val="20"/>
                <w:u w:val="none"/>
              </w:rPr>
            </w:pPr>
          </w:p>
        </w:tc>
      </w:tr>
      <w:tr w14:paraId="1BF0F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7146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299" w:type="dxa"/>
            <w:tcBorders>
              <w:tl2br w:val="nil"/>
              <w:tr2bl w:val="nil"/>
            </w:tcBorders>
            <w:shd w:val="clear" w:color="auto" w:fill="auto"/>
            <w:vAlign w:val="center"/>
          </w:tcPr>
          <w:p w14:paraId="5FF4C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彩钢房11</w:t>
            </w:r>
          </w:p>
        </w:tc>
        <w:tc>
          <w:tcPr>
            <w:tcW w:w="1148" w:type="dxa"/>
            <w:tcBorders>
              <w:tl2br w:val="nil"/>
              <w:tr2bl w:val="nil"/>
            </w:tcBorders>
            <w:shd w:val="clear" w:color="auto" w:fill="auto"/>
            <w:vAlign w:val="center"/>
          </w:tcPr>
          <w:p w14:paraId="5E210B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129.18</w:t>
            </w:r>
          </w:p>
        </w:tc>
        <w:tc>
          <w:tcPr>
            <w:tcW w:w="1087" w:type="dxa"/>
            <w:tcBorders>
              <w:tl2br w:val="nil"/>
              <w:tr2bl w:val="nil"/>
            </w:tcBorders>
            <w:shd w:val="clear" w:color="auto" w:fill="auto"/>
            <w:vAlign w:val="center"/>
          </w:tcPr>
          <w:p w14:paraId="1E4B8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3A9BA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410FA986">
            <w:pPr>
              <w:jc w:val="left"/>
              <w:rPr>
                <w:rFonts w:hint="eastAsia" w:ascii="宋体" w:hAnsi="宋体" w:eastAsia="宋体" w:cs="宋体"/>
                <w:i w:val="0"/>
                <w:iCs w:val="0"/>
                <w:color w:val="000000"/>
                <w:sz w:val="20"/>
                <w:szCs w:val="20"/>
                <w:u w:val="none"/>
              </w:rPr>
            </w:pPr>
          </w:p>
        </w:tc>
      </w:tr>
      <w:tr w14:paraId="28B30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37F76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299" w:type="dxa"/>
            <w:tcBorders>
              <w:tl2br w:val="nil"/>
              <w:tr2bl w:val="nil"/>
            </w:tcBorders>
            <w:shd w:val="clear" w:color="auto" w:fill="auto"/>
            <w:vAlign w:val="center"/>
          </w:tcPr>
          <w:p w14:paraId="52141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彩钢房12</w:t>
            </w:r>
          </w:p>
        </w:tc>
        <w:tc>
          <w:tcPr>
            <w:tcW w:w="1148" w:type="dxa"/>
            <w:tcBorders>
              <w:tl2br w:val="nil"/>
              <w:tr2bl w:val="nil"/>
            </w:tcBorders>
            <w:shd w:val="clear" w:color="auto" w:fill="auto"/>
            <w:vAlign w:val="center"/>
          </w:tcPr>
          <w:p w14:paraId="7874E7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161.51</w:t>
            </w:r>
          </w:p>
        </w:tc>
        <w:tc>
          <w:tcPr>
            <w:tcW w:w="1087" w:type="dxa"/>
            <w:tcBorders>
              <w:tl2br w:val="nil"/>
              <w:tr2bl w:val="nil"/>
            </w:tcBorders>
            <w:shd w:val="clear" w:color="auto" w:fill="auto"/>
            <w:vAlign w:val="center"/>
          </w:tcPr>
          <w:p w14:paraId="4C16A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彩钢房</w:t>
            </w:r>
          </w:p>
        </w:tc>
        <w:tc>
          <w:tcPr>
            <w:tcW w:w="2592" w:type="dxa"/>
            <w:tcBorders>
              <w:tl2br w:val="nil"/>
              <w:tr2bl w:val="nil"/>
            </w:tcBorders>
            <w:shd w:val="clear" w:color="auto" w:fill="auto"/>
            <w:vAlign w:val="center"/>
          </w:tcPr>
          <w:p w14:paraId="19336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未查有审建手续</w:t>
            </w:r>
          </w:p>
        </w:tc>
        <w:tc>
          <w:tcPr>
            <w:tcW w:w="1179" w:type="dxa"/>
            <w:tcBorders>
              <w:tl2br w:val="nil"/>
              <w:tr2bl w:val="nil"/>
            </w:tcBorders>
            <w:shd w:val="clear" w:color="auto" w:fill="auto"/>
            <w:vAlign w:val="top"/>
          </w:tcPr>
          <w:p w14:paraId="619C49C6">
            <w:pPr>
              <w:jc w:val="left"/>
              <w:rPr>
                <w:rFonts w:hint="eastAsia" w:ascii="宋体" w:hAnsi="宋体" w:eastAsia="宋体" w:cs="宋体"/>
                <w:i w:val="0"/>
                <w:iCs w:val="0"/>
                <w:color w:val="000000"/>
                <w:sz w:val="20"/>
                <w:szCs w:val="20"/>
                <w:u w:val="none"/>
              </w:rPr>
            </w:pPr>
          </w:p>
        </w:tc>
      </w:tr>
      <w:tr w14:paraId="14FB3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2055" w:type="dxa"/>
            <w:gridSpan w:val="2"/>
            <w:tcBorders>
              <w:tl2br w:val="nil"/>
              <w:tr2bl w:val="nil"/>
            </w:tcBorders>
            <w:shd w:val="clear" w:color="auto" w:fill="auto"/>
            <w:vAlign w:val="center"/>
          </w:tcPr>
          <w:p w14:paraId="2221C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小计3</w:t>
            </w:r>
          </w:p>
        </w:tc>
        <w:tc>
          <w:tcPr>
            <w:tcW w:w="1148" w:type="dxa"/>
            <w:tcBorders>
              <w:tl2br w:val="nil"/>
              <w:tr2bl w:val="nil"/>
            </w:tcBorders>
            <w:shd w:val="clear" w:color="auto" w:fill="auto"/>
            <w:vAlign w:val="center"/>
          </w:tcPr>
          <w:p w14:paraId="457DF34F">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14,845.11 </w:t>
            </w:r>
          </w:p>
        </w:tc>
        <w:tc>
          <w:tcPr>
            <w:tcW w:w="1087" w:type="dxa"/>
            <w:tcBorders>
              <w:tl2br w:val="nil"/>
              <w:tr2bl w:val="nil"/>
            </w:tcBorders>
            <w:shd w:val="clear" w:color="auto" w:fill="auto"/>
            <w:vAlign w:val="center"/>
          </w:tcPr>
          <w:p w14:paraId="49163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592" w:type="dxa"/>
            <w:tcBorders>
              <w:tl2br w:val="nil"/>
              <w:tr2bl w:val="nil"/>
            </w:tcBorders>
            <w:shd w:val="clear" w:color="auto" w:fill="auto"/>
            <w:vAlign w:val="center"/>
          </w:tcPr>
          <w:p w14:paraId="189A8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5394C1A8">
            <w:pPr>
              <w:jc w:val="left"/>
              <w:rPr>
                <w:rFonts w:hint="eastAsia" w:ascii="宋体" w:hAnsi="宋体" w:eastAsia="宋体" w:cs="宋体"/>
                <w:i w:val="0"/>
                <w:iCs w:val="0"/>
                <w:color w:val="000000"/>
                <w:sz w:val="20"/>
                <w:szCs w:val="20"/>
                <w:u w:val="none"/>
              </w:rPr>
            </w:pPr>
          </w:p>
        </w:tc>
      </w:tr>
      <w:tr w14:paraId="3AB29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3A800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299" w:type="dxa"/>
            <w:tcBorders>
              <w:tl2br w:val="nil"/>
              <w:tr2bl w:val="nil"/>
            </w:tcBorders>
            <w:shd w:val="clear" w:color="auto" w:fill="auto"/>
            <w:vAlign w:val="center"/>
          </w:tcPr>
          <w:p w14:paraId="24016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水泥硬化1</w:t>
            </w:r>
          </w:p>
        </w:tc>
        <w:tc>
          <w:tcPr>
            <w:tcW w:w="1148" w:type="dxa"/>
            <w:tcBorders>
              <w:tl2br w:val="nil"/>
              <w:tr2bl w:val="nil"/>
            </w:tcBorders>
            <w:shd w:val="clear" w:color="auto" w:fill="auto"/>
            <w:vAlign w:val="center"/>
          </w:tcPr>
          <w:p w14:paraId="0023AE4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4,915.00</w:t>
            </w:r>
          </w:p>
        </w:tc>
        <w:tc>
          <w:tcPr>
            <w:tcW w:w="1087" w:type="dxa"/>
            <w:tcBorders>
              <w:tl2br w:val="nil"/>
              <w:tr2bl w:val="nil"/>
            </w:tcBorders>
            <w:shd w:val="clear" w:color="auto" w:fill="auto"/>
            <w:vAlign w:val="center"/>
          </w:tcPr>
          <w:p w14:paraId="66E5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w:t>
            </w:r>
          </w:p>
        </w:tc>
        <w:tc>
          <w:tcPr>
            <w:tcW w:w="2592" w:type="dxa"/>
            <w:tcBorders>
              <w:tl2br w:val="nil"/>
              <w:tr2bl w:val="nil"/>
            </w:tcBorders>
            <w:shd w:val="clear" w:color="auto" w:fill="auto"/>
            <w:vAlign w:val="center"/>
          </w:tcPr>
          <w:p w14:paraId="64A94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20CD1C97">
            <w:pPr>
              <w:jc w:val="left"/>
              <w:rPr>
                <w:rFonts w:hint="eastAsia" w:ascii="宋体" w:hAnsi="宋体" w:eastAsia="宋体" w:cs="宋体"/>
                <w:i w:val="0"/>
                <w:iCs w:val="0"/>
                <w:color w:val="000000"/>
                <w:sz w:val="20"/>
                <w:szCs w:val="20"/>
                <w:u w:val="none"/>
              </w:rPr>
            </w:pPr>
          </w:p>
        </w:tc>
      </w:tr>
      <w:tr w14:paraId="4B150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2258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299" w:type="dxa"/>
            <w:tcBorders>
              <w:tl2br w:val="nil"/>
              <w:tr2bl w:val="nil"/>
            </w:tcBorders>
            <w:shd w:val="clear" w:color="auto" w:fill="auto"/>
            <w:vAlign w:val="center"/>
          </w:tcPr>
          <w:p w14:paraId="21B9C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水泥硬化2</w:t>
            </w:r>
          </w:p>
        </w:tc>
        <w:tc>
          <w:tcPr>
            <w:tcW w:w="1148" w:type="dxa"/>
            <w:tcBorders>
              <w:tl2br w:val="nil"/>
              <w:tr2bl w:val="nil"/>
            </w:tcBorders>
            <w:shd w:val="clear" w:color="auto" w:fill="auto"/>
            <w:vAlign w:val="center"/>
          </w:tcPr>
          <w:p w14:paraId="2EB310E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8,111.00</w:t>
            </w:r>
          </w:p>
        </w:tc>
        <w:tc>
          <w:tcPr>
            <w:tcW w:w="1087" w:type="dxa"/>
            <w:tcBorders>
              <w:tl2br w:val="nil"/>
              <w:tr2bl w:val="nil"/>
            </w:tcBorders>
            <w:shd w:val="clear" w:color="auto" w:fill="auto"/>
            <w:vAlign w:val="center"/>
          </w:tcPr>
          <w:p w14:paraId="4B77D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w:t>
            </w:r>
          </w:p>
        </w:tc>
        <w:tc>
          <w:tcPr>
            <w:tcW w:w="2592" w:type="dxa"/>
            <w:tcBorders>
              <w:tl2br w:val="nil"/>
              <w:tr2bl w:val="nil"/>
            </w:tcBorders>
            <w:shd w:val="clear" w:color="auto" w:fill="auto"/>
            <w:vAlign w:val="center"/>
          </w:tcPr>
          <w:p w14:paraId="05AD1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1FCEBA8E">
            <w:pPr>
              <w:jc w:val="left"/>
              <w:rPr>
                <w:rFonts w:hint="eastAsia" w:ascii="宋体" w:hAnsi="宋体" w:eastAsia="宋体" w:cs="宋体"/>
                <w:i w:val="0"/>
                <w:iCs w:val="0"/>
                <w:color w:val="000000"/>
                <w:sz w:val="20"/>
                <w:szCs w:val="20"/>
                <w:u w:val="none"/>
              </w:rPr>
            </w:pPr>
          </w:p>
        </w:tc>
      </w:tr>
      <w:tr w14:paraId="7E126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68F3D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299" w:type="dxa"/>
            <w:tcBorders>
              <w:tl2br w:val="nil"/>
              <w:tr2bl w:val="nil"/>
            </w:tcBorders>
            <w:shd w:val="clear" w:color="auto" w:fill="auto"/>
            <w:vAlign w:val="center"/>
          </w:tcPr>
          <w:p w14:paraId="2636C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水泥硬化3</w:t>
            </w:r>
          </w:p>
        </w:tc>
        <w:tc>
          <w:tcPr>
            <w:tcW w:w="1148" w:type="dxa"/>
            <w:tcBorders>
              <w:tl2br w:val="nil"/>
              <w:tr2bl w:val="nil"/>
            </w:tcBorders>
            <w:shd w:val="clear" w:color="auto" w:fill="auto"/>
            <w:vAlign w:val="center"/>
          </w:tcPr>
          <w:p w14:paraId="2122265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1,039.00</w:t>
            </w:r>
          </w:p>
        </w:tc>
        <w:tc>
          <w:tcPr>
            <w:tcW w:w="1087" w:type="dxa"/>
            <w:tcBorders>
              <w:tl2br w:val="nil"/>
              <w:tr2bl w:val="nil"/>
            </w:tcBorders>
            <w:shd w:val="clear" w:color="auto" w:fill="auto"/>
            <w:vAlign w:val="center"/>
          </w:tcPr>
          <w:p w14:paraId="56B00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w:t>
            </w:r>
          </w:p>
        </w:tc>
        <w:tc>
          <w:tcPr>
            <w:tcW w:w="2592" w:type="dxa"/>
            <w:tcBorders>
              <w:tl2br w:val="nil"/>
              <w:tr2bl w:val="nil"/>
            </w:tcBorders>
            <w:shd w:val="clear" w:color="auto" w:fill="auto"/>
            <w:vAlign w:val="center"/>
          </w:tcPr>
          <w:p w14:paraId="454E4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6B0C21A9">
            <w:pPr>
              <w:jc w:val="left"/>
              <w:rPr>
                <w:rFonts w:hint="eastAsia" w:ascii="宋体" w:hAnsi="宋体" w:eastAsia="宋体" w:cs="宋体"/>
                <w:i w:val="0"/>
                <w:iCs w:val="0"/>
                <w:color w:val="000000"/>
                <w:sz w:val="20"/>
                <w:szCs w:val="20"/>
                <w:u w:val="none"/>
              </w:rPr>
            </w:pPr>
          </w:p>
        </w:tc>
      </w:tr>
      <w:tr w14:paraId="5DD08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756" w:type="dxa"/>
            <w:tcBorders>
              <w:tl2br w:val="nil"/>
              <w:tr2bl w:val="nil"/>
            </w:tcBorders>
            <w:shd w:val="clear" w:color="auto" w:fill="auto"/>
            <w:vAlign w:val="center"/>
          </w:tcPr>
          <w:p w14:paraId="1A013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299" w:type="dxa"/>
            <w:tcBorders>
              <w:tl2br w:val="nil"/>
              <w:tr2bl w:val="nil"/>
            </w:tcBorders>
            <w:shd w:val="clear" w:color="auto" w:fill="auto"/>
            <w:vAlign w:val="center"/>
          </w:tcPr>
          <w:p w14:paraId="749DE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水泥硬化4</w:t>
            </w:r>
          </w:p>
        </w:tc>
        <w:tc>
          <w:tcPr>
            <w:tcW w:w="1148" w:type="dxa"/>
            <w:tcBorders>
              <w:tl2br w:val="nil"/>
              <w:tr2bl w:val="nil"/>
            </w:tcBorders>
            <w:shd w:val="clear" w:color="auto" w:fill="auto"/>
            <w:vAlign w:val="center"/>
          </w:tcPr>
          <w:p w14:paraId="5913E94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1,830.00</w:t>
            </w:r>
          </w:p>
        </w:tc>
        <w:tc>
          <w:tcPr>
            <w:tcW w:w="1087" w:type="dxa"/>
            <w:tcBorders>
              <w:tl2br w:val="nil"/>
              <w:tr2bl w:val="nil"/>
            </w:tcBorders>
            <w:shd w:val="clear" w:color="auto" w:fill="auto"/>
            <w:vAlign w:val="center"/>
          </w:tcPr>
          <w:p w14:paraId="41B98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w:t>
            </w:r>
          </w:p>
        </w:tc>
        <w:tc>
          <w:tcPr>
            <w:tcW w:w="2592" w:type="dxa"/>
            <w:tcBorders>
              <w:tl2br w:val="nil"/>
              <w:tr2bl w:val="nil"/>
            </w:tcBorders>
            <w:shd w:val="clear" w:color="auto" w:fill="auto"/>
            <w:vAlign w:val="center"/>
          </w:tcPr>
          <w:p w14:paraId="371C7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3D45681A">
            <w:pPr>
              <w:jc w:val="left"/>
              <w:rPr>
                <w:rFonts w:hint="eastAsia" w:ascii="宋体" w:hAnsi="宋体" w:eastAsia="宋体" w:cs="宋体"/>
                <w:i w:val="0"/>
                <w:iCs w:val="0"/>
                <w:color w:val="000000"/>
                <w:sz w:val="20"/>
                <w:szCs w:val="20"/>
                <w:u w:val="none"/>
              </w:rPr>
            </w:pPr>
          </w:p>
        </w:tc>
      </w:tr>
      <w:tr w14:paraId="156F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2055" w:type="dxa"/>
            <w:gridSpan w:val="2"/>
            <w:tcBorders>
              <w:tl2br w:val="nil"/>
              <w:tr2bl w:val="nil"/>
            </w:tcBorders>
            <w:shd w:val="clear" w:color="auto" w:fill="auto"/>
            <w:vAlign w:val="center"/>
          </w:tcPr>
          <w:p w14:paraId="0ECE3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小计4</w:t>
            </w:r>
          </w:p>
        </w:tc>
        <w:tc>
          <w:tcPr>
            <w:tcW w:w="1148" w:type="dxa"/>
            <w:tcBorders>
              <w:tl2br w:val="nil"/>
              <w:tr2bl w:val="nil"/>
            </w:tcBorders>
            <w:shd w:val="clear" w:color="auto" w:fill="auto"/>
            <w:vAlign w:val="center"/>
          </w:tcPr>
          <w:p w14:paraId="0B967D6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15,895.00</w:t>
            </w:r>
          </w:p>
        </w:tc>
        <w:tc>
          <w:tcPr>
            <w:tcW w:w="1087" w:type="dxa"/>
            <w:tcBorders>
              <w:tl2br w:val="nil"/>
              <w:tr2bl w:val="nil"/>
            </w:tcBorders>
            <w:shd w:val="clear" w:color="auto" w:fill="auto"/>
            <w:vAlign w:val="center"/>
          </w:tcPr>
          <w:p w14:paraId="35B2B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592" w:type="dxa"/>
            <w:tcBorders>
              <w:tl2br w:val="nil"/>
              <w:tr2bl w:val="nil"/>
            </w:tcBorders>
            <w:shd w:val="clear" w:color="auto" w:fill="auto"/>
            <w:vAlign w:val="center"/>
          </w:tcPr>
          <w:p w14:paraId="0CDB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9" w:type="dxa"/>
            <w:tcBorders>
              <w:tl2br w:val="nil"/>
              <w:tr2bl w:val="nil"/>
            </w:tcBorders>
            <w:shd w:val="clear" w:color="auto" w:fill="auto"/>
            <w:vAlign w:val="top"/>
          </w:tcPr>
          <w:p w14:paraId="6C4AC231">
            <w:pPr>
              <w:jc w:val="left"/>
              <w:rPr>
                <w:rFonts w:hint="eastAsia" w:ascii="宋体" w:hAnsi="宋体" w:eastAsia="宋体" w:cs="宋体"/>
                <w:i w:val="0"/>
                <w:iCs w:val="0"/>
                <w:color w:val="000000"/>
                <w:sz w:val="20"/>
                <w:szCs w:val="20"/>
                <w:u w:val="none"/>
              </w:rPr>
            </w:pPr>
          </w:p>
        </w:tc>
      </w:tr>
    </w:tbl>
    <w:p w14:paraId="5B6D80F0">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cs="宋体"/>
          <w:b/>
          <w:bCs/>
          <w:sz w:val="24"/>
          <w:szCs w:val="24"/>
          <w:lang w:val="en-US" w:eastAsia="zh-CN"/>
        </w:rPr>
      </w:pPr>
      <w:r>
        <w:rPr>
          <w:rFonts w:hint="eastAsia" w:cs="宋体"/>
          <w:b/>
          <w:bCs/>
          <w:kern w:val="0"/>
          <w:sz w:val="24"/>
          <w:szCs w:val="24"/>
          <w:lang w:val="en-US" w:eastAsia="zh-CN" w:bidi="ar-SA"/>
        </w:rPr>
        <w:t>2.</w:t>
      </w:r>
      <w:r>
        <w:rPr>
          <w:rFonts w:hint="eastAsia" w:cs="宋体"/>
          <w:b/>
          <w:bCs/>
          <w:sz w:val="24"/>
          <w:szCs w:val="24"/>
          <w:lang w:val="en-US" w:eastAsia="zh-CN"/>
        </w:rPr>
        <w:t>土地使用权</w:t>
      </w:r>
    </w:p>
    <w:tbl>
      <w:tblPr>
        <w:tblStyle w:val="11"/>
        <w:tblW w:w="8792" w:type="dxa"/>
        <w:tblInd w:w="-17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2"/>
        <w:gridCol w:w="2567"/>
        <w:gridCol w:w="1158"/>
        <w:gridCol w:w="1033"/>
        <w:gridCol w:w="842"/>
        <w:gridCol w:w="1317"/>
        <w:gridCol w:w="1333"/>
      </w:tblGrid>
      <w:tr w14:paraId="73A95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138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EA5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权证编号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7183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面积</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650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用途</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0F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使用权类型</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37F4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终止时间</w:t>
            </w: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1DEFC">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备注</w:t>
            </w:r>
          </w:p>
        </w:tc>
      </w:tr>
      <w:tr w14:paraId="719A8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8B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6E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瓯国用（2015）第03012号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973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19,881.56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E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31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出让</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35A6B">
            <w:pPr>
              <w:keepNext w:val="0"/>
              <w:keepLines w:val="0"/>
              <w:widowControl/>
              <w:suppressLineNumbers w:val="0"/>
              <w:jc w:val="right"/>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2064-11-22</w:t>
            </w:r>
          </w:p>
        </w:tc>
        <w:tc>
          <w:tcPr>
            <w:tcW w:w="1333" w:type="dxa"/>
            <w:vMerge w:val="restart"/>
            <w:tcBorders>
              <w:top w:val="single" w:color="000000" w:sz="4" w:space="0"/>
              <w:left w:val="single" w:color="000000" w:sz="4" w:space="0"/>
              <w:right w:val="single" w:color="000000" w:sz="4" w:space="0"/>
            </w:tcBorders>
            <w:shd w:val="clear" w:color="auto" w:fill="auto"/>
            <w:noWrap/>
            <w:vAlign w:val="center"/>
          </w:tcPr>
          <w:p w14:paraId="4854D137">
            <w:pPr>
              <w:keepNext w:val="0"/>
              <w:keepLines w:val="0"/>
              <w:widowControl/>
              <w:suppressLineNumbers w:val="0"/>
              <w:jc w:val="both"/>
              <w:textAlignment w:val="center"/>
              <w:rPr>
                <w:rFonts w:hint="eastAsia" w:ascii="仿宋" w:hAnsi="仿宋" w:eastAsia="仿宋" w:cs="仿宋"/>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已设立</w:t>
            </w:r>
            <w:r>
              <w:rPr>
                <w:rStyle w:val="24"/>
                <w:lang w:val="en-US" w:eastAsia="zh-CN" w:bidi="ar"/>
              </w:rPr>
              <w:t>抵押，</w:t>
            </w:r>
            <w:r>
              <w:rPr>
                <w:rStyle w:val="24"/>
                <w:rFonts w:hint="eastAsia"/>
                <w:lang w:val="en-US" w:eastAsia="zh-CN" w:bidi="ar"/>
              </w:rPr>
              <w:t>已被法院查封。</w:t>
            </w:r>
          </w:p>
        </w:tc>
      </w:tr>
      <w:tr w14:paraId="61C9E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B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2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瓯国用（2015）第03013号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92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24,448.20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5A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3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出让</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8DFD8">
            <w:pPr>
              <w:keepNext w:val="0"/>
              <w:keepLines w:val="0"/>
              <w:widowControl/>
              <w:suppressLineNumbers w:val="0"/>
              <w:jc w:val="righ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2064-11-22</w:t>
            </w:r>
          </w:p>
        </w:tc>
        <w:tc>
          <w:tcPr>
            <w:tcW w:w="1333" w:type="dxa"/>
            <w:vMerge w:val="continue"/>
            <w:tcBorders>
              <w:left w:val="single" w:color="000000" w:sz="4" w:space="0"/>
              <w:right w:val="single" w:color="000000" w:sz="4" w:space="0"/>
            </w:tcBorders>
            <w:shd w:val="clear" w:color="auto" w:fill="auto"/>
            <w:noWrap/>
            <w:vAlign w:val="center"/>
          </w:tcPr>
          <w:p w14:paraId="6CE0E33A">
            <w:pPr>
              <w:keepNext w:val="0"/>
              <w:keepLines w:val="0"/>
              <w:widowControl/>
              <w:suppressLineNumbers w:val="0"/>
              <w:jc w:val="right"/>
              <w:textAlignment w:val="center"/>
              <w:rPr>
                <w:rFonts w:hint="eastAsia" w:ascii="仿宋" w:hAnsi="仿宋" w:eastAsia="仿宋" w:cs="仿宋"/>
                <w:i w:val="0"/>
                <w:iCs w:val="0"/>
                <w:color w:val="000000"/>
                <w:kern w:val="0"/>
                <w:sz w:val="20"/>
                <w:szCs w:val="20"/>
                <w:u w:val="none"/>
                <w:lang w:val="en-US" w:eastAsia="zh-CN" w:bidi="ar"/>
              </w:rPr>
            </w:pPr>
          </w:p>
        </w:tc>
      </w:tr>
      <w:tr w14:paraId="6BA71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E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3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瓯国用（2015）第03014号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74B7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4,586.67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50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8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出让</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4B0C0">
            <w:pPr>
              <w:keepNext w:val="0"/>
              <w:keepLines w:val="0"/>
              <w:widowControl/>
              <w:suppressLineNumbers w:val="0"/>
              <w:jc w:val="righ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2064-11-22</w:t>
            </w:r>
          </w:p>
        </w:tc>
        <w:tc>
          <w:tcPr>
            <w:tcW w:w="1333" w:type="dxa"/>
            <w:vMerge w:val="continue"/>
            <w:tcBorders>
              <w:left w:val="single" w:color="000000" w:sz="4" w:space="0"/>
              <w:right w:val="single" w:color="000000" w:sz="4" w:space="0"/>
            </w:tcBorders>
            <w:shd w:val="clear" w:color="auto" w:fill="auto"/>
            <w:noWrap/>
            <w:vAlign w:val="center"/>
          </w:tcPr>
          <w:p w14:paraId="7EAC0B9E">
            <w:pPr>
              <w:keepNext w:val="0"/>
              <w:keepLines w:val="0"/>
              <w:widowControl/>
              <w:suppressLineNumbers w:val="0"/>
              <w:jc w:val="right"/>
              <w:textAlignment w:val="center"/>
              <w:rPr>
                <w:rFonts w:hint="eastAsia" w:ascii="仿宋" w:hAnsi="仿宋" w:eastAsia="仿宋" w:cs="仿宋"/>
                <w:i w:val="0"/>
                <w:iCs w:val="0"/>
                <w:color w:val="000000"/>
                <w:kern w:val="0"/>
                <w:sz w:val="20"/>
                <w:szCs w:val="20"/>
                <w:u w:val="none"/>
                <w:lang w:val="en-US" w:eastAsia="zh-CN" w:bidi="ar"/>
              </w:rPr>
            </w:pPr>
          </w:p>
        </w:tc>
      </w:tr>
      <w:tr w14:paraId="45D85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F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DE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瓯国用（2015）第03015号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AD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6,786.37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9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FF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出让</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4764">
            <w:pPr>
              <w:keepNext w:val="0"/>
              <w:keepLines w:val="0"/>
              <w:widowControl/>
              <w:suppressLineNumbers w:val="0"/>
              <w:jc w:val="righ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2064-11-22</w:t>
            </w:r>
          </w:p>
        </w:tc>
        <w:tc>
          <w:tcPr>
            <w:tcW w:w="1333" w:type="dxa"/>
            <w:vMerge w:val="continue"/>
            <w:tcBorders>
              <w:left w:val="single" w:color="000000" w:sz="4" w:space="0"/>
              <w:right w:val="single" w:color="000000" w:sz="4" w:space="0"/>
            </w:tcBorders>
            <w:shd w:val="clear" w:color="auto" w:fill="auto"/>
            <w:noWrap/>
            <w:vAlign w:val="center"/>
          </w:tcPr>
          <w:p w14:paraId="7A51F3A6">
            <w:pPr>
              <w:keepNext w:val="0"/>
              <w:keepLines w:val="0"/>
              <w:widowControl/>
              <w:suppressLineNumbers w:val="0"/>
              <w:jc w:val="right"/>
              <w:textAlignment w:val="center"/>
              <w:rPr>
                <w:rFonts w:hint="eastAsia" w:ascii="仿宋" w:hAnsi="仿宋" w:eastAsia="仿宋" w:cs="仿宋"/>
                <w:i w:val="0"/>
                <w:iCs w:val="0"/>
                <w:color w:val="000000"/>
                <w:kern w:val="0"/>
                <w:sz w:val="20"/>
                <w:szCs w:val="20"/>
                <w:u w:val="none"/>
                <w:lang w:val="en-US" w:eastAsia="zh-CN" w:bidi="ar"/>
              </w:rPr>
            </w:pPr>
          </w:p>
        </w:tc>
      </w:tr>
      <w:tr w14:paraId="64343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2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F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瓯国用（2015）第03016号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2CA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25,102.39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38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工业用地</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CC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出让</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B785">
            <w:pPr>
              <w:keepNext w:val="0"/>
              <w:keepLines w:val="0"/>
              <w:widowControl/>
              <w:suppressLineNumbers w:val="0"/>
              <w:jc w:val="righ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2064-11-22</w:t>
            </w:r>
          </w:p>
        </w:tc>
        <w:tc>
          <w:tcPr>
            <w:tcW w:w="1333" w:type="dxa"/>
            <w:vMerge w:val="continue"/>
            <w:tcBorders>
              <w:left w:val="single" w:color="000000" w:sz="4" w:space="0"/>
              <w:bottom w:val="single" w:color="000000" w:sz="4" w:space="0"/>
              <w:right w:val="single" w:color="000000" w:sz="4" w:space="0"/>
            </w:tcBorders>
            <w:shd w:val="clear" w:color="auto" w:fill="auto"/>
            <w:noWrap/>
            <w:vAlign w:val="center"/>
          </w:tcPr>
          <w:p w14:paraId="153A2F54">
            <w:pPr>
              <w:keepNext w:val="0"/>
              <w:keepLines w:val="0"/>
              <w:widowControl/>
              <w:suppressLineNumbers w:val="0"/>
              <w:jc w:val="right"/>
              <w:textAlignment w:val="center"/>
              <w:rPr>
                <w:rFonts w:hint="eastAsia" w:ascii="仿宋" w:hAnsi="仿宋" w:eastAsia="仿宋" w:cs="仿宋"/>
                <w:i w:val="0"/>
                <w:iCs w:val="0"/>
                <w:color w:val="000000"/>
                <w:kern w:val="0"/>
                <w:sz w:val="20"/>
                <w:szCs w:val="20"/>
                <w:u w:val="none"/>
                <w:lang w:val="en-US" w:eastAsia="zh-CN" w:bidi="ar"/>
              </w:rPr>
            </w:pPr>
          </w:p>
        </w:tc>
      </w:tr>
      <w:tr w14:paraId="15696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31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0F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F9A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80,805.19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59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F5BB">
            <w:pPr>
              <w:jc w:val="center"/>
              <w:rPr>
                <w:rFonts w:hint="eastAsia" w:ascii="宋体" w:hAnsi="宋体" w:eastAsia="宋体" w:cs="宋体"/>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9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FA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322F43FC">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sz w:val="24"/>
          <w:szCs w:val="24"/>
          <w:highlight w:val="none"/>
          <w:lang w:val="en-US" w:eastAsia="zh-CN"/>
        </w:rPr>
      </w:pPr>
    </w:p>
    <w:p w14:paraId="4B66B901">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特别说明：</w:t>
      </w:r>
    </w:p>
    <w:p w14:paraId="6F130AAA">
      <w:pPr>
        <w:pStyle w:val="8"/>
        <w:numPr>
          <w:ilvl w:val="0"/>
          <w:numId w:val="1"/>
        </w:numPr>
        <w:shd w:val="clear" w:color="auto" w:fill="FFFFFF"/>
        <w:spacing w:before="0" w:beforeAutospacing="0" w:after="0" w:afterAutospacing="0" w:line="360" w:lineRule="auto"/>
        <w:ind w:firstLine="482" w:firstLineChars="200"/>
        <w:jc w:val="both"/>
        <w:rPr>
          <w:rFonts w:hint="eastAsia" w:cs="宋体"/>
          <w:b/>
          <w:bCs/>
          <w:color w:val="auto"/>
          <w:sz w:val="24"/>
          <w:szCs w:val="24"/>
          <w:highlight w:val="none"/>
          <w:lang w:val="en-US" w:eastAsia="zh-CN"/>
        </w:rPr>
      </w:pPr>
      <w:r>
        <w:rPr>
          <w:rFonts w:hint="eastAsia" w:cs="宋体"/>
          <w:b/>
          <w:bCs/>
          <w:color w:val="auto"/>
          <w:sz w:val="24"/>
          <w:szCs w:val="24"/>
          <w:highlight w:val="none"/>
          <w:lang w:val="en-US" w:eastAsia="zh-CN"/>
        </w:rPr>
        <w:t>上述建（构）筑物及土地的相应位置及面积详见附件：江苏金土地房地产评估测绘咨询有限公司出具的《测绘报告书》。</w:t>
      </w:r>
    </w:p>
    <w:p w14:paraId="33354B6F">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cs="宋体"/>
          <w:b/>
          <w:bCs/>
          <w:sz w:val="24"/>
          <w:szCs w:val="24"/>
          <w:highlight w:val="none"/>
          <w:lang w:val="en-US" w:eastAsia="zh-CN"/>
        </w:rPr>
        <w:t>上述拍卖标的不含地上建有的或建筑物附着的机械设备，包括但不限于供气系统、供电系统、废气与余热回收系统及消防烟杆感应喷淋系统等，竞买人在竞买成功后自行与权利人协商相关设备的处理工作。</w:t>
      </w:r>
    </w:p>
    <w:p w14:paraId="7F112EC6">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cs="宋体"/>
          <w:b/>
          <w:bCs/>
          <w:sz w:val="24"/>
          <w:szCs w:val="24"/>
          <w:highlight w:val="none"/>
          <w:lang w:val="en-US" w:eastAsia="zh-CN"/>
        </w:rPr>
        <w:t>2#厂房</w:t>
      </w:r>
      <w:r>
        <w:rPr>
          <w:rFonts w:hint="eastAsia" w:ascii="宋体" w:hAnsi="宋体" w:eastAsia="宋体" w:cs="宋体"/>
          <w:b/>
          <w:bCs/>
          <w:sz w:val="24"/>
          <w:szCs w:val="24"/>
          <w:highlight w:val="none"/>
          <w:lang w:val="en-US" w:eastAsia="zh-CN"/>
        </w:rPr>
        <w:t>为在建工程，</w:t>
      </w:r>
      <w:r>
        <w:rPr>
          <w:rFonts w:hint="eastAsia" w:cs="宋体"/>
          <w:b/>
          <w:bCs/>
          <w:sz w:val="24"/>
          <w:szCs w:val="24"/>
          <w:highlight w:val="none"/>
          <w:lang w:val="en-US" w:eastAsia="zh-CN"/>
        </w:rPr>
        <w:t>已封顶完工并投入使用，但未办理验收及产权登记手续。管理人未接管到《建设工程规划许可证》及《建筑工程施工许可证》原件，</w:t>
      </w:r>
      <w:r>
        <w:rPr>
          <w:rFonts w:hint="eastAsia" w:ascii="宋体" w:hAnsi="宋体" w:eastAsia="宋体" w:cs="宋体"/>
          <w:b/>
          <w:bCs/>
          <w:sz w:val="24"/>
          <w:szCs w:val="24"/>
          <w:highlight w:val="none"/>
          <w:lang w:val="en-US" w:eastAsia="zh-CN"/>
        </w:rPr>
        <w:t>后续竣工验收</w:t>
      </w:r>
      <w:r>
        <w:rPr>
          <w:rFonts w:hint="eastAsia" w:cs="宋体"/>
          <w:b/>
          <w:bCs/>
          <w:sz w:val="24"/>
          <w:szCs w:val="24"/>
          <w:highlight w:val="none"/>
          <w:lang w:val="en-US" w:eastAsia="zh-CN"/>
        </w:rPr>
        <w:t>及产权登记</w:t>
      </w:r>
      <w:r>
        <w:rPr>
          <w:rFonts w:hint="eastAsia" w:ascii="宋体" w:hAnsi="宋体" w:eastAsia="宋体" w:cs="宋体"/>
          <w:b/>
          <w:bCs/>
          <w:sz w:val="24"/>
          <w:szCs w:val="24"/>
          <w:highlight w:val="none"/>
          <w:lang w:val="en-US" w:eastAsia="zh-CN"/>
        </w:rPr>
        <w:t>等手续需</w:t>
      </w:r>
      <w:r>
        <w:rPr>
          <w:rFonts w:hint="eastAsia" w:cs="宋体"/>
          <w:b/>
          <w:bCs/>
          <w:sz w:val="24"/>
          <w:szCs w:val="24"/>
          <w:highlight w:val="none"/>
          <w:lang w:val="en-US" w:eastAsia="zh-CN"/>
        </w:rPr>
        <w:t>由</w:t>
      </w:r>
      <w:r>
        <w:rPr>
          <w:rFonts w:hint="eastAsia" w:ascii="宋体" w:hAnsi="宋体" w:eastAsia="宋体" w:cs="宋体"/>
          <w:b/>
          <w:bCs/>
          <w:sz w:val="24"/>
          <w:szCs w:val="24"/>
          <w:highlight w:val="none"/>
          <w:lang w:val="en-US" w:eastAsia="zh-CN"/>
        </w:rPr>
        <w:t>买受人自行办理。</w:t>
      </w:r>
    </w:p>
    <w:p w14:paraId="7C658A43">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ascii="宋体" w:hAnsi="宋体" w:eastAsia="宋体" w:cs="宋体"/>
          <w:b/>
          <w:bCs/>
          <w:color w:val="auto"/>
          <w:sz w:val="24"/>
          <w:szCs w:val="24"/>
          <w:highlight w:val="none"/>
          <w:lang w:eastAsia="zh-Hans"/>
        </w:rPr>
        <w:t>本次</w:t>
      </w:r>
      <w:r>
        <w:rPr>
          <w:rFonts w:hint="eastAsia" w:cs="宋体"/>
          <w:b/>
          <w:bCs/>
          <w:color w:val="auto"/>
          <w:sz w:val="24"/>
          <w:szCs w:val="24"/>
          <w:highlight w:val="none"/>
          <w:lang w:val="en-US" w:eastAsia="zh-CN"/>
        </w:rPr>
        <w:t>拍卖</w:t>
      </w:r>
      <w:r>
        <w:rPr>
          <w:rFonts w:hint="eastAsia" w:ascii="宋体" w:hAnsi="宋体" w:eastAsia="宋体" w:cs="宋体"/>
          <w:b/>
          <w:bCs/>
          <w:color w:val="auto"/>
          <w:sz w:val="24"/>
          <w:szCs w:val="24"/>
          <w:highlight w:val="none"/>
          <w:lang w:eastAsia="zh-Hans"/>
        </w:rPr>
        <w:t>为现状拍卖，</w:t>
      </w:r>
      <w:r>
        <w:rPr>
          <w:rFonts w:hint="eastAsia" w:ascii="宋体" w:hAnsi="宋体" w:eastAsia="宋体" w:cs="宋体"/>
          <w:b/>
          <w:bCs/>
          <w:sz w:val="24"/>
          <w:szCs w:val="24"/>
          <w:highlight w:val="none"/>
          <w:lang w:val="en-US" w:eastAsia="zh-CN"/>
        </w:rPr>
        <w:t>拍卖标的外观、结构、固定装修及内在质量以移交时的现状为准。土地、房产、在建工程的实际面积以办证、过户、权利转移登记时登记机关确定的为准。</w:t>
      </w:r>
      <w:r>
        <w:rPr>
          <w:rFonts w:hint="eastAsia" w:ascii="宋体" w:hAnsi="宋体" w:eastAsia="宋体" w:cs="宋体"/>
          <w:b/>
          <w:bCs/>
          <w:color w:val="auto"/>
          <w:sz w:val="24"/>
          <w:szCs w:val="24"/>
          <w:highlight w:val="none"/>
          <w:lang w:eastAsia="zh-Hans"/>
        </w:rPr>
        <w:t>拍卖标的物存在出租、占用、房屋结构改变、可能拖欠税费等情况，本次拍卖展示的照片仅作参考，具体以实物为准，请竞买人自行前往现场查看</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eastAsia="zh-Hans"/>
        </w:rPr>
        <w:t>竞买人应当充分了解拍卖标的物的现状、瑕疵、拖欠的税费等情况，如竞买人参与竞买，视为充分、完全了解标的物的情况，接受并自行承担由此带来的风险、损失和责任，管理人不承担瑕疵担保责任。</w:t>
      </w:r>
    </w:p>
    <w:p w14:paraId="7F510F6E">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ascii="宋体" w:hAnsi="宋体" w:eastAsia="宋体" w:cs="宋体"/>
          <w:b/>
          <w:bCs/>
          <w:color w:val="auto"/>
          <w:sz w:val="24"/>
          <w:szCs w:val="24"/>
          <w:highlight w:val="none"/>
          <w:lang w:eastAsia="zh-Hans"/>
        </w:rPr>
        <w:t>标的物现由多名承租人</w:t>
      </w:r>
      <w:r>
        <w:rPr>
          <w:rFonts w:hint="eastAsia" w:cs="宋体"/>
          <w:b/>
          <w:bCs/>
          <w:color w:val="auto"/>
          <w:sz w:val="24"/>
          <w:szCs w:val="24"/>
          <w:highlight w:val="none"/>
          <w:lang w:val="en-US" w:eastAsia="zh-CN"/>
        </w:rPr>
        <w:t>及占用人</w:t>
      </w:r>
      <w:r>
        <w:rPr>
          <w:rFonts w:hint="eastAsia" w:ascii="宋体" w:hAnsi="宋体" w:eastAsia="宋体" w:cs="宋体"/>
          <w:b/>
          <w:bCs/>
          <w:color w:val="auto"/>
          <w:sz w:val="24"/>
          <w:szCs w:val="24"/>
          <w:highlight w:val="none"/>
          <w:lang w:eastAsia="zh-Hans"/>
        </w:rPr>
        <w:t>占有使用，产品、设备较多，且有大量原材料及存货堆积在该厂房中</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rPr>
        <w:t>标的物以现状交付，管理人不负责清场</w:t>
      </w:r>
      <w:r>
        <w:rPr>
          <w:rFonts w:hint="eastAsia" w:cs="宋体"/>
          <w:b/>
          <w:bCs/>
          <w:color w:val="auto"/>
          <w:sz w:val="24"/>
          <w:szCs w:val="24"/>
          <w:highlight w:val="none"/>
          <w:lang w:val="en-US" w:eastAsia="zh-CN"/>
        </w:rPr>
        <w:t>工作</w:t>
      </w:r>
      <w:r>
        <w:rPr>
          <w:rFonts w:hint="eastAsia" w:ascii="宋体" w:hAnsi="宋体" w:eastAsia="宋体" w:cs="宋体"/>
          <w:b/>
          <w:bCs/>
          <w:color w:val="auto"/>
          <w:sz w:val="24"/>
          <w:szCs w:val="24"/>
          <w:highlight w:val="none"/>
        </w:rPr>
        <w:t>。</w:t>
      </w:r>
    </w:p>
    <w:p w14:paraId="1C0D2917">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ascii="宋体" w:hAnsi="宋体" w:eastAsia="宋体" w:cs="宋体"/>
          <w:b/>
          <w:bCs/>
          <w:sz w:val="24"/>
          <w:szCs w:val="24"/>
          <w:highlight w:val="none"/>
          <w:lang w:val="en-US" w:eastAsia="zh-CN"/>
        </w:rPr>
        <w:t>如有不动产结构与发证时不同的，由竞买人自行到相关职能部门了解能否办理过户、权利转移手续；后续修复、整改的相关费用也由买受人自行承担</w:t>
      </w:r>
      <w:r>
        <w:rPr>
          <w:rFonts w:hint="eastAsia" w:cs="宋体"/>
          <w:b/>
          <w:bCs/>
          <w:sz w:val="24"/>
          <w:szCs w:val="24"/>
          <w:highlight w:val="none"/>
          <w:lang w:val="en-US" w:eastAsia="zh-CN"/>
        </w:rPr>
        <w:t>。</w:t>
      </w:r>
    </w:p>
    <w:p w14:paraId="51EC023E">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cs="宋体"/>
          <w:b/>
          <w:bCs/>
          <w:color w:val="auto"/>
          <w:sz w:val="24"/>
          <w:szCs w:val="24"/>
          <w:highlight w:val="none"/>
          <w:lang w:val="en-US" w:eastAsia="zh-CN"/>
        </w:rPr>
        <w:t>如未取得建设手续的建（构）筑物未能补办相关手续并被认定为</w:t>
      </w:r>
      <w:r>
        <w:rPr>
          <w:rFonts w:hint="eastAsia" w:ascii="宋体" w:hAnsi="宋体" w:eastAsia="宋体" w:cs="宋体"/>
          <w:b/>
          <w:bCs/>
          <w:color w:val="auto"/>
          <w:sz w:val="24"/>
          <w:szCs w:val="24"/>
          <w:highlight w:val="none"/>
          <w:lang w:eastAsia="zh-Hans"/>
        </w:rPr>
        <w:t>违章</w:t>
      </w:r>
      <w:r>
        <w:rPr>
          <w:rFonts w:hint="eastAsia" w:cs="宋体"/>
          <w:b/>
          <w:bCs/>
          <w:color w:val="auto"/>
          <w:sz w:val="24"/>
          <w:szCs w:val="24"/>
          <w:highlight w:val="none"/>
          <w:lang w:eastAsia="zh-CN"/>
        </w:rPr>
        <w:t>、</w:t>
      </w:r>
      <w:r>
        <w:rPr>
          <w:rFonts w:hint="eastAsia" w:cs="宋体"/>
          <w:b/>
          <w:bCs/>
          <w:color w:val="auto"/>
          <w:sz w:val="24"/>
          <w:szCs w:val="24"/>
          <w:highlight w:val="none"/>
          <w:lang w:val="en-US" w:eastAsia="zh-CN"/>
        </w:rPr>
        <w:t>违法</w:t>
      </w:r>
      <w:r>
        <w:rPr>
          <w:rFonts w:hint="eastAsia" w:ascii="宋体" w:hAnsi="宋体" w:eastAsia="宋体" w:cs="宋体"/>
          <w:b/>
          <w:bCs/>
          <w:color w:val="auto"/>
          <w:sz w:val="24"/>
          <w:szCs w:val="24"/>
          <w:highlight w:val="none"/>
          <w:lang w:eastAsia="zh-Hans"/>
        </w:rPr>
        <w:t>搭建</w:t>
      </w:r>
      <w:r>
        <w:rPr>
          <w:rFonts w:hint="eastAsia" w:cs="宋体"/>
          <w:b/>
          <w:bCs/>
          <w:color w:val="auto"/>
          <w:sz w:val="24"/>
          <w:szCs w:val="24"/>
          <w:highlight w:val="none"/>
          <w:lang w:eastAsia="zh-CN"/>
        </w:rPr>
        <w:t>的</w:t>
      </w:r>
      <w:r>
        <w:rPr>
          <w:rFonts w:hint="eastAsia" w:ascii="宋体" w:hAnsi="宋体" w:eastAsia="宋体" w:cs="宋体"/>
          <w:b/>
          <w:bCs/>
          <w:color w:val="auto"/>
          <w:sz w:val="24"/>
          <w:szCs w:val="24"/>
          <w:highlight w:val="none"/>
          <w:lang w:eastAsia="zh-Hans"/>
        </w:rPr>
        <w:t>，</w:t>
      </w:r>
      <w:r>
        <w:rPr>
          <w:rFonts w:hint="eastAsia" w:cs="宋体"/>
          <w:b/>
          <w:bCs/>
          <w:color w:val="auto"/>
          <w:sz w:val="24"/>
          <w:szCs w:val="24"/>
          <w:highlight w:val="none"/>
          <w:lang w:val="en-US" w:eastAsia="zh-CN"/>
        </w:rPr>
        <w:t>被</w:t>
      </w:r>
      <w:r>
        <w:rPr>
          <w:rFonts w:hint="eastAsia" w:ascii="宋体" w:hAnsi="宋体" w:eastAsia="宋体" w:cs="宋体"/>
          <w:b/>
          <w:bCs/>
          <w:color w:val="auto"/>
          <w:sz w:val="24"/>
          <w:szCs w:val="24"/>
          <w:highlight w:val="none"/>
          <w:lang w:eastAsia="zh-Hans"/>
        </w:rPr>
        <w:t>行政机关处罚</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eastAsia="zh-Hans"/>
        </w:rPr>
        <w:t>拆除</w:t>
      </w:r>
      <w:r>
        <w:rPr>
          <w:rFonts w:hint="eastAsia" w:cs="宋体"/>
          <w:b/>
          <w:bCs/>
          <w:color w:val="auto"/>
          <w:sz w:val="24"/>
          <w:szCs w:val="24"/>
          <w:highlight w:val="none"/>
          <w:lang w:val="en-US" w:eastAsia="zh-CN"/>
        </w:rPr>
        <w:t>等相关风险</w:t>
      </w:r>
      <w:r>
        <w:rPr>
          <w:rFonts w:hint="eastAsia" w:ascii="宋体" w:hAnsi="宋体" w:eastAsia="宋体" w:cs="宋体"/>
          <w:b/>
          <w:bCs/>
          <w:color w:val="auto"/>
          <w:sz w:val="24"/>
          <w:szCs w:val="24"/>
          <w:highlight w:val="none"/>
          <w:lang w:eastAsia="zh-Hans"/>
        </w:rPr>
        <w:t>由买受人自行</w:t>
      </w:r>
      <w:r>
        <w:rPr>
          <w:rFonts w:hint="eastAsia" w:cs="宋体"/>
          <w:b/>
          <w:bCs/>
          <w:color w:val="auto"/>
          <w:sz w:val="24"/>
          <w:szCs w:val="24"/>
          <w:highlight w:val="none"/>
          <w:lang w:val="en-US" w:eastAsia="zh-CN"/>
        </w:rPr>
        <w:t>承担</w:t>
      </w:r>
      <w:r>
        <w:rPr>
          <w:rFonts w:hint="eastAsia" w:ascii="宋体" w:hAnsi="宋体" w:eastAsia="宋体" w:cs="宋体"/>
          <w:b/>
          <w:bCs/>
          <w:color w:val="auto"/>
          <w:sz w:val="24"/>
          <w:szCs w:val="24"/>
          <w:highlight w:val="none"/>
          <w:lang w:eastAsia="zh-Hans"/>
        </w:rPr>
        <w:t>。</w:t>
      </w:r>
    </w:p>
    <w:p w14:paraId="7749BDFA">
      <w:pPr>
        <w:pStyle w:val="8"/>
        <w:numPr>
          <w:ilvl w:val="0"/>
          <w:numId w:val="1"/>
        </w:numPr>
        <w:shd w:val="clear" w:color="auto" w:fill="FFFFFF"/>
        <w:spacing w:before="0" w:beforeAutospacing="0" w:after="0" w:afterAutospacing="0" w:line="360" w:lineRule="auto"/>
        <w:ind w:firstLine="482" w:firstLineChars="200"/>
        <w:jc w:val="both"/>
        <w:rPr>
          <w:rFonts w:hint="eastAsia" w:ascii="宋体" w:hAnsi="宋体" w:eastAsia="宋体" w:cs="宋体"/>
          <w:b/>
          <w:bCs/>
          <w:color w:val="auto"/>
          <w:sz w:val="24"/>
          <w:szCs w:val="24"/>
          <w:highlight w:val="none"/>
          <w:lang w:eastAsia="zh-Hans"/>
        </w:rPr>
      </w:pPr>
      <w:r>
        <w:rPr>
          <w:rFonts w:hint="eastAsia" w:ascii="宋体" w:hAnsi="宋体" w:eastAsia="宋体" w:cs="宋体"/>
          <w:b/>
          <w:bCs/>
          <w:szCs w:val="24"/>
          <w:highlight w:val="none"/>
        </w:rPr>
        <w:t>竞买人竞得</w:t>
      </w:r>
      <w:r>
        <w:rPr>
          <w:rFonts w:hint="eastAsia" w:cs="宋体"/>
          <w:b/>
          <w:bCs/>
          <w:szCs w:val="24"/>
          <w:highlight w:val="none"/>
          <w:lang w:val="en-US" w:eastAsia="zh-CN"/>
        </w:rPr>
        <w:t>本次拍卖标的后，其</w:t>
      </w:r>
      <w:r>
        <w:rPr>
          <w:rFonts w:hint="eastAsia" w:ascii="宋体" w:hAnsi="宋体" w:eastAsia="宋体" w:cs="宋体"/>
          <w:b/>
          <w:bCs/>
          <w:szCs w:val="24"/>
          <w:highlight w:val="none"/>
        </w:rPr>
        <w:t>使用</w:t>
      </w:r>
      <w:r>
        <w:rPr>
          <w:rFonts w:hint="eastAsia" w:cs="宋体"/>
          <w:b/>
          <w:bCs/>
          <w:szCs w:val="24"/>
          <w:highlight w:val="none"/>
          <w:lang w:eastAsia="zh-CN"/>
        </w:rPr>
        <w:t>（</w:t>
      </w:r>
      <w:r>
        <w:rPr>
          <w:rFonts w:hint="eastAsia" w:cs="宋体"/>
          <w:b/>
          <w:bCs/>
          <w:szCs w:val="24"/>
          <w:highlight w:val="none"/>
          <w:lang w:val="en-US" w:eastAsia="zh-CN"/>
        </w:rPr>
        <w:t>含使用的主体、用途）</w:t>
      </w:r>
      <w:r>
        <w:rPr>
          <w:rFonts w:hint="eastAsia" w:ascii="宋体" w:hAnsi="宋体" w:eastAsia="宋体" w:cs="宋体"/>
          <w:b/>
          <w:bCs/>
          <w:szCs w:val="24"/>
          <w:highlight w:val="none"/>
        </w:rPr>
        <w:t>必须符合国家产业政策和建瓯市</w:t>
      </w:r>
      <w:r>
        <w:rPr>
          <w:rFonts w:hint="eastAsia" w:cs="宋体"/>
          <w:b/>
          <w:bCs/>
          <w:szCs w:val="24"/>
          <w:highlight w:val="none"/>
          <w:lang w:val="en-US" w:eastAsia="zh-CN"/>
        </w:rPr>
        <w:t>有关政府部门对该</w:t>
      </w:r>
      <w:r>
        <w:rPr>
          <w:rFonts w:hint="eastAsia" w:ascii="宋体" w:hAnsi="宋体" w:eastAsia="宋体" w:cs="宋体"/>
          <w:b/>
          <w:bCs/>
          <w:szCs w:val="24"/>
          <w:highlight w:val="none"/>
        </w:rPr>
        <w:t>工业园区</w:t>
      </w:r>
      <w:r>
        <w:rPr>
          <w:rFonts w:hint="eastAsia" w:cs="宋体"/>
          <w:b/>
          <w:bCs/>
          <w:szCs w:val="24"/>
          <w:highlight w:val="none"/>
          <w:lang w:val="en-US" w:eastAsia="zh-CN"/>
        </w:rPr>
        <w:t>土地厂房利用主体、</w:t>
      </w:r>
      <w:r>
        <w:rPr>
          <w:rFonts w:hint="eastAsia" w:ascii="宋体" w:hAnsi="宋体" w:eastAsia="宋体" w:cs="宋体"/>
          <w:b/>
          <w:bCs/>
          <w:szCs w:val="24"/>
          <w:highlight w:val="none"/>
        </w:rPr>
        <w:t>产业布局</w:t>
      </w:r>
      <w:r>
        <w:rPr>
          <w:rFonts w:hint="eastAsia" w:cs="宋体"/>
          <w:b/>
          <w:bCs/>
          <w:szCs w:val="24"/>
          <w:highlight w:val="none"/>
          <w:lang w:eastAsia="zh-CN"/>
        </w:rPr>
        <w:t>，</w:t>
      </w:r>
      <w:r>
        <w:rPr>
          <w:rFonts w:hint="eastAsia" w:ascii="宋体" w:hAnsi="宋体" w:eastAsia="宋体" w:cs="宋体"/>
          <w:b/>
          <w:bCs/>
          <w:szCs w:val="24"/>
          <w:highlight w:val="none"/>
        </w:rPr>
        <w:t>满足园区控制性详细规划和环境影响评价报告要求</w:t>
      </w:r>
      <w:r>
        <w:rPr>
          <w:rFonts w:hint="eastAsia" w:cs="宋体"/>
          <w:b/>
          <w:bCs/>
          <w:szCs w:val="24"/>
          <w:highlight w:val="none"/>
          <w:lang w:eastAsia="zh-CN"/>
        </w:rPr>
        <w:t>（</w:t>
      </w:r>
      <w:r>
        <w:rPr>
          <w:rFonts w:hint="eastAsia" w:cs="宋体"/>
          <w:b/>
          <w:bCs/>
          <w:szCs w:val="24"/>
          <w:highlight w:val="none"/>
          <w:lang w:val="en-US" w:eastAsia="zh-CN"/>
        </w:rPr>
        <w:t>具体政策要求可自行向当地有关部门咨询）。</w:t>
      </w:r>
    </w:p>
    <w:p w14:paraId="6D949C1F">
      <w:pPr>
        <w:pStyle w:val="8"/>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Hans"/>
        </w:rPr>
        <w:t>因该地块土地性质为工业用地，买受人的经营范围及成交后对该</w:t>
      </w:r>
      <w:r>
        <w:rPr>
          <w:rFonts w:hint="eastAsia" w:cs="宋体"/>
          <w:b/>
          <w:bCs/>
          <w:color w:val="auto"/>
          <w:sz w:val="24"/>
          <w:szCs w:val="24"/>
          <w:highlight w:val="none"/>
          <w:lang w:val="en-US" w:eastAsia="zh-CN"/>
        </w:rPr>
        <w:t>土地</w:t>
      </w:r>
      <w:r>
        <w:rPr>
          <w:rFonts w:hint="eastAsia" w:ascii="宋体" w:hAnsi="宋体" w:eastAsia="宋体" w:cs="宋体"/>
          <w:b/>
          <w:bCs/>
          <w:color w:val="auto"/>
          <w:sz w:val="24"/>
          <w:szCs w:val="24"/>
          <w:highlight w:val="none"/>
          <w:lang w:eastAsia="zh-Hans"/>
        </w:rPr>
        <w:t>、厂房的使用须符合建瓯市人民政府对该地块的规划。</w:t>
      </w:r>
    </w:p>
    <w:p w14:paraId="01A3B670">
      <w:pPr>
        <w:pStyle w:val="8"/>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color w:val="auto"/>
          <w:sz w:val="24"/>
          <w:szCs w:val="24"/>
          <w:highlight w:val="yellow"/>
          <w:lang w:val="en-US" w:eastAsia="zh-CN"/>
        </w:rPr>
      </w:pPr>
      <w:r>
        <w:rPr>
          <w:rFonts w:hint="eastAsia" w:ascii="宋体" w:hAnsi="宋体" w:eastAsia="宋体" w:cs="宋体"/>
          <w:b/>
          <w:bCs/>
          <w:color w:val="auto"/>
          <w:sz w:val="24"/>
          <w:szCs w:val="24"/>
          <w:highlight w:val="none"/>
        </w:rPr>
        <w:t>竞买人参与竞买须符合法律、法规、政策的要求，竞买人应当充分了解相关要求，如因竞买人自身原因导致无法购买或者无法办理过户的，一切责任由竞买人自行承担。</w:t>
      </w:r>
    </w:p>
    <w:p w14:paraId="019AE9BE">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宋体" w:hAnsi="宋体" w:eastAsia="宋体" w:cs="宋体"/>
          <w:b/>
          <w:bCs/>
          <w:sz w:val="24"/>
          <w:szCs w:val="24"/>
          <w:highlight w:val="none"/>
          <w:lang w:val="en-US" w:eastAsia="zh-CN"/>
        </w:rPr>
      </w:pPr>
      <w:r>
        <w:rPr>
          <w:rFonts w:hint="eastAsia" w:cs="宋体"/>
          <w:b/>
          <w:bCs/>
          <w:sz w:val="24"/>
          <w:szCs w:val="24"/>
          <w:highlight w:val="none"/>
          <w:lang w:eastAsia="zh-CN"/>
        </w:rPr>
        <w:t>（</w:t>
      </w:r>
      <w:r>
        <w:rPr>
          <w:rFonts w:hint="eastAsia" w:cs="宋体"/>
          <w:b/>
          <w:bCs/>
          <w:sz w:val="24"/>
          <w:szCs w:val="24"/>
          <w:highlight w:val="none"/>
          <w:lang w:val="en-US" w:eastAsia="zh-CN"/>
        </w:rPr>
        <w:t>二</w:t>
      </w:r>
      <w:r>
        <w:rPr>
          <w:rFonts w:hint="eastAsia" w:cs="宋体"/>
          <w:b/>
          <w:bCs/>
          <w:sz w:val="24"/>
          <w:szCs w:val="24"/>
          <w:highlight w:val="none"/>
          <w:lang w:eastAsia="zh-CN"/>
        </w:rPr>
        <w:t>）</w:t>
      </w:r>
      <w:r>
        <w:rPr>
          <w:rFonts w:hint="eastAsia" w:ascii="宋体" w:hAnsi="宋体" w:eastAsia="宋体" w:cs="宋体"/>
          <w:b/>
          <w:bCs/>
          <w:sz w:val="24"/>
          <w:szCs w:val="24"/>
          <w:highlight w:val="none"/>
          <w:lang w:eastAsia="zh-Hans"/>
        </w:rPr>
        <w:t>起拍价、保证金及增价幅度：</w:t>
      </w:r>
      <w:r>
        <w:rPr>
          <w:rFonts w:hint="eastAsia" w:ascii="宋体" w:hAnsi="宋体" w:eastAsia="宋体" w:cs="宋体"/>
          <w:sz w:val="24"/>
          <w:szCs w:val="24"/>
          <w:highlight w:val="none"/>
        </w:rPr>
        <w:t>起拍价为人民币32561468元，保证金为人民币</w:t>
      </w:r>
      <w:r>
        <w:rPr>
          <w:rFonts w:hint="eastAsia" w:cs="宋体"/>
          <w:sz w:val="24"/>
          <w:szCs w:val="24"/>
          <w:highlight w:val="none"/>
          <w:lang w:val="en-US" w:eastAsia="zh-CN"/>
        </w:rPr>
        <w:t>330</w:t>
      </w:r>
      <w:r>
        <w:rPr>
          <w:rFonts w:hint="eastAsia" w:ascii="宋体" w:hAnsi="宋体" w:eastAsia="宋体" w:cs="宋体"/>
          <w:sz w:val="24"/>
          <w:szCs w:val="24"/>
          <w:highlight w:val="none"/>
        </w:rPr>
        <w:t>万元，</w:t>
      </w:r>
      <w:r>
        <w:rPr>
          <w:rFonts w:hint="eastAsia" w:ascii="宋体" w:hAnsi="宋体" w:eastAsia="宋体" w:cs="宋体"/>
          <w:sz w:val="24"/>
          <w:szCs w:val="24"/>
          <w:highlight w:val="none"/>
          <w:lang w:val="en-US" w:eastAsia="zh-Hans"/>
        </w:rPr>
        <w:t>每次</w:t>
      </w:r>
      <w:r>
        <w:rPr>
          <w:rFonts w:hint="eastAsia" w:ascii="宋体" w:hAnsi="宋体" w:eastAsia="宋体" w:cs="宋体"/>
          <w:sz w:val="24"/>
          <w:szCs w:val="24"/>
          <w:highlight w:val="none"/>
        </w:rPr>
        <w:t>竞价增价幅度为人民币</w:t>
      </w:r>
      <w:r>
        <w:rPr>
          <w:rFonts w:hint="eastAsia" w:cs="宋体"/>
          <w:sz w:val="24"/>
          <w:szCs w:val="24"/>
          <w:highlight w:val="none"/>
          <w:lang w:val="en-US" w:eastAsia="zh-CN"/>
        </w:rPr>
        <w:t>1万</w:t>
      </w:r>
      <w:r>
        <w:rPr>
          <w:rFonts w:hint="eastAsia" w:ascii="宋体" w:hAnsi="宋体" w:eastAsia="宋体" w:cs="宋体"/>
          <w:sz w:val="24"/>
          <w:szCs w:val="24"/>
          <w:highlight w:val="none"/>
        </w:rPr>
        <w:t>元或其整数倍。</w:t>
      </w:r>
      <w:r>
        <w:rPr>
          <w:rFonts w:hint="eastAsia" w:cs="宋体"/>
          <w:sz w:val="24"/>
          <w:szCs w:val="24"/>
          <w:highlight w:val="none"/>
          <w:lang w:val="en-US" w:eastAsia="zh-CN"/>
        </w:rPr>
        <w:t>拍卖标的的评估报告详见附件：《资产估价报告》（编号为闽衡益评报字[2025]第3026号）</w:t>
      </w:r>
    </w:p>
    <w:p w14:paraId="50B2889A">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leftChars="200"/>
        <w:jc w:val="both"/>
        <w:textAlignment w:val="auto"/>
        <w:rPr>
          <w:rFonts w:hint="eastAsia" w:cs="宋体"/>
          <w:b/>
          <w:bCs/>
          <w:sz w:val="24"/>
          <w:szCs w:val="24"/>
          <w:highlight w:val="none"/>
          <w:lang w:val="en-US" w:eastAsia="zh-CN"/>
        </w:rPr>
      </w:pPr>
      <w:r>
        <w:rPr>
          <w:rFonts w:hint="eastAsia" w:cs="宋体"/>
          <w:b/>
          <w:bCs/>
          <w:sz w:val="24"/>
          <w:szCs w:val="24"/>
          <w:highlight w:val="none"/>
          <w:lang w:val="en-US" w:eastAsia="zh-CN"/>
        </w:rPr>
        <w:t>（三）租赁及占用情况：</w:t>
      </w:r>
    </w:p>
    <w:tbl>
      <w:tblPr>
        <w:tblStyle w:val="11"/>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938"/>
        <w:gridCol w:w="1366"/>
        <w:gridCol w:w="2183"/>
        <w:gridCol w:w="1782"/>
        <w:gridCol w:w="1669"/>
      </w:tblGrid>
      <w:tr w14:paraId="05FBF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640" w:type="dxa"/>
            <w:shd w:val="clear" w:color="auto" w:fill="D9D9D9"/>
            <w:vAlign w:val="center"/>
          </w:tcPr>
          <w:p w14:paraId="4E1ED0AD">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序号</w:t>
            </w:r>
          </w:p>
        </w:tc>
        <w:tc>
          <w:tcPr>
            <w:tcW w:w="1938" w:type="dxa"/>
            <w:shd w:val="clear" w:color="auto" w:fill="D9D9D9"/>
            <w:vAlign w:val="center"/>
          </w:tcPr>
          <w:p w14:paraId="0E3FD0CD">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eastAsia" w:ascii="宋体" w:hAnsi="宋体" w:eastAsia="宋体" w:cs="宋体"/>
                <w:b/>
                <w:bCs/>
                <w:kern w:val="2"/>
                <w:sz w:val="21"/>
                <w:szCs w:val="21"/>
                <w:highlight w:val="none"/>
                <w:lang w:val="en-US" w:eastAsia="zh-CN"/>
              </w:rPr>
            </w:pPr>
            <w:r>
              <w:rPr>
                <w:rFonts w:hint="eastAsia" w:ascii="宋体" w:hAnsi="宋体" w:eastAsia="宋体" w:cs="宋体"/>
                <w:b/>
                <w:bCs/>
                <w:kern w:val="2"/>
                <w:sz w:val="21"/>
                <w:szCs w:val="21"/>
                <w:highlight w:val="none"/>
                <w:lang w:val="en-US" w:eastAsia="zh-CN"/>
              </w:rPr>
              <w:t>承租人</w:t>
            </w:r>
          </w:p>
        </w:tc>
        <w:tc>
          <w:tcPr>
            <w:tcW w:w="1366" w:type="dxa"/>
            <w:shd w:val="clear" w:color="auto" w:fill="D9D9D9"/>
            <w:vAlign w:val="center"/>
          </w:tcPr>
          <w:p w14:paraId="3FDFB6C0">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eastAsia" w:ascii="宋体" w:hAnsi="宋体" w:eastAsia="宋体" w:cs="宋体"/>
                <w:b/>
                <w:bCs/>
                <w:kern w:val="2"/>
                <w:sz w:val="21"/>
                <w:szCs w:val="21"/>
                <w:highlight w:val="none"/>
                <w:lang w:val="en-US" w:eastAsia="zh-CN"/>
              </w:rPr>
            </w:pPr>
            <w:r>
              <w:rPr>
                <w:rFonts w:hint="eastAsia" w:ascii="宋体" w:hAnsi="宋体" w:eastAsia="宋体" w:cs="宋体"/>
                <w:b/>
                <w:bCs/>
                <w:kern w:val="2"/>
                <w:sz w:val="21"/>
                <w:szCs w:val="21"/>
                <w:highlight w:val="none"/>
                <w:lang w:val="en-US" w:eastAsia="zh-CN"/>
              </w:rPr>
              <w:t>租金</w:t>
            </w:r>
          </w:p>
          <w:p w14:paraId="50861584">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eastAsia" w:ascii="宋体" w:hAnsi="宋体" w:eastAsia="宋体" w:cs="宋体"/>
                <w:b/>
                <w:bCs/>
                <w:kern w:val="2"/>
                <w:sz w:val="21"/>
                <w:szCs w:val="21"/>
                <w:highlight w:val="none"/>
                <w:lang w:eastAsia="zh-CN"/>
              </w:rPr>
            </w:pPr>
            <w:r>
              <w:rPr>
                <w:rFonts w:hint="eastAsia" w:ascii="宋体" w:hAnsi="宋体" w:eastAsia="宋体" w:cs="宋体"/>
                <w:b/>
                <w:bCs/>
                <w:kern w:val="2"/>
                <w:sz w:val="21"/>
                <w:szCs w:val="21"/>
                <w:highlight w:val="none"/>
                <w:lang w:val="en-US" w:eastAsia="zh-CN"/>
              </w:rPr>
              <w:t>（元/年）</w:t>
            </w:r>
          </w:p>
        </w:tc>
        <w:tc>
          <w:tcPr>
            <w:tcW w:w="2183" w:type="dxa"/>
            <w:shd w:val="clear" w:color="auto" w:fill="D9D9D9"/>
            <w:vAlign w:val="center"/>
          </w:tcPr>
          <w:p w14:paraId="23D8936E">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eastAsia" w:ascii="宋体" w:hAnsi="宋体" w:eastAsia="宋体" w:cs="宋体"/>
                <w:b/>
                <w:bCs/>
                <w:kern w:val="2"/>
                <w:sz w:val="21"/>
                <w:szCs w:val="21"/>
                <w:highlight w:val="none"/>
                <w:lang w:val="en-US" w:eastAsia="zh-CN"/>
              </w:rPr>
            </w:pPr>
            <w:r>
              <w:rPr>
                <w:rFonts w:hint="eastAsia" w:ascii="宋体" w:hAnsi="宋体" w:eastAsia="宋体" w:cs="宋体"/>
                <w:b/>
                <w:bCs/>
                <w:kern w:val="2"/>
                <w:sz w:val="21"/>
                <w:szCs w:val="21"/>
                <w:highlight w:val="none"/>
                <w:lang w:val="en-US" w:eastAsia="zh-CN"/>
              </w:rPr>
              <w:t>租期</w:t>
            </w:r>
          </w:p>
        </w:tc>
        <w:tc>
          <w:tcPr>
            <w:tcW w:w="1782" w:type="dxa"/>
            <w:shd w:val="clear" w:color="auto" w:fill="D9D9D9"/>
            <w:vAlign w:val="center"/>
          </w:tcPr>
          <w:p w14:paraId="734BDC63">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default" w:ascii="宋体" w:hAnsi="宋体" w:eastAsia="宋体" w:cs="宋体"/>
                <w:b/>
                <w:bCs/>
                <w:kern w:val="2"/>
                <w:sz w:val="21"/>
                <w:szCs w:val="21"/>
                <w:highlight w:val="none"/>
                <w:lang w:val="en-US" w:eastAsia="zh-CN"/>
              </w:rPr>
            </w:pPr>
            <w:r>
              <w:rPr>
                <w:rFonts w:hint="eastAsia" w:ascii="宋体" w:hAnsi="宋体" w:eastAsia="宋体" w:cs="宋体"/>
                <w:b/>
                <w:bCs/>
                <w:kern w:val="2"/>
                <w:sz w:val="21"/>
                <w:szCs w:val="21"/>
                <w:highlight w:val="none"/>
                <w:lang w:val="en-US" w:eastAsia="zh-CN"/>
              </w:rPr>
              <w:t>合同约定租赁物及范围</w:t>
            </w:r>
          </w:p>
        </w:tc>
        <w:tc>
          <w:tcPr>
            <w:tcW w:w="1669" w:type="dxa"/>
            <w:shd w:val="clear" w:color="auto" w:fill="D9D9D9"/>
            <w:vAlign w:val="center"/>
          </w:tcPr>
          <w:p w14:paraId="405D2B2A">
            <w:pPr>
              <w:widowControl/>
              <w:pBdr>
                <w:top w:val="none" w:color="auto" w:sz="0" w:space="0"/>
                <w:left w:val="none" w:color="auto" w:sz="0" w:space="0"/>
                <w:bottom w:val="none" w:color="auto" w:sz="0" w:space="0"/>
                <w:right w:val="none" w:color="auto" w:sz="0" w:space="0"/>
                <w:between w:val="none" w:color="auto" w:sz="0" w:space="0"/>
              </w:pBdr>
              <w:shd w:val="clear" w:fill="D9D9D9"/>
              <w:spacing w:before="0" w:beforeLines="0" w:after="0" w:afterLines="0"/>
              <w:jc w:val="center"/>
              <w:textAlignment w:val="center"/>
              <w:rPr>
                <w:rFonts w:hint="default" w:ascii="宋体" w:hAnsi="宋体" w:eastAsia="宋体" w:cs="宋体"/>
                <w:b/>
                <w:bCs/>
                <w:kern w:val="2"/>
                <w:sz w:val="21"/>
                <w:szCs w:val="21"/>
                <w:highlight w:val="none"/>
                <w:lang w:val="en-US" w:eastAsia="zh-CN"/>
              </w:rPr>
            </w:pPr>
            <w:r>
              <w:rPr>
                <w:rFonts w:hint="eastAsia" w:ascii="宋体" w:hAnsi="宋体" w:eastAsia="宋体" w:cs="宋体"/>
                <w:b/>
                <w:bCs/>
                <w:kern w:val="2"/>
                <w:sz w:val="21"/>
                <w:szCs w:val="21"/>
                <w:highlight w:val="none"/>
                <w:lang w:val="en-US" w:eastAsia="zh-CN"/>
              </w:rPr>
              <w:t>租金支付情况</w:t>
            </w:r>
          </w:p>
        </w:tc>
      </w:tr>
      <w:tr w14:paraId="3B074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40" w:type="dxa"/>
            <w:shd w:val="clear" w:color="auto" w:fill="FFFFFF"/>
            <w:vAlign w:val="center"/>
          </w:tcPr>
          <w:p w14:paraId="63C67CFA">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val="en-US" w:eastAsia="zh-CN"/>
              </w:rPr>
              <w:t>1</w:t>
            </w:r>
          </w:p>
        </w:tc>
        <w:tc>
          <w:tcPr>
            <w:tcW w:w="1938" w:type="dxa"/>
            <w:shd w:val="clear" w:color="auto" w:fill="FFFFFF"/>
            <w:vAlign w:val="center"/>
          </w:tcPr>
          <w:p w14:paraId="5033148F">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ascii="宋体" w:hAnsi="宋体" w:eastAsia="宋体" w:cs="宋体"/>
                <w:kern w:val="2"/>
                <w:sz w:val="21"/>
                <w:szCs w:val="21"/>
                <w:highlight w:val="none"/>
              </w:rPr>
            </w:pPr>
            <w:r>
              <w:rPr>
                <w:rFonts w:hint="eastAsia" w:ascii="宋体" w:hAnsi="宋体" w:eastAsia="宋体" w:cs="宋体"/>
                <w:sz w:val="21"/>
                <w:szCs w:val="21"/>
                <w:highlight w:val="none"/>
              </w:rPr>
              <w:t>福建省建瓯市鑫达建材科技有限公司</w:t>
            </w:r>
          </w:p>
        </w:tc>
        <w:tc>
          <w:tcPr>
            <w:tcW w:w="1366" w:type="dxa"/>
            <w:shd w:val="clear" w:color="auto" w:fill="FFFFFF"/>
            <w:vAlign w:val="center"/>
          </w:tcPr>
          <w:p w14:paraId="6127D7FE">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145,000.00</w:t>
            </w:r>
          </w:p>
        </w:tc>
        <w:tc>
          <w:tcPr>
            <w:tcW w:w="2183" w:type="dxa"/>
            <w:shd w:val="clear" w:color="auto" w:fill="FFFFFF"/>
            <w:vAlign w:val="center"/>
          </w:tcPr>
          <w:p w14:paraId="27897A64">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2020年2月1日-</w:t>
            </w:r>
          </w:p>
          <w:p w14:paraId="2A927FBF">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eastAsia="zh-CN"/>
              </w:rPr>
            </w:pPr>
            <w:r>
              <w:rPr>
                <w:rFonts w:hint="eastAsia" w:ascii="宋体" w:hAnsi="宋体" w:eastAsia="宋体" w:cs="宋体"/>
                <w:sz w:val="21"/>
                <w:szCs w:val="21"/>
                <w:highlight w:val="none"/>
                <w:lang w:val="en-US" w:eastAsia="zh-CN"/>
              </w:rPr>
              <w:t>2030年4月30日</w:t>
            </w:r>
          </w:p>
        </w:tc>
        <w:tc>
          <w:tcPr>
            <w:tcW w:w="1782" w:type="dxa"/>
            <w:shd w:val="clear" w:color="auto" w:fill="FFFFFF"/>
            <w:vAlign w:val="center"/>
          </w:tcPr>
          <w:p w14:paraId="5B91DF39">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Hans"/>
              </w:rPr>
              <w:t>厂房</w:t>
            </w:r>
            <w:r>
              <w:rPr>
                <w:rFonts w:hint="eastAsia" w:ascii="宋体" w:hAnsi="宋体" w:eastAsia="宋体" w:cs="宋体"/>
                <w:kern w:val="0"/>
                <w:sz w:val="21"/>
                <w:szCs w:val="21"/>
                <w:highlight w:val="none"/>
                <w:lang w:eastAsia="zh-Hans"/>
              </w:rPr>
              <w:t>西部</w:t>
            </w:r>
            <w:r>
              <w:rPr>
                <w:rFonts w:hint="eastAsia" w:ascii="宋体" w:hAnsi="宋体" w:eastAsia="宋体" w:cs="宋体"/>
                <w:kern w:val="0"/>
                <w:sz w:val="21"/>
                <w:szCs w:val="21"/>
                <w:highlight w:val="none"/>
                <w:lang w:val="en-US" w:eastAsia="zh-CN"/>
              </w:rPr>
              <w:t>空地</w:t>
            </w:r>
          </w:p>
          <w:p w14:paraId="6DC050FE">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lang w:val="en-US" w:eastAsia="zh-CN"/>
              </w:rPr>
              <w:t>（</w:t>
            </w:r>
            <w:r>
              <w:rPr>
                <w:rFonts w:hint="eastAsia" w:ascii="宋体" w:hAnsi="宋体" w:eastAsia="宋体" w:cs="宋体"/>
                <w:sz w:val="21"/>
                <w:szCs w:val="21"/>
                <w:highlight w:val="none"/>
                <w:lang w:val="en-US" w:eastAsia="zh-CN"/>
              </w:rPr>
              <w:t>9660㎡</w:t>
            </w:r>
            <w:r>
              <w:rPr>
                <w:rFonts w:hint="eastAsia" w:ascii="宋体" w:hAnsi="宋体" w:eastAsia="宋体" w:cs="宋体"/>
                <w:kern w:val="0"/>
                <w:sz w:val="21"/>
                <w:szCs w:val="21"/>
                <w:highlight w:val="none"/>
                <w:lang w:val="en-US" w:eastAsia="zh-CN"/>
              </w:rPr>
              <w:t>）</w:t>
            </w:r>
          </w:p>
        </w:tc>
        <w:tc>
          <w:tcPr>
            <w:tcW w:w="1669" w:type="dxa"/>
            <w:shd w:val="clear" w:color="auto" w:fill="FFFFFF"/>
            <w:vAlign w:val="center"/>
          </w:tcPr>
          <w:p w14:paraId="5D6A6F9D">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已支付至2030年4月30日</w:t>
            </w:r>
          </w:p>
        </w:tc>
      </w:tr>
      <w:tr w14:paraId="10031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640" w:type="dxa"/>
            <w:shd w:val="clear" w:color="auto" w:fill="FFFFFF"/>
            <w:vAlign w:val="center"/>
          </w:tcPr>
          <w:p w14:paraId="5E1B7B92">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val="en-US" w:eastAsia="zh-CN"/>
              </w:rPr>
              <w:t>2</w:t>
            </w:r>
          </w:p>
        </w:tc>
        <w:tc>
          <w:tcPr>
            <w:tcW w:w="1938" w:type="dxa"/>
            <w:shd w:val="clear" w:color="auto" w:fill="FFFFFF"/>
            <w:vAlign w:val="center"/>
          </w:tcPr>
          <w:p w14:paraId="536F5804">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ascii="宋体" w:hAnsi="宋体" w:eastAsia="宋体" w:cs="宋体"/>
                <w:kern w:val="2"/>
                <w:sz w:val="21"/>
                <w:szCs w:val="21"/>
                <w:highlight w:val="none"/>
              </w:rPr>
            </w:pPr>
            <w:r>
              <w:rPr>
                <w:rFonts w:hint="eastAsia" w:ascii="宋体" w:hAnsi="宋体" w:eastAsia="宋体" w:cs="宋体"/>
                <w:sz w:val="21"/>
                <w:szCs w:val="21"/>
                <w:highlight w:val="none"/>
              </w:rPr>
              <w:t>建瓯市合永盛门业有限公司</w:t>
            </w:r>
          </w:p>
        </w:tc>
        <w:tc>
          <w:tcPr>
            <w:tcW w:w="1366" w:type="dxa"/>
            <w:shd w:val="clear" w:color="auto" w:fill="FFFFFF"/>
            <w:vAlign w:val="center"/>
          </w:tcPr>
          <w:p w14:paraId="6FA0CEB7">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rPr>
            </w:pPr>
            <w:r>
              <w:rPr>
                <w:rFonts w:hint="eastAsia" w:ascii="宋体" w:hAnsi="宋体" w:eastAsia="宋体" w:cs="宋体"/>
                <w:sz w:val="21"/>
                <w:szCs w:val="21"/>
                <w:highlight w:val="none"/>
                <w:lang w:val="en-US" w:eastAsia="zh-CN"/>
              </w:rPr>
              <w:t>154,800.00</w:t>
            </w:r>
          </w:p>
        </w:tc>
        <w:tc>
          <w:tcPr>
            <w:tcW w:w="2183" w:type="dxa"/>
            <w:shd w:val="clear" w:color="auto" w:fill="FFFFFF"/>
            <w:vAlign w:val="center"/>
          </w:tcPr>
          <w:p w14:paraId="1EEE185D">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2024年2月1日-</w:t>
            </w:r>
          </w:p>
          <w:p w14:paraId="03485E4C">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2034年3月1日</w:t>
            </w:r>
          </w:p>
        </w:tc>
        <w:tc>
          <w:tcPr>
            <w:tcW w:w="1782" w:type="dxa"/>
            <w:shd w:val="clear" w:color="auto" w:fill="FFFFFF"/>
            <w:vAlign w:val="center"/>
          </w:tcPr>
          <w:p w14:paraId="50042D84">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0"/>
                <w:sz w:val="21"/>
                <w:szCs w:val="21"/>
                <w:highlight w:val="none"/>
                <w:lang w:eastAsia="zh-CN"/>
              </w:rPr>
            </w:pPr>
            <w:r>
              <w:rPr>
                <w:rFonts w:hint="eastAsia" w:ascii="宋体" w:hAnsi="宋体" w:eastAsia="宋体" w:cs="宋体"/>
                <w:sz w:val="21"/>
                <w:szCs w:val="21"/>
                <w:highlight w:val="none"/>
                <w:lang w:val="en-US" w:eastAsia="zh-CN" w:bidi="ar-SA"/>
              </w:rPr>
              <w:t>1#厂房靠北外侧厂房及厂房外侧通道</w:t>
            </w:r>
            <w:r>
              <w:rPr>
                <w:rFonts w:hint="eastAsia" w:ascii="宋体" w:hAnsi="宋体" w:eastAsia="宋体" w:cs="宋体"/>
                <w:sz w:val="21"/>
                <w:szCs w:val="21"/>
                <w:highlight w:val="none"/>
                <w:lang w:val="en-US" w:eastAsia="zh-CN"/>
              </w:rPr>
              <w:t>（4300㎡）</w:t>
            </w:r>
          </w:p>
        </w:tc>
        <w:tc>
          <w:tcPr>
            <w:tcW w:w="1669" w:type="dxa"/>
            <w:vMerge w:val="restart"/>
            <w:shd w:val="clear" w:color="auto" w:fill="FFFFFF"/>
            <w:vAlign w:val="center"/>
          </w:tcPr>
          <w:p w14:paraId="18343A77">
            <w:pPr>
              <w:pBdr>
                <w:top w:val="none" w:color="auto" w:sz="0" w:space="0"/>
                <w:left w:val="none" w:color="auto" w:sz="0" w:space="0"/>
                <w:bottom w:val="none" w:color="auto" w:sz="0" w:space="0"/>
                <w:right w:val="none" w:color="auto" w:sz="0" w:space="0"/>
                <w:between w:val="none" w:color="auto" w:sz="0" w:space="0"/>
              </w:pBdr>
              <w:shd w:val="clear"/>
              <w:spacing w:line="240" w:lineRule="atLeast"/>
              <w:jc w:val="both"/>
              <w:rPr>
                <w:rFonts w:hint="default" w:ascii="宋体" w:hAnsi="宋体" w:eastAsia="宋体" w:cs="宋体"/>
                <w:sz w:val="21"/>
                <w:szCs w:val="21"/>
                <w:highlight w:val="none"/>
                <w:lang w:val="en-US" w:eastAsia="zh-CN" w:bidi="ar-SA"/>
              </w:rPr>
            </w:pPr>
            <w:r>
              <w:rPr>
                <w:rFonts w:hint="eastAsia" w:ascii="宋体" w:hAnsi="宋体" w:eastAsia="宋体" w:cs="宋体"/>
                <w:sz w:val="21"/>
                <w:szCs w:val="21"/>
                <w:highlight w:val="none"/>
                <w:lang w:val="en-US" w:eastAsia="zh-CN" w:bidi="ar-SA"/>
              </w:rPr>
              <w:t>可能存在欠付租金的情况，已陆续提起诉讼</w:t>
            </w:r>
          </w:p>
        </w:tc>
      </w:tr>
      <w:tr w14:paraId="7A74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640" w:type="dxa"/>
            <w:shd w:val="clear" w:color="auto" w:fill="FFFFFF"/>
            <w:vAlign w:val="center"/>
          </w:tcPr>
          <w:p w14:paraId="1CCF7862">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val="en-US" w:eastAsia="zh-CN"/>
              </w:rPr>
              <w:t>3</w:t>
            </w:r>
          </w:p>
        </w:tc>
        <w:tc>
          <w:tcPr>
            <w:tcW w:w="1938" w:type="dxa"/>
            <w:shd w:val="clear" w:color="auto" w:fill="FFFFFF"/>
            <w:vAlign w:val="center"/>
          </w:tcPr>
          <w:p w14:paraId="458FD9C3">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建瓯元森和</w:t>
            </w:r>
          </w:p>
          <w:p w14:paraId="70409123">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ascii="宋体" w:hAnsi="宋体" w:eastAsia="宋体" w:cs="宋体"/>
                <w:kern w:val="2"/>
                <w:sz w:val="21"/>
                <w:szCs w:val="21"/>
                <w:highlight w:val="none"/>
              </w:rPr>
            </w:pPr>
            <w:r>
              <w:rPr>
                <w:rFonts w:hint="eastAsia" w:ascii="宋体" w:hAnsi="宋体" w:eastAsia="宋体" w:cs="宋体"/>
                <w:sz w:val="21"/>
                <w:szCs w:val="21"/>
                <w:highlight w:val="none"/>
              </w:rPr>
              <w:t>木业有限公司</w:t>
            </w:r>
          </w:p>
        </w:tc>
        <w:tc>
          <w:tcPr>
            <w:tcW w:w="1366" w:type="dxa"/>
            <w:shd w:val="clear" w:color="auto" w:fill="FFFFFF"/>
            <w:vAlign w:val="center"/>
          </w:tcPr>
          <w:p w14:paraId="361C7A63">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rPr>
              <w:t>90</w:t>
            </w:r>
            <w:r>
              <w:rPr>
                <w:rFonts w:hint="eastAsia" w:ascii="宋体" w:hAnsi="宋体" w:eastAsia="宋体" w:cs="宋体"/>
                <w:kern w:val="2"/>
                <w:sz w:val="21"/>
                <w:szCs w:val="21"/>
                <w:highlight w:val="none"/>
                <w:lang w:val="en-US" w:eastAsia="zh-CN"/>
              </w:rPr>
              <w:t>,</w:t>
            </w:r>
            <w:r>
              <w:rPr>
                <w:rFonts w:hint="eastAsia" w:ascii="宋体" w:hAnsi="宋体" w:eastAsia="宋体" w:cs="宋体"/>
                <w:kern w:val="2"/>
                <w:sz w:val="21"/>
                <w:szCs w:val="21"/>
                <w:highlight w:val="none"/>
              </w:rPr>
              <w:t>000</w:t>
            </w:r>
            <w:r>
              <w:rPr>
                <w:rFonts w:hint="eastAsia" w:ascii="宋体" w:hAnsi="宋体" w:eastAsia="宋体" w:cs="宋体"/>
                <w:kern w:val="2"/>
                <w:sz w:val="21"/>
                <w:szCs w:val="21"/>
                <w:highlight w:val="none"/>
                <w:lang w:val="en-US" w:eastAsia="zh-CN"/>
              </w:rPr>
              <w:t>.00</w:t>
            </w:r>
          </w:p>
        </w:tc>
        <w:tc>
          <w:tcPr>
            <w:tcW w:w="2183" w:type="dxa"/>
            <w:shd w:val="clear" w:color="auto" w:fill="FFFFFF"/>
            <w:vAlign w:val="center"/>
          </w:tcPr>
          <w:p w14:paraId="51E5BD3D">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2024年5月1日-</w:t>
            </w:r>
          </w:p>
          <w:p w14:paraId="7167AED5">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ascii="宋体" w:hAnsi="宋体" w:eastAsia="宋体" w:cs="宋体"/>
                <w:kern w:val="2"/>
                <w:sz w:val="21"/>
                <w:szCs w:val="21"/>
                <w:highlight w:val="none"/>
              </w:rPr>
            </w:pPr>
            <w:r>
              <w:rPr>
                <w:rFonts w:hint="eastAsia" w:ascii="宋体" w:hAnsi="宋体" w:eastAsia="宋体" w:cs="宋体"/>
                <w:sz w:val="21"/>
                <w:szCs w:val="21"/>
                <w:highlight w:val="none"/>
                <w:lang w:val="en-US" w:eastAsia="zh-CN"/>
              </w:rPr>
              <w:t>2034年4月30日</w:t>
            </w:r>
          </w:p>
        </w:tc>
        <w:tc>
          <w:tcPr>
            <w:tcW w:w="1782" w:type="dxa"/>
            <w:shd w:val="clear" w:color="auto" w:fill="FFFFFF"/>
            <w:vAlign w:val="center"/>
          </w:tcPr>
          <w:p w14:paraId="1AB8AAC7">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0"/>
                <w:sz w:val="21"/>
                <w:szCs w:val="21"/>
                <w:highlight w:val="none"/>
                <w:lang w:eastAsia="zh-Hans"/>
              </w:rPr>
            </w:pPr>
            <w:r>
              <w:rPr>
                <w:rFonts w:hint="eastAsia" w:ascii="宋体" w:hAnsi="宋体" w:eastAsia="宋体" w:cs="宋体"/>
                <w:sz w:val="21"/>
                <w:szCs w:val="21"/>
                <w:highlight w:val="none"/>
                <w:lang w:val="en-US" w:eastAsia="zh-CN" w:bidi="ar-SA"/>
              </w:rPr>
              <w:t>1#厂房靠东南角厂房（</w:t>
            </w:r>
            <w:r>
              <w:rPr>
                <w:rFonts w:hint="eastAsia" w:ascii="宋体" w:hAnsi="宋体" w:eastAsia="宋体" w:cs="宋体"/>
                <w:sz w:val="21"/>
                <w:szCs w:val="21"/>
                <w:highlight w:val="none"/>
                <w:lang w:val="en-US" w:eastAsia="zh-CN"/>
              </w:rPr>
              <w:t>2500㎡</w:t>
            </w:r>
            <w:r>
              <w:rPr>
                <w:rFonts w:hint="eastAsia" w:ascii="宋体" w:hAnsi="宋体" w:eastAsia="宋体" w:cs="宋体"/>
                <w:sz w:val="21"/>
                <w:szCs w:val="21"/>
                <w:highlight w:val="none"/>
                <w:lang w:val="en-US" w:eastAsia="zh-CN" w:bidi="ar-SA"/>
              </w:rPr>
              <w:t>）</w:t>
            </w:r>
          </w:p>
        </w:tc>
        <w:tc>
          <w:tcPr>
            <w:tcW w:w="1669" w:type="dxa"/>
            <w:vMerge w:val="continue"/>
            <w:shd w:val="clear" w:color="auto" w:fill="FFFFFF"/>
            <w:vAlign w:val="center"/>
          </w:tcPr>
          <w:p w14:paraId="32A109FE">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sz w:val="21"/>
                <w:szCs w:val="21"/>
                <w:highlight w:val="none"/>
                <w:lang w:val="en-US" w:eastAsia="zh-CN" w:bidi="ar-SA"/>
              </w:rPr>
            </w:pPr>
          </w:p>
        </w:tc>
      </w:tr>
      <w:tr w14:paraId="2F1A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640" w:type="dxa"/>
            <w:shd w:val="clear" w:color="auto" w:fill="FFFFFF"/>
            <w:vAlign w:val="center"/>
          </w:tcPr>
          <w:p w14:paraId="2BBC0D44">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eastAsia" w:ascii="宋体" w:hAnsi="宋体" w:eastAsia="宋体" w:cs="宋体"/>
                <w:kern w:val="2"/>
                <w:sz w:val="21"/>
                <w:szCs w:val="21"/>
                <w:highlight w:val="none"/>
                <w:lang w:eastAsia="zh-CN"/>
              </w:rPr>
            </w:pPr>
            <w:r>
              <w:rPr>
                <w:rFonts w:hint="eastAsia" w:ascii="宋体" w:hAnsi="宋体" w:eastAsia="宋体" w:cs="宋体"/>
                <w:kern w:val="2"/>
                <w:sz w:val="21"/>
                <w:szCs w:val="21"/>
                <w:highlight w:val="none"/>
                <w:lang w:val="en-US" w:eastAsia="zh-CN"/>
              </w:rPr>
              <w:t>4</w:t>
            </w:r>
          </w:p>
        </w:tc>
        <w:tc>
          <w:tcPr>
            <w:tcW w:w="1938" w:type="dxa"/>
            <w:shd w:val="clear" w:color="auto" w:fill="FFFFFF"/>
            <w:vAlign w:val="center"/>
          </w:tcPr>
          <w:p w14:paraId="5125AC50">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ascii="宋体" w:hAnsi="宋体" w:eastAsia="宋体" w:cs="宋体"/>
                <w:kern w:val="2"/>
                <w:sz w:val="21"/>
                <w:szCs w:val="21"/>
                <w:highlight w:val="none"/>
              </w:rPr>
            </w:pPr>
            <w:r>
              <w:rPr>
                <w:rFonts w:hint="eastAsia" w:ascii="宋体" w:hAnsi="宋体" w:eastAsia="宋体" w:cs="宋体"/>
                <w:sz w:val="21"/>
                <w:szCs w:val="21"/>
                <w:highlight w:val="none"/>
              </w:rPr>
              <w:t>建瓯市华恒竹制品有限公司</w:t>
            </w:r>
          </w:p>
        </w:tc>
        <w:tc>
          <w:tcPr>
            <w:tcW w:w="1366" w:type="dxa"/>
            <w:shd w:val="clear" w:color="auto" w:fill="FFFFFF"/>
            <w:vAlign w:val="center"/>
          </w:tcPr>
          <w:p w14:paraId="043454DD">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rPr>
            </w:pPr>
            <w:r>
              <w:rPr>
                <w:rFonts w:hint="eastAsia" w:ascii="宋体" w:hAnsi="宋体" w:eastAsia="宋体" w:cs="宋体"/>
                <w:sz w:val="21"/>
                <w:szCs w:val="21"/>
                <w:highlight w:val="none"/>
                <w:lang w:val="en-US" w:eastAsia="zh-CN"/>
              </w:rPr>
              <w:t>216,000.00</w:t>
            </w:r>
          </w:p>
        </w:tc>
        <w:tc>
          <w:tcPr>
            <w:tcW w:w="2183" w:type="dxa"/>
            <w:shd w:val="clear" w:color="auto" w:fill="FFFFFF"/>
            <w:vAlign w:val="center"/>
          </w:tcPr>
          <w:p w14:paraId="15BEC0EC">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2024年7月1日-</w:t>
            </w:r>
          </w:p>
          <w:p w14:paraId="2A6F318B">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ascii="宋体" w:hAnsi="宋体" w:eastAsia="宋体" w:cs="宋体"/>
                <w:kern w:val="2"/>
                <w:sz w:val="21"/>
                <w:szCs w:val="21"/>
                <w:highlight w:val="none"/>
              </w:rPr>
            </w:pPr>
            <w:r>
              <w:rPr>
                <w:rFonts w:hint="eastAsia" w:ascii="宋体" w:hAnsi="宋体" w:eastAsia="宋体" w:cs="宋体"/>
                <w:sz w:val="21"/>
                <w:szCs w:val="21"/>
                <w:highlight w:val="none"/>
                <w:lang w:val="en-US" w:eastAsia="zh-CN"/>
              </w:rPr>
              <w:t>2034年11月31日</w:t>
            </w:r>
          </w:p>
        </w:tc>
        <w:tc>
          <w:tcPr>
            <w:tcW w:w="1782" w:type="dxa"/>
            <w:shd w:val="clear" w:color="auto" w:fill="FFFFFF"/>
            <w:vAlign w:val="center"/>
          </w:tcPr>
          <w:p w14:paraId="4B63B4D0">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ascii="宋体" w:hAnsi="宋体" w:eastAsia="宋体" w:cs="宋体"/>
                <w:kern w:val="2"/>
                <w:sz w:val="21"/>
                <w:szCs w:val="21"/>
                <w:highlight w:val="none"/>
              </w:rPr>
            </w:pPr>
            <w:r>
              <w:rPr>
                <w:rFonts w:hint="eastAsia" w:ascii="宋体" w:hAnsi="宋体" w:eastAsia="宋体" w:cs="宋体"/>
                <w:sz w:val="21"/>
                <w:szCs w:val="21"/>
                <w:highlight w:val="none"/>
                <w:lang w:val="en-US" w:eastAsia="zh-CN" w:bidi="ar-SA"/>
              </w:rPr>
              <w:t>1#、2#厂房一楼车间（6000㎡）</w:t>
            </w:r>
          </w:p>
        </w:tc>
        <w:tc>
          <w:tcPr>
            <w:tcW w:w="1669" w:type="dxa"/>
            <w:vMerge w:val="continue"/>
            <w:shd w:val="clear" w:color="auto" w:fill="FFFFFF"/>
            <w:vAlign w:val="center"/>
          </w:tcPr>
          <w:p w14:paraId="35AF746B">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sz w:val="21"/>
                <w:szCs w:val="21"/>
                <w:highlight w:val="none"/>
                <w:lang w:val="en-US" w:eastAsia="zh-CN" w:bidi="ar-SA"/>
              </w:rPr>
            </w:pPr>
          </w:p>
        </w:tc>
      </w:tr>
      <w:tr w14:paraId="084AD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640" w:type="dxa"/>
            <w:shd w:val="clear" w:color="auto" w:fill="FFFFFF"/>
            <w:vAlign w:val="center"/>
          </w:tcPr>
          <w:p w14:paraId="4309FAA3">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5</w:t>
            </w:r>
          </w:p>
        </w:tc>
        <w:tc>
          <w:tcPr>
            <w:tcW w:w="1938" w:type="dxa"/>
            <w:shd w:val="clear" w:color="auto" w:fill="FFFFFF"/>
            <w:vAlign w:val="center"/>
          </w:tcPr>
          <w:p w14:paraId="51429C3E">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福建永创竹木科技有限公司</w:t>
            </w:r>
          </w:p>
        </w:tc>
        <w:tc>
          <w:tcPr>
            <w:tcW w:w="1366" w:type="dxa"/>
            <w:shd w:val="clear" w:color="auto" w:fill="FFFFFF"/>
            <w:vAlign w:val="center"/>
          </w:tcPr>
          <w:p w14:paraId="74199712">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default" w:ascii="宋体" w:hAnsi="宋体" w:eastAsia="宋体" w:cs="宋体"/>
                <w:kern w:val="2"/>
                <w:sz w:val="21"/>
                <w:szCs w:val="21"/>
                <w:highlight w:val="none"/>
                <w:lang w:val="en-US"/>
              </w:rPr>
            </w:pPr>
            <w:r>
              <w:rPr>
                <w:rFonts w:hint="eastAsia" w:ascii="宋体" w:hAnsi="宋体" w:eastAsia="宋体" w:cs="宋体"/>
                <w:kern w:val="2"/>
                <w:sz w:val="21"/>
                <w:szCs w:val="21"/>
                <w:highlight w:val="none"/>
                <w:lang w:val="en-US" w:eastAsia="zh-CN"/>
              </w:rPr>
              <w:t>115,200.00</w:t>
            </w:r>
          </w:p>
        </w:tc>
        <w:tc>
          <w:tcPr>
            <w:tcW w:w="2183" w:type="dxa"/>
            <w:shd w:val="clear" w:color="auto" w:fill="FFFFFF"/>
            <w:vAlign w:val="center"/>
          </w:tcPr>
          <w:p w14:paraId="1F2B38DD">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2023年-2028年12月</w:t>
            </w:r>
          </w:p>
        </w:tc>
        <w:tc>
          <w:tcPr>
            <w:tcW w:w="1782" w:type="dxa"/>
            <w:shd w:val="clear" w:color="auto" w:fill="FFFFFF"/>
            <w:vAlign w:val="center"/>
          </w:tcPr>
          <w:p w14:paraId="7842EDEE">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1#厂房的中、后部（6000㎡）</w:t>
            </w:r>
          </w:p>
        </w:tc>
        <w:tc>
          <w:tcPr>
            <w:tcW w:w="1669" w:type="dxa"/>
            <w:vMerge w:val="continue"/>
            <w:shd w:val="clear" w:color="auto" w:fill="FFFFFF"/>
            <w:vAlign w:val="center"/>
          </w:tcPr>
          <w:p w14:paraId="77E18803">
            <w:pPr>
              <w:pBdr>
                <w:top w:val="none" w:color="auto" w:sz="0" w:space="0"/>
                <w:left w:val="none" w:color="auto" w:sz="0" w:space="0"/>
                <w:bottom w:val="none" w:color="auto" w:sz="0" w:space="0"/>
                <w:right w:val="none" w:color="auto" w:sz="0" w:space="0"/>
                <w:between w:val="none" w:color="auto" w:sz="0" w:space="0"/>
              </w:pBdr>
              <w:shd w:val="clear"/>
              <w:spacing w:line="240" w:lineRule="atLeast"/>
              <w:jc w:val="center"/>
              <w:rPr>
                <w:rFonts w:hint="eastAsia" w:ascii="宋体" w:hAnsi="宋体" w:eastAsia="宋体" w:cs="宋体"/>
                <w:kern w:val="2"/>
                <w:sz w:val="21"/>
                <w:szCs w:val="21"/>
                <w:highlight w:val="none"/>
                <w:lang w:val="en-US" w:eastAsia="zh-CN"/>
              </w:rPr>
            </w:pPr>
          </w:p>
        </w:tc>
      </w:tr>
      <w:tr w14:paraId="5AB01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640" w:type="dxa"/>
            <w:shd w:val="clear" w:color="auto" w:fill="FFFFFF"/>
            <w:vAlign w:val="center"/>
          </w:tcPr>
          <w:p w14:paraId="7249525A">
            <w:pPr>
              <w:widowControl/>
              <w:pBdr>
                <w:top w:val="none" w:color="auto" w:sz="0" w:space="0"/>
                <w:left w:val="none" w:color="auto" w:sz="0" w:space="0"/>
                <w:bottom w:val="none" w:color="auto" w:sz="0" w:space="0"/>
                <w:right w:val="none" w:color="auto" w:sz="0" w:space="0"/>
                <w:between w:val="none" w:color="auto" w:sz="0" w:space="0"/>
              </w:pBdr>
              <w:shd w:val="clear"/>
              <w:spacing w:before="156" w:beforeLines="50" w:after="156" w:afterLines="50"/>
              <w:jc w:val="center"/>
              <w:textAlignment w:val="center"/>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6</w:t>
            </w:r>
          </w:p>
        </w:tc>
        <w:tc>
          <w:tcPr>
            <w:tcW w:w="7269" w:type="dxa"/>
            <w:gridSpan w:val="4"/>
            <w:shd w:val="clear" w:color="auto" w:fill="FFFFFF"/>
            <w:vAlign w:val="center"/>
          </w:tcPr>
          <w:p w14:paraId="2AC1051F">
            <w:pPr>
              <w:pBdr>
                <w:top w:val="none" w:color="auto" w:sz="0" w:space="0"/>
                <w:left w:val="none" w:color="auto" w:sz="0" w:space="0"/>
                <w:bottom w:val="none" w:color="auto" w:sz="0" w:space="0"/>
                <w:right w:val="none" w:color="auto" w:sz="0" w:space="0"/>
                <w:between w:val="none" w:color="auto" w:sz="0" w:space="0"/>
              </w:pBdr>
              <w:shd w:val="clear"/>
              <w:spacing w:line="240" w:lineRule="atLeast"/>
              <w:jc w:val="both"/>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目前2#厂房的第二层、第三层及附属用房被福建省广隆竹木有限公司违法占用，占用面积约8000㎡。</w:t>
            </w:r>
          </w:p>
        </w:tc>
        <w:tc>
          <w:tcPr>
            <w:tcW w:w="1669" w:type="dxa"/>
            <w:shd w:val="clear" w:color="auto" w:fill="FFFFFF"/>
            <w:vAlign w:val="center"/>
          </w:tcPr>
          <w:p w14:paraId="1E86B731">
            <w:pPr>
              <w:pBdr>
                <w:top w:val="none" w:color="auto" w:sz="0" w:space="0"/>
                <w:left w:val="none" w:color="auto" w:sz="0" w:space="0"/>
                <w:bottom w:val="none" w:color="auto" w:sz="0" w:space="0"/>
                <w:right w:val="none" w:color="auto" w:sz="0" w:space="0"/>
                <w:between w:val="none" w:color="auto" w:sz="0" w:space="0"/>
              </w:pBdr>
              <w:shd w:val="clear"/>
              <w:spacing w:line="240" w:lineRule="atLeast"/>
              <w:jc w:val="both"/>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可能存在欠付占用费的情况，已提起诉讼</w:t>
            </w:r>
          </w:p>
        </w:tc>
      </w:tr>
    </w:tbl>
    <w:p w14:paraId="2CACB33A">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cs="宋体"/>
          <w:sz w:val="24"/>
          <w:szCs w:val="24"/>
          <w:highlight w:val="none"/>
          <w:lang w:val="en-US" w:eastAsia="zh-CN"/>
        </w:rPr>
      </w:pPr>
      <w:r>
        <w:rPr>
          <w:rFonts w:hint="eastAsia" w:cs="宋体"/>
          <w:sz w:val="24"/>
          <w:szCs w:val="24"/>
          <w:highlight w:val="none"/>
          <w:lang w:val="en-US" w:eastAsia="zh-CN"/>
        </w:rPr>
        <w:t>本次拍卖为带租约拍卖，管理人已就欠付租金及违法占用情况陆续提起诉讼，其中序号2-5的租赁合同可能因使用人欠付租金而被解除。在拍卖成交之后，该些案件诉讼程序尚未终结的，将由管理人继续负责处理。相应租赁合同的继续履行或解除、已查明占用部分的清退，将根据案件裁判结果确定，管理人对审理周期、裁判结果及可能的清退问题不作任何承诺。竞买人参与竞买的，则视为接受该些案件后续裁判结果并同意按照裁判结果处理该部分租赁合同或占用情况，相关的风险均由买受人自行承担。在该部分案件裁判前，买受人仍需按照原合同约定继续履行或自行与承租人及占用人协商清退事宜。租金或占用收益的分配详见拍卖须知。</w:t>
      </w:r>
    </w:p>
    <w:p w14:paraId="6E8F1DC2">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cs="宋体"/>
          <w:sz w:val="24"/>
          <w:szCs w:val="24"/>
          <w:highlight w:val="none"/>
          <w:lang w:val="en-US" w:eastAsia="zh-CN"/>
        </w:rPr>
      </w:pPr>
      <w:r>
        <w:rPr>
          <w:rFonts w:hint="eastAsia" w:cs="宋体"/>
          <w:sz w:val="24"/>
          <w:szCs w:val="24"/>
          <w:highlight w:val="none"/>
          <w:lang w:val="en-US" w:eastAsia="zh-CN"/>
        </w:rPr>
        <w:t>拍卖标的部分构筑物存在被占用或存放物品的迹象，但无法查明使用主体，买受人在竞买成功后可根据法律规定对占用或存放的物品进行处理，管理人不负责相应的清理工作。</w:t>
      </w:r>
    </w:p>
    <w:p w14:paraId="7C9FE36F">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kern w:val="0"/>
          <w:sz w:val="24"/>
          <w:szCs w:val="24"/>
          <w:lang w:val="en-US" w:eastAsia="zh-Hans" w:bidi="ar-SA"/>
        </w:rPr>
        <w:t>二、</w:t>
      </w:r>
      <w:r>
        <w:rPr>
          <w:rFonts w:hint="eastAsia" w:ascii="宋体" w:hAnsi="宋体" w:eastAsia="宋体" w:cs="宋体"/>
          <w:b/>
          <w:bCs/>
          <w:sz w:val="24"/>
          <w:szCs w:val="24"/>
          <w:highlight w:val="none"/>
        </w:rPr>
        <w:t>咨询</w:t>
      </w:r>
      <w:r>
        <w:rPr>
          <w:rFonts w:hint="eastAsia" w:ascii="宋体" w:hAnsi="宋体" w:eastAsia="宋体" w:cs="宋体"/>
          <w:b/>
          <w:bCs/>
          <w:sz w:val="24"/>
          <w:szCs w:val="24"/>
          <w:highlight w:val="none"/>
          <w:lang w:eastAsia="zh-Hans"/>
        </w:rPr>
        <w:t>、</w:t>
      </w:r>
      <w:r>
        <w:rPr>
          <w:rFonts w:hint="eastAsia" w:cs="宋体"/>
          <w:b/>
          <w:bCs/>
          <w:sz w:val="24"/>
          <w:szCs w:val="24"/>
          <w:highlight w:val="none"/>
          <w:lang w:val="en-US" w:eastAsia="zh-CN"/>
        </w:rPr>
        <w:t>展示看样</w:t>
      </w:r>
      <w:r>
        <w:rPr>
          <w:rFonts w:hint="eastAsia" w:ascii="宋体" w:hAnsi="宋体" w:eastAsia="宋体" w:cs="宋体"/>
          <w:b/>
          <w:bCs/>
          <w:sz w:val="24"/>
          <w:szCs w:val="24"/>
          <w:highlight w:val="none"/>
          <w:lang w:eastAsia="zh-Hans"/>
        </w:rPr>
        <w:t>的时间与方式</w:t>
      </w:r>
    </w:p>
    <w:p w14:paraId="5523ABB0">
      <w:pPr>
        <w:pStyle w:val="8"/>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highlight w:val="none"/>
          <w:lang w:eastAsia="zh-Hans"/>
        </w:rPr>
        <w:t>自本公告发布之日起至开拍前3日</w:t>
      </w:r>
      <w:r>
        <w:rPr>
          <w:rFonts w:hint="eastAsia" w:cs="宋体"/>
          <w:sz w:val="24"/>
          <w:szCs w:val="24"/>
          <w:highlight w:val="none"/>
          <w:lang w:eastAsia="zh-CN"/>
        </w:rPr>
        <w:t>（</w:t>
      </w:r>
      <w:r>
        <w:rPr>
          <w:rFonts w:hint="eastAsia" w:cs="宋体"/>
          <w:sz w:val="24"/>
          <w:szCs w:val="24"/>
          <w:highlight w:val="none"/>
          <w:lang w:val="en-US" w:eastAsia="zh-CN"/>
        </w:rPr>
        <w:t>休假日节假日除外</w:t>
      </w:r>
      <w:r>
        <w:rPr>
          <w:rFonts w:hint="eastAsia" w:cs="宋体"/>
          <w:sz w:val="24"/>
          <w:szCs w:val="24"/>
          <w:highlight w:val="none"/>
          <w:lang w:eastAsia="zh-CN"/>
        </w:rPr>
        <w:t>），</w:t>
      </w:r>
      <w:r>
        <w:rPr>
          <w:rFonts w:hint="eastAsia" w:ascii="宋体" w:hAnsi="宋体" w:eastAsia="宋体" w:cs="宋体"/>
          <w:sz w:val="24"/>
          <w:szCs w:val="24"/>
          <w:highlight w:val="none"/>
          <w:lang w:eastAsia="zh-Hans"/>
        </w:rPr>
        <w:t>有意者请与管理人联系预约咨询、看样，预约后管理人将统一安排看样或可自行前往现场看样。</w:t>
      </w:r>
    </w:p>
    <w:p w14:paraId="12D24EEC">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b/>
          <w:bCs/>
        </w:rPr>
      </w:pPr>
      <w:r>
        <w:rPr>
          <w:rFonts w:hint="eastAsia"/>
          <w:b/>
          <w:bCs/>
          <w:lang w:val="en-US" w:eastAsia="zh-CN"/>
        </w:rPr>
        <w:t>三、</w:t>
      </w:r>
      <w:r>
        <w:rPr>
          <w:rFonts w:hint="eastAsia"/>
          <w:b/>
          <w:bCs/>
        </w:rPr>
        <w:t>拍卖标的优先购买权人</w:t>
      </w:r>
    </w:p>
    <w:p w14:paraId="26CE626B">
      <w:pPr>
        <w:pStyle w:val="8"/>
        <w:shd w:val="clear" w:color="auto" w:fill="FFFFFF"/>
        <w:spacing w:before="0" w:beforeAutospacing="0" w:after="0" w:afterAutospacing="0" w:line="360" w:lineRule="auto"/>
        <w:ind w:firstLine="482" w:firstLineChars="200"/>
        <w:jc w:val="both"/>
        <w:rPr>
          <w:b/>
          <w:bCs/>
          <w:highlight w:val="yellow"/>
        </w:rPr>
      </w:pPr>
      <w:r>
        <w:rPr>
          <w:rFonts w:hint="eastAsia"/>
          <w:b/>
          <w:bCs/>
        </w:rPr>
        <w:t>拍卖标的</w:t>
      </w:r>
      <w:r>
        <w:rPr>
          <w:rFonts w:hint="eastAsia"/>
          <w:b/>
          <w:bCs/>
          <w:lang w:val="en-US"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3E9117B0">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cs="宋体"/>
          <w:b/>
          <w:bCs/>
          <w:sz w:val="24"/>
          <w:szCs w:val="24"/>
          <w:lang w:val="en-US" w:eastAsia="zh-CN"/>
        </w:rPr>
      </w:pPr>
      <w:r>
        <w:rPr>
          <w:rFonts w:hint="eastAsia"/>
          <w:b/>
          <w:bCs/>
          <w:lang w:val="en-US" w:eastAsia="zh-CN"/>
        </w:rPr>
        <w:t>四、</w:t>
      </w:r>
      <w:r>
        <w:rPr>
          <w:rFonts w:hint="eastAsia"/>
          <w:b/>
          <w:bCs/>
        </w:rPr>
        <w:t>对拍卖标的权属或者拍卖行为有异议者，请于竞价活动开始5个工作日前与管理人联系。</w:t>
      </w:r>
      <w:r>
        <w:rPr>
          <w:rFonts w:hint="eastAsia"/>
        </w:rPr>
        <w:t>与拍卖标的有利害关系的当事人可以参加竞价，不参加竞价的请自行关注本次竞价活动的整个过程。</w:t>
      </w:r>
    </w:p>
    <w:p w14:paraId="20677601">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lang w:val="en-US" w:eastAsia="zh-Hans"/>
        </w:rPr>
      </w:pPr>
      <w:r>
        <w:rPr>
          <w:rFonts w:hint="eastAsia" w:cs="宋体"/>
          <w:b/>
          <w:bCs/>
          <w:sz w:val="24"/>
          <w:szCs w:val="24"/>
          <w:lang w:val="en-US" w:eastAsia="zh-CN"/>
        </w:rPr>
        <w:t>五、</w:t>
      </w:r>
      <w:r>
        <w:rPr>
          <w:rFonts w:hint="eastAsia" w:ascii="宋体" w:hAnsi="宋体" w:eastAsia="宋体" w:cs="宋体"/>
          <w:b/>
          <w:bCs/>
          <w:sz w:val="24"/>
          <w:szCs w:val="24"/>
          <w:lang w:val="en-US" w:eastAsia="zh-Hans"/>
        </w:rPr>
        <w:t>竞价方式</w:t>
      </w:r>
    </w:p>
    <w:p w14:paraId="5A995AA5">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一</w:t>
      </w:r>
      <w:r>
        <w:rPr>
          <w:rFonts w:hint="eastAsia" w:ascii="宋体" w:hAnsi="宋体" w:eastAsia="宋体" w:cs="宋体"/>
          <w:sz w:val="24"/>
          <w:szCs w:val="24"/>
          <w:lang w:eastAsia="zh-Hans"/>
        </w:rPr>
        <w:t>）竞价从起拍价开始以递增出价方式竞价，</w:t>
      </w:r>
      <w:r>
        <w:rPr>
          <w:rFonts w:hint="eastAsia" w:ascii="宋体" w:hAnsi="宋体" w:eastAsia="宋体" w:cs="宋体"/>
          <w:sz w:val="24"/>
          <w:szCs w:val="24"/>
          <w:lang w:val="en-US" w:eastAsia="zh-Hans"/>
        </w:rPr>
        <w:t>每次</w:t>
      </w:r>
      <w:r>
        <w:rPr>
          <w:rFonts w:hint="eastAsia" w:ascii="宋体" w:hAnsi="宋体" w:eastAsia="宋体" w:cs="宋体"/>
          <w:sz w:val="24"/>
          <w:szCs w:val="24"/>
          <w:lang w:eastAsia="zh-Hans"/>
        </w:rPr>
        <w:t>竞价增</w:t>
      </w:r>
      <w:r>
        <w:rPr>
          <w:rFonts w:hint="eastAsia" w:ascii="宋体" w:hAnsi="宋体" w:eastAsia="宋体" w:cs="宋体"/>
          <w:sz w:val="24"/>
          <w:szCs w:val="24"/>
        </w:rPr>
        <w:t>价幅度为人民币</w:t>
      </w:r>
      <w:r>
        <w:rPr>
          <w:rFonts w:hint="eastAsia" w:cs="宋体"/>
          <w:sz w:val="24"/>
          <w:szCs w:val="24"/>
          <w:lang w:val="en-US" w:eastAsia="zh-CN"/>
        </w:rPr>
        <w:t>1万</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5489C1F4">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二</w:t>
      </w:r>
      <w:r>
        <w:rPr>
          <w:rFonts w:hint="eastAsia" w:ascii="宋体" w:hAnsi="宋体" w:eastAsia="宋体" w:cs="宋体"/>
          <w:sz w:val="24"/>
          <w:szCs w:val="24"/>
          <w:lang w:eastAsia="zh-Hans"/>
        </w:rPr>
        <w:t>）本次竞价活动设置延时出价功能，在竞价活动结束前，每最后5分钟如果有竞买人出价，将自动延迟5分钟。</w:t>
      </w:r>
    </w:p>
    <w:p w14:paraId="3F51A9C6">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三</w:t>
      </w:r>
      <w:r>
        <w:rPr>
          <w:rFonts w:hint="eastAsia" w:ascii="宋体" w:hAnsi="宋体" w:eastAsia="宋体" w:cs="宋体"/>
          <w:b/>
          <w:bCs/>
          <w:sz w:val="24"/>
          <w:szCs w:val="24"/>
          <w:lang w:eastAsia="zh-Hans"/>
        </w:rPr>
        <w:t>）本次拍卖保留价为起拍价。</w:t>
      </w:r>
    </w:p>
    <w:p w14:paraId="4822DC12">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cs="宋体"/>
          <w:b/>
          <w:bCs/>
          <w:sz w:val="24"/>
          <w:szCs w:val="24"/>
          <w:lang w:val="en-US" w:eastAsia="zh-CN"/>
        </w:rPr>
        <w:t>六、</w:t>
      </w:r>
      <w:r>
        <w:rPr>
          <w:rFonts w:hint="eastAsia" w:ascii="宋体" w:hAnsi="宋体" w:eastAsia="宋体" w:cs="宋体"/>
          <w:b/>
          <w:bCs/>
          <w:sz w:val="24"/>
          <w:szCs w:val="24"/>
          <w:lang w:eastAsia="zh-Hans"/>
        </w:rPr>
        <w:t>保证金与</w:t>
      </w:r>
      <w:r>
        <w:rPr>
          <w:rFonts w:hint="eastAsia" w:cs="宋体"/>
          <w:b/>
          <w:bCs/>
          <w:sz w:val="24"/>
          <w:szCs w:val="24"/>
          <w:lang w:val="en-US" w:eastAsia="zh-CN"/>
        </w:rPr>
        <w:t>拍卖价款的</w:t>
      </w:r>
      <w:r>
        <w:rPr>
          <w:rFonts w:hint="eastAsia" w:ascii="宋体" w:hAnsi="宋体" w:eastAsia="宋体" w:cs="宋体"/>
          <w:b/>
          <w:bCs/>
          <w:sz w:val="24"/>
          <w:szCs w:val="24"/>
          <w:lang w:eastAsia="zh-Hans"/>
        </w:rPr>
        <w:t>支付</w:t>
      </w:r>
    </w:p>
    <w:p w14:paraId="16F44042">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lang w:eastAsia="zh-Hans"/>
        </w:rPr>
      </w:pPr>
      <w:r>
        <w:rPr>
          <w:rFonts w:hint="eastAsia" w:ascii="宋体" w:hAnsi="宋体" w:eastAsia="宋体" w:cs="宋体"/>
          <w:b w:val="0"/>
          <w:bCs w:val="0"/>
          <w:sz w:val="24"/>
          <w:szCs w:val="24"/>
          <w:lang w:eastAsia="zh-Hans"/>
        </w:rPr>
        <w:t>（一）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p>
    <w:p w14:paraId="5203DD5E">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b/>
          <w:bCs/>
        </w:rPr>
      </w:pPr>
      <w:r>
        <w:rPr>
          <w:rFonts w:hint="eastAsia" w:ascii="宋体" w:hAnsi="宋体" w:eastAsia="宋体" w:cs="宋体"/>
          <w:b/>
          <w:bCs/>
          <w:sz w:val="24"/>
          <w:szCs w:val="24"/>
          <w:lang w:eastAsia="zh-Hans"/>
        </w:rPr>
        <w:t>（二）</w:t>
      </w:r>
      <w:r>
        <w:rPr>
          <w:rFonts w:hint="eastAsia"/>
          <w:b/>
          <w:bCs/>
        </w:rPr>
        <w:t>竞价成交后，买受人缴纳的保证金可以充抵价款，拍卖标的买受人原锁定的保证金24小时内自动转入管理人指定账户。拍卖余款买受人应在拍卖成交之日起</w:t>
      </w:r>
      <w:r>
        <w:rPr>
          <w:rFonts w:hint="eastAsia"/>
          <w:b/>
          <w:bCs/>
          <w:highlight w:val="none"/>
          <w:lang w:val="en-US" w:eastAsia="zh-CN"/>
        </w:rPr>
        <w:t>十五个工作日</w:t>
      </w:r>
      <w:r>
        <w:rPr>
          <w:rFonts w:hint="eastAsia"/>
          <w:b/>
          <w:bCs/>
          <w:highlight w:val="none"/>
        </w:rPr>
        <w:t>内</w:t>
      </w:r>
      <w:r>
        <w:rPr>
          <w:rFonts w:hint="eastAsia"/>
          <w:b/>
          <w:bCs/>
        </w:rPr>
        <w:t>将拍卖价款全部支付给管理人</w:t>
      </w:r>
      <w:r>
        <w:rPr>
          <w:rFonts w:hint="eastAsia"/>
          <w:b/>
          <w:bCs/>
          <w:lang w:eastAsia="zh-CN"/>
        </w:rPr>
        <w:t>，并注明“破产案号：（202</w:t>
      </w:r>
      <w:r>
        <w:rPr>
          <w:rFonts w:hint="eastAsia"/>
          <w:b/>
          <w:bCs/>
          <w:lang w:val="en-US" w:eastAsia="zh-CN"/>
        </w:rPr>
        <w:t>4</w:t>
      </w:r>
      <w:r>
        <w:rPr>
          <w:rFonts w:hint="eastAsia"/>
          <w:b/>
          <w:bCs/>
          <w:lang w:eastAsia="zh-CN"/>
        </w:rPr>
        <w:t>）闽0783破</w:t>
      </w:r>
      <w:r>
        <w:rPr>
          <w:rFonts w:hint="eastAsia"/>
          <w:b/>
          <w:bCs/>
          <w:lang w:val="en-US" w:eastAsia="zh-CN"/>
        </w:rPr>
        <w:t>2</w:t>
      </w:r>
      <w:r>
        <w:rPr>
          <w:rFonts w:hint="eastAsia"/>
          <w:b/>
          <w:bCs/>
          <w:lang w:eastAsia="zh-CN"/>
        </w:rPr>
        <w:t>号，款项性质：</w:t>
      </w:r>
      <w:r>
        <w:rPr>
          <w:rFonts w:hint="eastAsia"/>
          <w:b/>
          <w:bCs/>
          <w:lang w:val="en-US" w:eastAsia="zh-CN"/>
        </w:rPr>
        <w:t>鸿志兴</w:t>
      </w:r>
      <w:r>
        <w:rPr>
          <w:rFonts w:hint="eastAsia"/>
          <w:b/>
          <w:bCs/>
          <w:lang w:eastAsia="zh-CN"/>
        </w:rPr>
        <w:t>土地厂房拍卖款”</w:t>
      </w:r>
      <w:r>
        <w:rPr>
          <w:rFonts w:hint="eastAsia"/>
          <w:b/>
          <w:bCs/>
        </w:rPr>
        <w:t>。管理人收款账户如下：</w:t>
      </w:r>
    </w:p>
    <w:p w14:paraId="252A8837">
      <w:pPr>
        <w:pStyle w:val="8"/>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户名：</w:t>
      </w:r>
      <w:r>
        <w:rPr>
          <w:rFonts w:hint="eastAsia" w:ascii="宋体" w:hAnsi="宋体" w:eastAsia="宋体" w:cs="宋体"/>
          <w:b/>
          <w:bCs/>
          <w:sz w:val="24"/>
          <w:szCs w:val="24"/>
          <w:lang w:val="en-US" w:eastAsia="zh-Hans"/>
        </w:rPr>
        <w:t>福建鸿志兴股份有限公司</w:t>
      </w:r>
      <w:r>
        <w:rPr>
          <w:rFonts w:hint="eastAsia" w:ascii="宋体" w:hAnsi="宋体" w:eastAsia="宋体" w:cs="宋体"/>
          <w:b/>
          <w:bCs/>
          <w:sz w:val="24"/>
          <w:szCs w:val="24"/>
          <w:lang w:eastAsia="zh-Hans"/>
        </w:rPr>
        <w:t>管理人</w:t>
      </w:r>
    </w:p>
    <w:p w14:paraId="371607E5">
      <w:pPr>
        <w:pStyle w:val="8"/>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开户行：</w:t>
      </w:r>
      <w:r>
        <w:rPr>
          <w:rFonts w:hint="eastAsia" w:ascii="宋体" w:hAnsi="宋体" w:cs="宋体"/>
          <w:b/>
          <w:bCs/>
          <w:sz w:val="24"/>
          <w:szCs w:val="24"/>
          <w:lang w:val="en-US" w:eastAsia="zh-CN"/>
        </w:rPr>
        <w:t>中国银行股份有限公司建瓯支行</w:t>
      </w:r>
    </w:p>
    <w:p w14:paraId="5CFD9E95">
      <w:pPr>
        <w:pStyle w:val="8"/>
        <w:keepNext w:val="0"/>
        <w:keepLines w:val="0"/>
        <w:pageBreakBefore w:val="0"/>
        <w:widowControl w:val="0"/>
        <w:numPr>
          <w:ilvl w:val="255"/>
          <w:numId w:val="0"/>
        </w:numPr>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账号：</w:t>
      </w:r>
      <w:r>
        <w:rPr>
          <w:rFonts w:hint="eastAsia" w:ascii="宋体" w:hAnsi="宋体" w:cs="宋体"/>
          <w:b/>
          <w:bCs/>
          <w:sz w:val="24"/>
          <w:szCs w:val="24"/>
          <w:lang w:val="en-US" w:eastAsia="zh-CN"/>
        </w:rPr>
        <w:t>4234</w:t>
      </w:r>
      <w:r>
        <w:rPr>
          <w:rFonts w:hint="eastAsia" w:cs="宋体"/>
          <w:b/>
          <w:bCs/>
          <w:sz w:val="24"/>
          <w:szCs w:val="24"/>
          <w:lang w:val="en-US" w:eastAsia="zh-CN"/>
        </w:rPr>
        <w:t xml:space="preserve"> </w:t>
      </w:r>
      <w:r>
        <w:rPr>
          <w:rFonts w:hint="eastAsia" w:ascii="宋体" w:hAnsi="宋体" w:cs="宋体"/>
          <w:b/>
          <w:bCs/>
          <w:sz w:val="24"/>
          <w:szCs w:val="24"/>
          <w:lang w:val="en-US" w:eastAsia="zh-CN"/>
        </w:rPr>
        <w:t>8674</w:t>
      </w:r>
      <w:r>
        <w:rPr>
          <w:rFonts w:hint="eastAsia" w:cs="宋体"/>
          <w:b/>
          <w:bCs/>
          <w:sz w:val="24"/>
          <w:szCs w:val="24"/>
          <w:lang w:val="en-US" w:eastAsia="zh-CN"/>
        </w:rPr>
        <w:t xml:space="preserve"> </w:t>
      </w:r>
      <w:r>
        <w:rPr>
          <w:rFonts w:hint="eastAsia" w:ascii="宋体" w:hAnsi="宋体" w:cs="宋体"/>
          <w:b/>
          <w:bCs/>
          <w:sz w:val="24"/>
          <w:szCs w:val="24"/>
          <w:lang w:val="en-US" w:eastAsia="zh-CN"/>
        </w:rPr>
        <w:t>6447</w:t>
      </w:r>
    </w:p>
    <w:p w14:paraId="327DB1A9">
      <w:pPr>
        <w:pStyle w:val="8"/>
        <w:numPr>
          <w:ilvl w:val="255"/>
          <w:numId w:val="0"/>
        </w:numPr>
        <w:shd w:val="clear" w:color="auto" w:fill="FFFFFF"/>
        <w:spacing w:before="0" w:beforeAutospacing="0" w:after="0" w:afterAutospacing="0" w:line="360" w:lineRule="auto"/>
        <w:ind w:firstLine="480" w:firstLineChars="200"/>
        <w:jc w:val="both"/>
      </w:pPr>
      <w:r>
        <w:rPr>
          <w:rFonts w:hint="eastAsia"/>
        </w:rPr>
        <w:t>（</w:t>
      </w:r>
      <w:r>
        <w:rPr>
          <w:rFonts w:hint="eastAsia"/>
          <w:lang w:val="en-US" w:eastAsia="zh-CN"/>
        </w:rPr>
        <w:t>三</w:t>
      </w:r>
      <w:r>
        <w:rPr>
          <w:rFonts w:hint="eastAsia"/>
        </w:rPr>
        <w:t>）因标的物本身价值较高，其起拍价、保证金、竞拍成交价相对较高，竞买人参与竞拍，支付保证金及拍卖价款可能会遇到当天限额无法支付的情况，请竞买人根据自身情况选择网上充值银行。各大银行充值和支付的限额情况可上网查询，网址https://help.jd.com/user/issue/359-1659.html。</w:t>
      </w:r>
    </w:p>
    <w:p w14:paraId="1B15778A">
      <w:pPr>
        <w:pStyle w:val="8"/>
        <w:numPr>
          <w:ilvl w:val="255"/>
          <w:numId w:val="0"/>
        </w:numPr>
        <w:shd w:val="clear" w:color="auto" w:fill="FFFFFF"/>
        <w:spacing w:before="0" w:beforeAutospacing="0" w:after="0" w:afterAutospacing="0" w:line="360" w:lineRule="auto"/>
        <w:ind w:firstLine="482" w:firstLineChars="200"/>
        <w:jc w:val="both"/>
      </w:pPr>
      <w:r>
        <w:rPr>
          <w:rFonts w:hint="eastAsia"/>
          <w:b/>
          <w:bCs/>
        </w:rPr>
        <w:t>（</w:t>
      </w:r>
      <w:r>
        <w:rPr>
          <w:rFonts w:hint="eastAsia"/>
          <w:b/>
          <w:bCs/>
          <w:lang w:val="en-US" w:eastAsia="zh-CN"/>
        </w:rPr>
        <w:t>四</w:t>
      </w:r>
      <w:r>
        <w:rPr>
          <w:rFonts w:hint="eastAsia"/>
          <w:b/>
          <w:bC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0900B1CD">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eastAsia="zh-Hans"/>
        </w:rPr>
        <w:t>七、拍卖标的</w:t>
      </w:r>
      <w:r>
        <w:rPr>
          <w:rFonts w:hint="eastAsia" w:ascii="宋体" w:hAnsi="宋体" w:eastAsia="宋体" w:cs="宋体"/>
          <w:b/>
          <w:bCs/>
          <w:sz w:val="24"/>
          <w:szCs w:val="24"/>
          <w:lang w:val="en-US" w:eastAsia="zh-Hans"/>
        </w:rPr>
        <w:t>交付及过户手续办理</w:t>
      </w:r>
    </w:p>
    <w:p w14:paraId="2DC88EF6">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b/>
          <w:bCs/>
        </w:rPr>
      </w:pPr>
      <w:r>
        <w:rPr>
          <w:rFonts w:hint="eastAsia"/>
        </w:rPr>
        <w:t>（一）买受人应于付清全部拍卖成交款后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53502965">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color w:val="auto"/>
        </w:rPr>
      </w:pPr>
      <w:r>
        <w:rPr>
          <w:rFonts w:hint="eastAsia"/>
          <w:color w:val="auto"/>
        </w:rPr>
        <w:t>（二）买受人须在竞价成功后，按照相关规定申报、缴纳</w:t>
      </w:r>
      <w:r>
        <w:rPr>
          <w:rFonts w:hint="eastAsia"/>
          <w:color w:val="auto"/>
          <w:lang w:val="en-US" w:eastAsia="zh-CN"/>
        </w:rPr>
        <w:t>相关</w:t>
      </w:r>
      <w:r>
        <w:rPr>
          <w:rFonts w:hint="eastAsia"/>
          <w:color w:val="auto"/>
        </w:rPr>
        <w:t>税费（关于税费承担的具体问题详见《竞拍须知》第十条）。</w:t>
      </w:r>
    </w:p>
    <w:p w14:paraId="0277AEB1">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b/>
          <w:bCs/>
          <w:u w:val="single"/>
        </w:rPr>
      </w:pPr>
      <w:r>
        <w:rPr>
          <w:rFonts w:hint="eastAsia"/>
          <w:b/>
          <w:bCs/>
          <w:u w:val="single"/>
          <w:shd w:val="clear"/>
        </w:rPr>
        <w:t>（三）拍卖成交且买受人支付完毕全部价款、提交身份材料</w:t>
      </w:r>
      <w:r>
        <w:rPr>
          <w:rFonts w:hint="eastAsia"/>
          <w:b/>
          <w:bCs/>
          <w:u w:val="single"/>
          <w:shd w:val="clear"/>
          <w:lang w:val="en-US" w:eastAsia="zh-CN"/>
        </w:rPr>
        <w:t>以</w:t>
      </w:r>
      <w:r>
        <w:rPr>
          <w:rFonts w:hint="eastAsia"/>
          <w:b/>
          <w:bCs/>
          <w:u w:val="single"/>
          <w:shd w:val="clear"/>
        </w:rPr>
        <w:t>后，管</w:t>
      </w:r>
      <w:r>
        <w:rPr>
          <w:rFonts w:hint="eastAsia"/>
          <w:b/>
          <w:bCs/>
          <w:u w:val="single"/>
        </w:rPr>
        <w:t>理人将申请法院出具《民事裁定书》给买受人。买受人必须在其</w:t>
      </w:r>
      <w:r>
        <w:rPr>
          <w:rFonts w:hint="eastAsia"/>
          <w:b/>
          <w:bCs/>
          <w:u w:val="single"/>
          <w:lang w:val="en-US" w:eastAsia="zh-CN"/>
        </w:rPr>
        <w:t>收到法院出具的《民事裁定书》</w:t>
      </w:r>
      <w:r>
        <w:rPr>
          <w:rFonts w:hint="eastAsia"/>
          <w:b/>
          <w:bCs/>
          <w:u w:val="single"/>
        </w:rPr>
        <w:t>之日起30日内自行到相关主管部门办理相关过户手续及其他税费缴交事宜，管理人将给予必要的协助，但拍卖标的的过户风险由买受人自行承担。</w:t>
      </w:r>
    </w:p>
    <w:p w14:paraId="10B880A6">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cs="宋体"/>
          <w:b/>
          <w:bCs/>
          <w:sz w:val="24"/>
          <w:szCs w:val="24"/>
          <w:lang w:val="en-US" w:eastAsia="zh-CN"/>
        </w:rPr>
        <w:t>八、</w:t>
      </w:r>
      <w:r>
        <w:rPr>
          <w:rFonts w:hint="eastAsia" w:ascii="宋体" w:hAnsi="宋体" w:eastAsia="宋体" w:cs="宋体"/>
          <w:b/>
          <w:bCs/>
          <w:sz w:val="24"/>
          <w:szCs w:val="24"/>
          <w:lang w:eastAsia="zh-Hans"/>
        </w:rPr>
        <w:t>风险提示和特别说明</w:t>
      </w:r>
    </w:p>
    <w:p w14:paraId="7ED2DB44">
      <w:pPr>
        <w:pStyle w:val="8"/>
        <w:numPr>
          <w:ilvl w:val="255"/>
          <w:numId w:val="0"/>
        </w:numPr>
        <w:shd w:val="clear" w:color="auto" w:fill="FFFFFF"/>
        <w:spacing w:before="0" w:beforeAutospacing="0" w:after="0" w:afterAutospacing="0" w:line="360" w:lineRule="auto"/>
        <w:ind w:firstLine="480" w:firstLineChars="200"/>
        <w:jc w:val="both"/>
        <w:rPr>
          <w:rFonts w:hint="eastAsia" w:ascii="宋体" w:hAnsi="宋体" w:eastAsia="宋体" w:cs="宋体"/>
          <w:b/>
          <w:bCs/>
          <w:sz w:val="24"/>
          <w:szCs w:val="24"/>
          <w:lang w:eastAsia="zh-Hans"/>
        </w:rPr>
      </w:pPr>
      <w:r>
        <w:rPr>
          <w:rFonts w:hint="eastAsia"/>
          <w:lang w:eastAsia="zh-Hans"/>
        </w:rPr>
        <w:t>除本公告外，其他风险提示和特别说明部分内容详见《竞拍须知》。</w:t>
      </w:r>
    </w:p>
    <w:p w14:paraId="05198E43">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0" w:firstLineChars="200"/>
        <w:jc w:val="both"/>
        <w:textAlignment w:val="auto"/>
        <w:rPr>
          <w:rFonts w:hint="eastAsia"/>
          <w:b/>
          <w:bCs/>
          <w:u w:val="none"/>
        </w:rPr>
      </w:pPr>
      <w:r>
        <w:rPr>
          <w:rFonts w:hint="eastAsia"/>
          <w:u w:val="none"/>
          <w:lang w:val="en-US" w:eastAsia="zh-CN"/>
        </w:rPr>
        <w:t>九、</w:t>
      </w:r>
      <w:r>
        <w:rPr>
          <w:rFonts w:hint="eastAsia"/>
          <w:u w:val="none"/>
        </w:rPr>
        <w:t>竞买人在参与此次竞价活动前，请认真阅读本公告、《竞拍须知》及所有附件内容，以及相关法律、法规、规章及规范性文件的规定，并安排必要的尽职调查。</w:t>
      </w:r>
      <w:r>
        <w:rPr>
          <w:rFonts w:hint="eastAsia"/>
          <w:b/>
          <w:bCs/>
          <w:u w:val="none"/>
        </w:rPr>
        <w:t>竞买人支付竞买保证金，即视为其已对拍卖标的实施了审慎、充分的尽职调查，已充分了解拍卖文件及相关规定的内容及要求，并承诺自行承担法律责任。</w:t>
      </w:r>
    </w:p>
    <w:p w14:paraId="6349F6D4">
      <w:pPr>
        <w:pStyle w:val="8"/>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026809DD">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7D54F5E8">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rPr>
        <w:t>咨询电话：152-5926-4753</w:t>
      </w:r>
      <w:r>
        <w:rPr>
          <w:rFonts w:hint="eastAsia" w:cs="宋体"/>
          <w:sz w:val="24"/>
          <w:szCs w:val="24"/>
          <w:lang w:eastAsia="zh-CN"/>
        </w:rPr>
        <w:t>，</w:t>
      </w:r>
      <w:r>
        <w:rPr>
          <w:rFonts w:hint="eastAsia" w:cs="宋体"/>
          <w:sz w:val="24"/>
          <w:szCs w:val="24"/>
          <w:lang w:val="en-US" w:eastAsia="zh-CN"/>
        </w:rPr>
        <w:t>小张</w:t>
      </w:r>
    </w:p>
    <w:p w14:paraId="097CB2BA">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14:paraId="40810152">
      <w:pPr>
        <w:pStyle w:val="8"/>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京东技术咨询电话：4006229586</w:t>
      </w:r>
    </w:p>
    <w:p w14:paraId="41E62CC3">
      <w:pPr>
        <w:pStyle w:val="8"/>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此公告将在“京东拍卖”上进行发布，请各竞买人自行关注，网址为:https://auction.jd.com/bankrupt.html。</w:t>
      </w:r>
    </w:p>
    <w:p w14:paraId="00E262A0">
      <w:pPr>
        <w:pStyle w:val="8"/>
        <w:keepNext w:val="0"/>
        <w:keepLines w:val="0"/>
        <w:pageBreakBefore w:val="0"/>
        <w:shd w:val="clear" w:color="auto" w:fill="FFFFFF"/>
        <w:kinsoku/>
        <w:wordWrap/>
        <w:overflowPunct/>
        <w:topLinePunct w:val="0"/>
        <w:autoSpaceDE/>
        <w:autoSpaceDN/>
        <w:bidi w:val="0"/>
        <w:adjustRightInd/>
        <w:snapToGrid/>
        <w:spacing w:before="156" w:beforeLines="50" w:beforeAutospacing="0" w:after="0" w:afterAutospacing="0" w:line="360" w:lineRule="auto"/>
        <w:jc w:val="right"/>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福建鸿志兴股份有限公司管理人</w:t>
      </w:r>
    </w:p>
    <w:p w14:paraId="710B6C98">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b/>
          <w:bCs/>
          <w:sz w:val="24"/>
          <w:szCs w:val="24"/>
          <w:lang w:val="en-US" w:eastAsia="zh-CN"/>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5</w:t>
      </w:r>
      <w:r>
        <w:rPr>
          <w:rFonts w:hint="eastAsia" w:ascii="宋体" w:hAnsi="宋体" w:eastAsia="宋体" w:cs="宋体"/>
          <w:b/>
          <w:bCs/>
          <w:sz w:val="24"/>
          <w:szCs w:val="24"/>
          <w:lang w:eastAsia="zh-Hans"/>
        </w:rPr>
        <w:t>年</w:t>
      </w:r>
      <w:r>
        <w:rPr>
          <w:rFonts w:hint="eastAsia" w:cs="宋体"/>
          <w:b/>
          <w:bCs/>
          <w:sz w:val="24"/>
          <w:szCs w:val="24"/>
          <w:lang w:val="en-US" w:eastAsia="zh-CN"/>
        </w:rPr>
        <w:t>12</w:t>
      </w:r>
      <w:r>
        <w:rPr>
          <w:rFonts w:hint="eastAsia" w:ascii="宋体" w:hAnsi="宋体" w:eastAsia="宋体" w:cs="宋体"/>
          <w:b/>
          <w:bCs/>
          <w:sz w:val="24"/>
          <w:szCs w:val="24"/>
          <w:lang w:eastAsia="zh-Hans"/>
        </w:rPr>
        <w:t>月</w:t>
      </w:r>
      <w:r>
        <w:rPr>
          <w:rFonts w:hint="eastAsia" w:cs="宋体"/>
          <w:b/>
          <w:bCs/>
          <w:sz w:val="24"/>
          <w:szCs w:val="24"/>
          <w:lang w:val="en-US" w:eastAsia="zh-CN"/>
        </w:rPr>
        <w:t>12</w:t>
      </w:r>
      <w:bookmarkStart w:id="0" w:name="_GoBack"/>
      <w:bookmarkEnd w:id="0"/>
      <w:r>
        <w:rPr>
          <w:rFonts w:hint="eastAsia" w:ascii="宋体" w:hAnsi="宋体" w:eastAsia="宋体" w:cs="宋体"/>
          <w:b/>
          <w:bCs/>
          <w:sz w:val="24"/>
          <w:szCs w:val="24"/>
          <w:lang w:eastAsia="zh-Hans"/>
        </w:rPr>
        <w:t>日</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DejaVu Sans">
    <w:altName w:val="Times New Roman"/>
    <w:panose1 w:val="02020603050405020304"/>
    <w:charset w:val="00"/>
    <w:family w:val="roman"/>
    <w:pitch w:val="default"/>
    <w:sig w:usb0="00000000" w:usb1="00000000" w:usb2="00000008" w:usb3="00000000" w:csb0="000001FF" w:csb1="00000000"/>
  </w:font>
  <w:font w:name="苹方-简">
    <w:altName w:val="宋体"/>
    <w:panose1 w:val="020B0400000000000000"/>
    <w:charset w:val="86"/>
    <w:family w:val="auto"/>
    <w:pitch w:val="default"/>
    <w:sig w:usb0="00000000" w:usb1="00000000" w:usb2="00000017"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F015B">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86881">
                          <w:pPr>
                            <w:snapToGrid w:val="0"/>
                            <w:rPr>
                              <w:sz w:val="18"/>
                            </w:rPr>
                          </w:pPr>
                          <w:r>
                            <w:rPr>
                              <w:sz w:val="18"/>
                            </w:rPr>
                            <w:t>第</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页共</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8486881">
                    <w:pPr>
                      <w:snapToGrid w:val="0"/>
                      <w:rPr>
                        <w:sz w:val="18"/>
                      </w:rPr>
                    </w:pPr>
                    <w:r>
                      <w:rPr>
                        <w:sz w:val="18"/>
                      </w:rPr>
                      <w:t>第</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页共</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47E390"/>
    <w:multiLevelType w:val="singleLevel"/>
    <w:tmpl w:val="3647E390"/>
    <w:lvl w:ilvl="0" w:tentative="0">
      <w:start w:val="1"/>
      <w:numFmt w:val="decimal"/>
      <w:lvlText w:val="%1."/>
      <w:lvlJc w:val="left"/>
      <w:pPr>
        <w:tabs>
          <w:tab w:val="left" w:pos="312"/>
        </w:tabs>
      </w:pPr>
      <w:rPr>
        <w:rFonts w:hint="default"/>
        <w:highlight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D7E76BDA"/>
    <w:rsid w:val="00066E9D"/>
    <w:rsid w:val="000E459D"/>
    <w:rsid w:val="00137CBA"/>
    <w:rsid w:val="00143E6E"/>
    <w:rsid w:val="00155C71"/>
    <w:rsid w:val="0015615A"/>
    <w:rsid w:val="0018266E"/>
    <w:rsid w:val="001E2594"/>
    <w:rsid w:val="002220A9"/>
    <w:rsid w:val="00284E7F"/>
    <w:rsid w:val="002D7A08"/>
    <w:rsid w:val="00355F9D"/>
    <w:rsid w:val="00366871"/>
    <w:rsid w:val="003C6D91"/>
    <w:rsid w:val="003D193F"/>
    <w:rsid w:val="00456E2E"/>
    <w:rsid w:val="004F0537"/>
    <w:rsid w:val="00520131"/>
    <w:rsid w:val="0052142A"/>
    <w:rsid w:val="00526020"/>
    <w:rsid w:val="006053B9"/>
    <w:rsid w:val="00607351"/>
    <w:rsid w:val="00652376"/>
    <w:rsid w:val="006742CE"/>
    <w:rsid w:val="00693C51"/>
    <w:rsid w:val="00731243"/>
    <w:rsid w:val="00733D87"/>
    <w:rsid w:val="00743090"/>
    <w:rsid w:val="00786A68"/>
    <w:rsid w:val="007E1776"/>
    <w:rsid w:val="0080472A"/>
    <w:rsid w:val="00836A71"/>
    <w:rsid w:val="00893C16"/>
    <w:rsid w:val="008C53C7"/>
    <w:rsid w:val="00924FD3"/>
    <w:rsid w:val="009579D9"/>
    <w:rsid w:val="009714C8"/>
    <w:rsid w:val="009E15FC"/>
    <w:rsid w:val="009E426D"/>
    <w:rsid w:val="00A00205"/>
    <w:rsid w:val="00A14258"/>
    <w:rsid w:val="00A53A5E"/>
    <w:rsid w:val="00A7195B"/>
    <w:rsid w:val="00AB3E63"/>
    <w:rsid w:val="00B160F1"/>
    <w:rsid w:val="00B26C2E"/>
    <w:rsid w:val="00B90558"/>
    <w:rsid w:val="00BC21CE"/>
    <w:rsid w:val="00BC5A6C"/>
    <w:rsid w:val="00C2652A"/>
    <w:rsid w:val="00C72727"/>
    <w:rsid w:val="00C970B0"/>
    <w:rsid w:val="00D93B2D"/>
    <w:rsid w:val="00DF3AF7"/>
    <w:rsid w:val="00E62A34"/>
    <w:rsid w:val="00EC4434"/>
    <w:rsid w:val="00EF1AAC"/>
    <w:rsid w:val="00F20EB9"/>
    <w:rsid w:val="019404F8"/>
    <w:rsid w:val="04E046C9"/>
    <w:rsid w:val="0589724D"/>
    <w:rsid w:val="05A806B4"/>
    <w:rsid w:val="07FF711B"/>
    <w:rsid w:val="09902068"/>
    <w:rsid w:val="0A273556"/>
    <w:rsid w:val="0ABD793F"/>
    <w:rsid w:val="0CA3423D"/>
    <w:rsid w:val="0D884979"/>
    <w:rsid w:val="0E5B7EAE"/>
    <w:rsid w:val="0F1FD510"/>
    <w:rsid w:val="0F7E0A02"/>
    <w:rsid w:val="0FC557FF"/>
    <w:rsid w:val="11B533C0"/>
    <w:rsid w:val="13D40031"/>
    <w:rsid w:val="147FC9DE"/>
    <w:rsid w:val="14F61AFC"/>
    <w:rsid w:val="152903E2"/>
    <w:rsid w:val="1787048B"/>
    <w:rsid w:val="19320305"/>
    <w:rsid w:val="1B510F70"/>
    <w:rsid w:val="1D392227"/>
    <w:rsid w:val="1DFF2DB6"/>
    <w:rsid w:val="1E3FBCAD"/>
    <w:rsid w:val="1EFB953A"/>
    <w:rsid w:val="1F327D1B"/>
    <w:rsid w:val="1FFFE394"/>
    <w:rsid w:val="20471B98"/>
    <w:rsid w:val="207D242B"/>
    <w:rsid w:val="21436EFA"/>
    <w:rsid w:val="236D0FAD"/>
    <w:rsid w:val="25757C49"/>
    <w:rsid w:val="26A05587"/>
    <w:rsid w:val="26A25800"/>
    <w:rsid w:val="273806A9"/>
    <w:rsid w:val="27EBA437"/>
    <w:rsid w:val="28053F16"/>
    <w:rsid w:val="2B7B381D"/>
    <w:rsid w:val="2BF71892"/>
    <w:rsid w:val="2C35005E"/>
    <w:rsid w:val="2C9E7C4B"/>
    <w:rsid w:val="2D627A2F"/>
    <w:rsid w:val="2DBD60D6"/>
    <w:rsid w:val="2DC9356B"/>
    <w:rsid w:val="2E46EA2C"/>
    <w:rsid w:val="30E3277E"/>
    <w:rsid w:val="317C04DD"/>
    <w:rsid w:val="33D838CD"/>
    <w:rsid w:val="33FF934B"/>
    <w:rsid w:val="355F0F7C"/>
    <w:rsid w:val="3656589A"/>
    <w:rsid w:val="36FC55E5"/>
    <w:rsid w:val="373E2EBB"/>
    <w:rsid w:val="373FC7EB"/>
    <w:rsid w:val="375DBAE9"/>
    <w:rsid w:val="37795B05"/>
    <w:rsid w:val="37FF0F28"/>
    <w:rsid w:val="389D76B7"/>
    <w:rsid w:val="38E12F18"/>
    <w:rsid w:val="39385474"/>
    <w:rsid w:val="3BEF72D5"/>
    <w:rsid w:val="3BF446EB"/>
    <w:rsid w:val="3BFE294F"/>
    <w:rsid w:val="3D180148"/>
    <w:rsid w:val="3D5768EF"/>
    <w:rsid w:val="3DA5B3C0"/>
    <w:rsid w:val="3DDF67C8"/>
    <w:rsid w:val="3ED956A0"/>
    <w:rsid w:val="3F3B6E6A"/>
    <w:rsid w:val="3F7F6EFF"/>
    <w:rsid w:val="3F9BEFAC"/>
    <w:rsid w:val="3FD51E28"/>
    <w:rsid w:val="3FD75090"/>
    <w:rsid w:val="41432B51"/>
    <w:rsid w:val="42A71E54"/>
    <w:rsid w:val="438F7409"/>
    <w:rsid w:val="43A331D5"/>
    <w:rsid w:val="43CD724E"/>
    <w:rsid w:val="44683656"/>
    <w:rsid w:val="456473A2"/>
    <w:rsid w:val="45DD2FDA"/>
    <w:rsid w:val="466A4F31"/>
    <w:rsid w:val="475C48E8"/>
    <w:rsid w:val="48D118F2"/>
    <w:rsid w:val="49527C3E"/>
    <w:rsid w:val="4A406215"/>
    <w:rsid w:val="4BBF0A0E"/>
    <w:rsid w:val="4BFFCB49"/>
    <w:rsid w:val="4D1A2E9B"/>
    <w:rsid w:val="4F277D2D"/>
    <w:rsid w:val="4F7723A1"/>
    <w:rsid w:val="4FE61784"/>
    <w:rsid w:val="50DE683E"/>
    <w:rsid w:val="55C948A5"/>
    <w:rsid w:val="56757125"/>
    <w:rsid w:val="567BE45E"/>
    <w:rsid w:val="57800EEE"/>
    <w:rsid w:val="58405C50"/>
    <w:rsid w:val="5A9E108A"/>
    <w:rsid w:val="5B1E79B9"/>
    <w:rsid w:val="5B2F5336"/>
    <w:rsid w:val="5E6C7060"/>
    <w:rsid w:val="5E6FAB8F"/>
    <w:rsid w:val="5EC91D9C"/>
    <w:rsid w:val="5F7F143E"/>
    <w:rsid w:val="5FFF0337"/>
    <w:rsid w:val="60025678"/>
    <w:rsid w:val="614BEEDE"/>
    <w:rsid w:val="614C4B7F"/>
    <w:rsid w:val="6247CE55"/>
    <w:rsid w:val="627E3621"/>
    <w:rsid w:val="63D61C77"/>
    <w:rsid w:val="63DFF43E"/>
    <w:rsid w:val="64BE382A"/>
    <w:rsid w:val="65181CEF"/>
    <w:rsid w:val="670075D5"/>
    <w:rsid w:val="67458C6F"/>
    <w:rsid w:val="67526882"/>
    <w:rsid w:val="67B6AAA0"/>
    <w:rsid w:val="67F314C7"/>
    <w:rsid w:val="690D74AB"/>
    <w:rsid w:val="69C46485"/>
    <w:rsid w:val="6A083A02"/>
    <w:rsid w:val="6A43417C"/>
    <w:rsid w:val="6AA77F44"/>
    <w:rsid w:val="6BFB83ED"/>
    <w:rsid w:val="6C616CD6"/>
    <w:rsid w:val="6D5F580B"/>
    <w:rsid w:val="6F0A61CD"/>
    <w:rsid w:val="6F8A5A5E"/>
    <w:rsid w:val="6FFE096E"/>
    <w:rsid w:val="706F28DE"/>
    <w:rsid w:val="71E70040"/>
    <w:rsid w:val="72370ABC"/>
    <w:rsid w:val="72DB7F88"/>
    <w:rsid w:val="74BB4001"/>
    <w:rsid w:val="74DB37CA"/>
    <w:rsid w:val="755CD439"/>
    <w:rsid w:val="75BEE139"/>
    <w:rsid w:val="75DEAED2"/>
    <w:rsid w:val="76494741"/>
    <w:rsid w:val="76672FC8"/>
    <w:rsid w:val="76BB50CB"/>
    <w:rsid w:val="76F73798"/>
    <w:rsid w:val="77692218"/>
    <w:rsid w:val="776F27B3"/>
    <w:rsid w:val="77E77D83"/>
    <w:rsid w:val="77FF5472"/>
    <w:rsid w:val="78600B26"/>
    <w:rsid w:val="79597C6D"/>
    <w:rsid w:val="7A6780C2"/>
    <w:rsid w:val="7AD97771"/>
    <w:rsid w:val="7AF38EBD"/>
    <w:rsid w:val="7B9EB0A9"/>
    <w:rsid w:val="7BBEABE4"/>
    <w:rsid w:val="7BBF0930"/>
    <w:rsid w:val="7BC21EC7"/>
    <w:rsid w:val="7BDBAA11"/>
    <w:rsid w:val="7BDF0017"/>
    <w:rsid w:val="7BF7958D"/>
    <w:rsid w:val="7BFDFF41"/>
    <w:rsid w:val="7BFF22CE"/>
    <w:rsid w:val="7DD7168B"/>
    <w:rsid w:val="7DDB960C"/>
    <w:rsid w:val="7DFD0C23"/>
    <w:rsid w:val="7E1FA71B"/>
    <w:rsid w:val="7E327526"/>
    <w:rsid w:val="7EAF4417"/>
    <w:rsid w:val="7EBFF193"/>
    <w:rsid w:val="7EDB5E10"/>
    <w:rsid w:val="7EEF92EE"/>
    <w:rsid w:val="7EFFCA9E"/>
    <w:rsid w:val="7F7B6515"/>
    <w:rsid w:val="7FA7E382"/>
    <w:rsid w:val="7FAF12F2"/>
    <w:rsid w:val="7FB33F5B"/>
    <w:rsid w:val="7FB5DEB8"/>
    <w:rsid w:val="7FBB27DA"/>
    <w:rsid w:val="7FDEE7F4"/>
    <w:rsid w:val="7FE978E1"/>
    <w:rsid w:val="7FF3A0EA"/>
    <w:rsid w:val="7FF7DD3A"/>
    <w:rsid w:val="7FF7E49E"/>
    <w:rsid w:val="7FFB31BF"/>
    <w:rsid w:val="7FFD379C"/>
    <w:rsid w:val="91BF8C99"/>
    <w:rsid w:val="98BF33BC"/>
    <w:rsid w:val="9DDF1901"/>
    <w:rsid w:val="A4FF9C5D"/>
    <w:rsid w:val="A77F7700"/>
    <w:rsid w:val="ABBEA1D5"/>
    <w:rsid w:val="ADF7AC2C"/>
    <w:rsid w:val="B1B7F0A0"/>
    <w:rsid w:val="B57F2AAC"/>
    <w:rsid w:val="B585C3CC"/>
    <w:rsid w:val="B5FE910C"/>
    <w:rsid w:val="B9AFBF52"/>
    <w:rsid w:val="B9EF6C00"/>
    <w:rsid w:val="BB3F0A90"/>
    <w:rsid w:val="BCFDF526"/>
    <w:rsid w:val="BDFB263A"/>
    <w:rsid w:val="BEFFF2F8"/>
    <w:rsid w:val="BFBB8328"/>
    <w:rsid w:val="BFBF023C"/>
    <w:rsid w:val="BFFDEAA8"/>
    <w:rsid w:val="C3CEB63D"/>
    <w:rsid w:val="CBFFF971"/>
    <w:rsid w:val="CEE5F206"/>
    <w:rsid w:val="CF35AED6"/>
    <w:rsid w:val="CFED9CB2"/>
    <w:rsid w:val="CFFDEA9C"/>
    <w:rsid w:val="D06D587E"/>
    <w:rsid w:val="D4F93073"/>
    <w:rsid w:val="D5F7062D"/>
    <w:rsid w:val="D7E76BDA"/>
    <w:rsid w:val="D947571A"/>
    <w:rsid w:val="D9777041"/>
    <w:rsid w:val="DBFDB0F5"/>
    <w:rsid w:val="DCFFF554"/>
    <w:rsid w:val="DF7AE07B"/>
    <w:rsid w:val="DFD70815"/>
    <w:rsid w:val="DFF98CB1"/>
    <w:rsid w:val="DFFD9688"/>
    <w:rsid w:val="E37F34C5"/>
    <w:rsid w:val="E7FF86BD"/>
    <w:rsid w:val="EEBFE07B"/>
    <w:rsid w:val="EECD1A5F"/>
    <w:rsid w:val="F3F332AC"/>
    <w:rsid w:val="F4760623"/>
    <w:rsid w:val="F4DFE589"/>
    <w:rsid w:val="F4F78382"/>
    <w:rsid w:val="F5DFCEC9"/>
    <w:rsid w:val="F67A289D"/>
    <w:rsid w:val="F761043B"/>
    <w:rsid w:val="F7DFB540"/>
    <w:rsid w:val="F7E7C085"/>
    <w:rsid w:val="F85AA150"/>
    <w:rsid w:val="F97F488C"/>
    <w:rsid w:val="F9FBEF7F"/>
    <w:rsid w:val="FB4F4AB0"/>
    <w:rsid w:val="FB550E1E"/>
    <w:rsid w:val="FB6DBBE9"/>
    <w:rsid w:val="FBBBDCF7"/>
    <w:rsid w:val="FBD3A07F"/>
    <w:rsid w:val="FBF96EAB"/>
    <w:rsid w:val="FC3FBF46"/>
    <w:rsid w:val="FD77A459"/>
    <w:rsid w:val="FDBBE4F1"/>
    <w:rsid w:val="FDCF83BC"/>
    <w:rsid w:val="FDD73015"/>
    <w:rsid w:val="FDDD2E1B"/>
    <w:rsid w:val="FDF908FE"/>
    <w:rsid w:val="FE77023C"/>
    <w:rsid w:val="FE979775"/>
    <w:rsid w:val="FEDFD793"/>
    <w:rsid w:val="FEEB7A23"/>
    <w:rsid w:val="FEEBAC06"/>
    <w:rsid w:val="FF7F1971"/>
    <w:rsid w:val="FFA33B13"/>
    <w:rsid w:val="FFAF8028"/>
    <w:rsid w:val="FFDDB6EE"/>
    <w:rsid w:val="FFE757FE"/>
    <w:rsid w:val="FFFFC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kern w:val="0"/>
      <w:szCs w:val="20"/>
    </w:rPr>
  </w:style>
  <w:style w:type="paragraph" w:styleId="3">
    <w:name w:val="annotation text"/>
    <w:basedOn w:val="1"/>
    <w:link w:val="16"/>
    <w:qFormat/>
    <w:uiPriority w:val="0"/>
    <w:pPr>
      <w:jc w:val="left"/>
    </w:pPr>
  </w:style>
  <w:style w:type="paragraph" w:styleId="4">
    <w:name w:val="Body Text Indent"/>
    <w:basedOn w:val="1"/>
    <w:qFormat/>
    <w:uiPriority w:val="0"/>
    <w:pPr>
      <w:ind w:firstLine="463"/>
    </w:pPr>
    <w:rPr>
      <w:rFonts w:ascii="Times New Roman" w:hAnsi="Times New Roman" w:eastAsia="宋体" w:cs="Times New Roman"/>
      <w:sz w:val="22"/>
      <w:szCs w:val="20"/>
    </w:rPr>
  </w:style>
  <w:style w:type="paragraph" w:styleId="5">
    <w:name w:val="Balloon Text"/>
    <w:basedOn w:val="1"/>
    <w:link w:val="2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3"/>
    <w:next w:val="3"/>
    <w:link w:val="17"/>
    <w:qFormat/>
    <w:uiPriority w:val="0"/>
    <w:rPr>
      <w:b/>
      <w:bCs/>
    </w:rPr>
  </w:style>
  <w:style w:type="paragraph" w:styleId="10">
    <w:name w:val="Body Text First Indent 2"/>
    <w:basedOn w:val="4"/>
    <w:unhideWhenUsed/>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qFormat/>
    <w:uiPriority w:val="0"/>
    <w:rPr>
      <w:sz w:val="21"/>
      <w:szCs w:val="21"/>
    </w:rPr>
  </w:style>
  <w:style w:type="paragraph" w:customStyle="1" w:styleId="15">
    <w:name w:val="列表段落1"/>
    <w:basedOn w:val="1"/>
    <w:qFormat/>
    <w:uiPriority w:val="34"/>
    <w:pPr>
      <w:ind w:firstLine="420" w:firstLineChars="200"/>
    </w:pPr>
  </w:style>
  <w:style w:type="character" w:customStyle="1" w:styleId="16">
    <w:name w:val="批注文字 字符"/>
    <w:basedOn w:val="13"/>
    <w:link w:val="3"/>
    <w:qFormat/>
    <w:uiPriority w:val="0"/>
    <w:rPr>
      <w:kern w:val="2"/>
      <w:sz w:val="21"/>
      <w:szCs w:val="24"/>
    </w:rPr>
  </w:style>
  <w:style w:type="character" w:customStyle="1" w:styleId="17">
    <w:name w:val="批注主题 字符"/>
    <w:basedOn w:val="16"/>
    <w:link w:val="9"/>
    <w:qFormat/>
    <w:uiPriority w:val="0"/>
    <w:rPr>
      <w:b/>
      <w:bCs/>
      <w:kern w:val="2"/>
      <w:sz w:val="21"/>
      <w:szCs w:val="24"/>
    </w:rPr>
  </w:style>
  <w:style w:type="paragraph" w:customStyle="1" w:styleId="18">
    <w:name w:val="列表段落2"/>
    <w:basedOn w:val="1"/>
    <w:qFormat/>
    <w:uiPriority w:val="99"/>
    <w:pPr>
      <w:ind w:firstLine="420" w:firstLineChars="200"/>
    </w:pPr>
  </w:style>
  <w:style w:type="paragraph" w:customStyle="1" w:styleId="19">
    <w:name w:val="列表段落3"/>
    <w:basedOn w:val="1"/>
    <w:qFormat/>
    <w:uiPriority w:val="99"/>
    <w:pPr>
      <w:ind w:firstLine="420" w:firstLineChars="200"/>
    </w:pPr>
  </w:style>
  <w:style w:type="paragraph" w:customStyle="1" w:styleId="20">
    <w:name w:val="doc-a"/>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1">
    <w:name w:val="批注框文本 字符"/>
    <w:basedOn w:val="13"/>
    <w:link w:val="5"/>
    <w:qFormat/>
    <w:uiPriority w:val="0"/>
    <w:rPr>
      <w:rFonts w:asciiTheme="minorHAnsi" w:hAnsiTheme="minorHAnsi" w:eastAsiaTheme="minorEastAsia" w:cstheme="minorBidi"/>
      <w:kern w:val="2"/>
      <w:sz w:val="18"/>
      <w:szCs w:val="18"/>
    </w:rPr>
  </w:style>
  <w:style w:type="character" w:customStyle="1" w:styleId="22">
    <w:name w:val="font21"/>
    <w:basedOn w:val="13"/>
    <w:qFormat/>
    <w:uiPriority w:val="0"/>
    <w:rPr>
      <w:rFonts w:hint="eastAsia" w:ascii="仿宋" w:hAnsi="仿宋" w:eastAsia="仿宋" w:cs="仿宋"/>
      <w:color w:val="000000"/>
      <w:sz w:val="18"/>
      <w:szCs w:val="18"/>
      <w:u w:val="none"/>
    </w:rPr>
  </w:style>
  <w:style w:type="character" w:customStyle="1" w:styleId="23">
    <w:name w:val="font51"/>
    <w:basedOn w:val="13"/>
    <w:qFormat/>
    <w:uiPriority w:val="0"/>
    <w:rPr>
      <w:rFonts w:ascii="Arial" w:hAnsi="Arial" w:cs="Arial"/>
      <w:color w:val="000000"/>
      <w:sz w:val="20"/>
      <w:szCs w:val="20"/>
      <w:u w:val="none"/>
    </w:rPr>
  </w:style>
  <w:style w:type="character" w:customStyle="1" w:styleId="24">
    <w:name w:val="font4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5030</Words>
  <Characters>5897</Characters>
  <Lines>27</Lines>
  <Paragraphs>7</Paragraphs>
  <TotalTime>26</TotalTime>
  <ScaleCrop>false</ScaleCrop>
  <LinksUpToDate>false</LinksUpToDate>
  <CharactersWithSpaces>5940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2021-12-03T14:55:00Z</dcterms:created>
  <dc:creator>zxq</dc:creator>
  <cp:lastModifiedBy>ZHAN YUANZHI</cp:lastModifiedBy>
  <dcterms:modified xsi:type="dcterms:W3CDTF">2025-12-12T07:22:10Z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E3D1FED48A07FE3239E3A6626343DABD</vt:lpwstr>
  </property>
  <property fmtid="{D5CDD505-2E9C-101B-9397-08002B2CF9AE}" pid="4" name="KSOTemplateDocerSaveRecord">
    <vt:lpwstr>eyJoZGlkIjoiMzEwNTM5NzYwMDRjMzkwZTVkZjY2ODkwMGIxNGU0OTUiLCJ1c2VySWQiOiIzNTAxMjk4NDIifQ==</vt:lpwstr>
  </property>
</Properties>
</file>