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F1E3B">
      <w:pPr>
        <w:wordWrap w:val="0"/>
        <w:spacing w:before="156" w:beforeLines="50" w:after="156" w:afterLines="50" w:line="578" w:lineRule="exact"/>
        <w:jc w:val="center"/>
        <w:rPr>
          <w:rFonts w:ascii="Times New Roman" w:hAnsi="Times New Roman" w:eastAsia="仿宋" w:cs="Times New Roman"/>
          <w:b/>
          <w:bCs/>
          <w:sz w:val="44"/>
          <w:szCs w:val="44"/>
        </w:rPr>
      </w:pPr>
      <w:bookmarkStart w:id="0" w:name="_GoBack"/>
      <w:bookmarkEnd w:id="0"/>
      <w:r>
        <w:rPr>
          <w:rFonts w:ascii="Times New Roman" w:hAnsi="Times New Roman" w:eastAsia="仿宋" w:cs="Times New Roman"/>
          <w:b/>
          <w:bCs/>
          <w:sz w:val="44"/>
          <w:szCs w:val="44"/>
        </w:rPr>
        <w:t>北京浩龙耀航空服务有限公司清算</w:t>
      </w:r>
      <w:r>
        <w:rPr>
          <w:rFonts w:hint="eastAsia" w:ascii="Times New Roman" w:hAnsi="Times New Roman" w:eastAsia="仿宋" w:cs="Times New Roman"/>
          <w:b/>
          <w:bCs/>
          <w:sz w:val="44"/>
          <w:szCs w:val="44"/>
        </w:rPr>
        <w:t>组</w:t>
      </w:r>
    </w:p>
    <w:p w14:paraId="69378FC7">
      <w:pPr>
        <w:wordWrap w:val="0"/>
        <w:spacing w:before="156" w:beforeLines="50" w:after="156" w:afterLines="50" w:line="578" w:lineRule="exact"/>
        <w:jc w:val="center"/>
        <w:rPr>
          <w:rFonts w:ascii="Times New Roman" w:hAnsi="Times New Roman" w:eastAsia="仿宋" w:cs="Times New Roman"/>
          <w:b/>
          <w:bCs/>
          <w:sz w:val="28"/>
          <w:szCs w:val="28"/>
        </w:rPr>
      </w:pPr>
      <w:r>
        <w:rPr>
          <w:rFonts w:ascii="Times New Roman" w:hAnsi="Times New Roman" w:eastAsia="仿宋" w:cs="Times New Roman"/>
          <w:b/>
          <w:bCs/>
          <w:sz w:val="44"/>
          <w:szCs w:val="44"/>
        </w:rPr>
        <w:t>清算报告</w:t>
      </w:r>
    </w:p>
    <w:p w14:paraId="1393B70A">
      <w:pPr>
        <w:wordWrap w:val="0"/>
        <w:spacing w:before="780" w:beforeLines="250" w:after="156" w:afterLines="50" w:line="578" w:lineRule="exact"/>
        <w:rPr>
          <w:rFonts w:ascii="Times New Roman" w:hAnsi="Times New Roman" w:eastAsia="仿宋" w:cs="Times New Roman"/>
          <w:b/>
          <w:sz w:val="32"/>
          <w:szCs w:val="32"/>
        </w:rPr>
      </w:pPr>
      <w:r>
        <w:rPr>
          <w:rFonts w:ascii="Times New Roman" w:hAnsi="Times New Roman" w:eastAsia="仿宋" w:cs="Times New Roman"/>
          <w:b/>
          <w:sz w:val="32"/>
          <w:szCs w:val="32"/>
        </w:rPr>
        <w:t>北京市第一中级人民法院：</w:t>
      </w:r>
    </w:p>
    <w:p w14:paraId="24E1A3C5">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申请人北京浩龙耀商贸有限责任公司（以下简称“</w:t>
      </w:r>
      <w:r>
        <w:rPr>
          <w:rFonts w:ascii="Times New Roman" w:hAnsi="Times New Roman" w:eastAsia="仿宋" w:cs="Times New Roman"/>
          <w:b/>
          <w:bCs/>
          <w:sz w:val="32"/>
          <w:szCs w:val="32"/>
        </w:rPr>
        <w:t>浩龙耀商贸公司</w:t>
      </w:r>
      <w:r>
        <w:rPr>
          <w:rFonts w:ascii="Times New Roman" w:hAnsi="Times New Roman" w:eastAsia="仿宋" w:cs="Times New Roman"/>
          <w:sz w:val="32"/>
          <w:szCs w:val="32"/>
        </w:rPr>
        <w:t>”）以被申请人北京浩龙耀航空服务有限公司（以下简称“</w:t>
      </w:r>
      <w:r>
        <w:rPr>
          <w:rFonts w:ascii="Times New Roman" w:hAnsi="Times New Roman" w:eastAsia="仿宋" w:cs="Times New Roman"/>
          <w:b/>
          <w:bCs/>
          <w:sz w:val="32"/>
          <w:szCs w:val="32"/>
        </w:rPr>
        <w:t>债务人</w:t>
      </w:r>
      <w:r>
        <w:rPr>
          <w:rFonts w:ascii="Times New Roman" w:hAnsi="Times New Roman" w:eastAsia="仿宋" w:cs="Times New Roman"/>
          <w:sz w:val="32"/>
          <w:szCs w:val="32"/>
        </w:rPr>
        <w:t>”）被吊销营业执照后，未在法定时间内自行成立清算组进行清算为由，以股东身份向北京市第一中级人民法院申请指定清算组对债务人进行强制清算。</w:t>
      </w:r>
    </w:p>
    <w:p w14:paraId="7F548BB0">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2025年8月26日，北京市第一中级人民法院（以下简称“</w:t>
      </w:r>
      <w:r>
        <w:rPr>
          <w:rFonts w:ascii="Times New Roman" w:hAnsi="Times New Roman" w:eastAsia="仿宋" w:cs="Times New Roman"/>
          <w:b/>
          <w:bCs/>
          <w:sz w:val="32"/>
          <w:szCs w:val="32"/>
        </w:rPr>
        <w:t>北京一中院</w:t>
      </w:r>
      <w:r>
        <w:rPr>
          <w:rFonts w:ascii="Times New Roman" w:hAnsi="Times New Roman" w:eastAsia="仿宋" w:cs="Times New Roman"/>
          <w:sz w:val="32"/>
          <w:szCs w:val="32"/>
        </w:rPr>
        <w:t>”）作出（2025）京01清申386号《民事裁定书》，裁定受理浩龙耀商贸公司对债务人的强制清算申请（以下简称“</w:t>
      </w:r>
      <w:r>
        <w:rPr>
          <w:rFonts w:ascii="Times New Roman" w:hAnsi="Times New Roman" w:eastAsia="仿宋" w:cs="Times New Roman"/>
          <w:b/>
          <w:bCs/>
          <w:sz w:val="32"/>
          <w:szCs w:val="32"/>
        </w:rPr>
        <w:t>本案</w:t>
      </w:r>
      <w:r>
        <w:rPr>
          <w:rFonts w:ascii="Times New Roman" w:hAnsi="Times New Roman" w:eastAsia="仿宋" w:cs="Times New Roman"/>
          <w:sz w:val="32"/>
          <w:szCs w:val="32"/>
        </w:rPr>
        <w:t>”）。2025年9月10日，北京一中院作出（2025）京01强清214号《决定书》，指定北京市嘉逸田破产事务咨询服务有限公司担任北京浩龙耀航空服务有限公司清算组（以下简称“</w:t>
      </w:r>
      <w:r>
        <w:rPr>
          <w:rFonts w:ascii="Times New Roman" w:hAnsi="Times New Roman" w:eastAsia="仿宋" w:cs="Times New Roman"/>
          <w:b/>
          <w:bCs/>
          <w:sz w:val="32"/>
          <w:szCs w:val="32"/>
        </w:rPr>
        <w:t>清算组</w:t>
      </w:r>
      <w:r>
        <w:rPr>
          <w:rFonts w:ascii="Times New Roman" w:hAnsi="Times New Roman" w:eastAsia="仿宋" w:cs="Times New Roman"/>
          <w:sz w:val="32"/>
          <w:szCs w:val="32"/>
        </w:rPr>
        <w:t>”）。</w:t>
      </w:r>
    </w:p>
    <w:p w14:paraId="697FD7F2">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本清算组接受指定后，即勤勉忠实地履行了清算组职责，现将有关履行职务的情况报告如下：</w:t>
      </w:r>
    </w:p>
    <w:p w14:paraId="688C463D">
      <w:pPr>
        <w:numPr>
          <w:ilvl w:val="0"/>
          <w:numId w:val="1"/>
        </w:numPr>
        <w:wordWrap w:val="0"/>
        <w:spacing w:before="156" w:beforeLines="50" w:after="156" w:afterLines="50" w:line="578" w:lineRule="exact"/>
        <w:ind w:firstLine="0"/>
        <w:jc w:val="left"/>
        <w:rPr>
          <w:rFonts w:ascii="Times New Roman" w:hAnsi="Times New Roman" w:eastAsia="仿宋" w:cs="Times New Roman"/>
          <w:b/>
          <w:bCs/>
          <w:sz w:val="32"/>
          <w:szCs w:val="32"/>
        </w:rPr>
      </w:pPr>
      <w:r>
        <w:rPr>
          <w:rFonts w:ascii="Times New Roman" w:hAnsi="Times New Roman" w:eastAsia="仿宋" w:cs="Times New Roman"/>
          <w:b/>
          <w:bCs/>
          <w:sz w:val="32"/>
          <w:szCs w:val="32"/>
        </w:rPr>
        <w:t>债务人基本情况</w:t>
      </w:r>
    </w:p>
    <w:p w14:paraId="686F7E81">
      <w:pPr>
        <w:numPr>
          <w:ilvl w:val="0"/>
          <w:numId w:val="2"/>
        </w:numPr>
        <w:wordWrap w:val="0"/>
        <w:overflowPunct w:val="0"/>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rPr>
        <w:t>工商基本情况</w:t>
      </w:r>
    </w:p>
    <w:p w14:paraId="18550DBB">
      <w:pPr>
        <w:numPr>
          <w:ilvl w:val="255"/>
          <w:numId w:val="0"/>
        </w:numPr>
        <w:wordWrap w:val="0"/>
        <w:spacing w:before="156" w:beforeLines="50" w:after="156" w:afterLines="50" w:line="578"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债务人</w:t>
      </w:r>
      <w:r>
        <w:rPr>
          <w:rFonts w:ascii="Times New Roman" w:hAnsi="Times New Roman" w:eastAsia="仿宋" w:cs="Times New Roman"/>
          <w:sz w:val="32"/>
          <w:szCs w:val="32"/>
          <w:lang w:val="zh-CN"/>
        </w:rPr>
        <w:t>于</w:t>
      </w:r>
      <w:r>
        <w:rPr>
          <w:rFonts w:ascii="Times New Roman" w:hAnsi="Times New Roman" w:eastAsia="仿宋" w:cs="Times New Roman"/>
          <w:sz w:val="32"/>
          <w:szCs w:val="32"/>
        </w:rPr>
        <w:t>2004年5月24日成立，登记机关为北京市工商行政管理局西城分局（现北京市西城区市场监督管理局）登记成立，企业性质为其他有限责任公司，住所地为北京市宣武区南滨河路23号（立恒名苑3号楼首层），</w:t>
      </w:r>
      <w:r>
        <w:rPr>
          <w:rFonts w:ascii="Times New Roman" w:hAnsi="Times New Roman" w:eastAsia="仿宋" w:cs="Times New Roman"/>
          <w:sz w:val="32"/>
          <w:szCs w:val="32"/>
          <w:lang w:val="zh-CN"/>
        </w:rPr>
        <w:t>注册资本为</w:t>
      </w:r>
      <w:r>
        <w:rPr>
          <w:rFonts w:ascii="Times New Roman" w:hAnsi="Times New Roman" w:eastAsia="仿宋" w:cs="Times New Roman"/>
          <w:sz w:val="32"/>
          <w:szCs w:val="32"/>
        </w:rPr>
        <w:t>100</w:t>
      </w:r>
      <w:r>
        <w:rPr>
          <w:rFonts w:ascii="Times New Roman" w:hAnsi="Times New Roman" w:eastAsia="仿宋" w:cs="Times New Roman"/>
          <w:sz w:val="32"/>
          <w:szCs w:val="32"/>
          <w:lang w:val="zh-CN"/>
        </w:rPr>
        <w:t>万元人民币，</w:t>
      </w:r>
      <w:r>
        <w:rPr>
          <w:rFonts w:ascii="Times New Roman" w:hAnsi="Times New Roman" w:eastAsia="仿宋" w:cs="Times New Roman"/>
          <w:sz w:val="32"/>
          <w:szCs w:val="32"/>
        </w:rPr>
        <w:t>现法定代表人为史晓影，</w:t>
      </w:r>
      <w:r>
        <w:rPr>
          <w:rFonts w:ascii="Times New Roman" w:hAnsi="Times New Roman" w:eastAsia="仿宋" w:cs="Times New Roman"/>
          <w:sz w:val="32"/>
          <w:szCs w:val="32"/>
          <w:lang w:val="zh-CN"/>
        </w:rPr>
        <w:t>企业</w:t>
      </w:r>
      <w:r>
        <w:rPr>
          <w:rFonts w:ascii="Times New Roman" w:hAnsi="Times New Roman" w:eastAsia="仿宋" w:cs="Times New Roman"/>
          <w:sz w:val="32"/>
          <w:szCs w:val="32"/>
        </w:rPr>
        <w:t>登记</w:t>
      </w:r>
      <w:r>
        <w:rPr>
          <w:rFonts w:ascii="Times New Roman" w:hAnsi="Times New Roman" w:eastAsia="仿宋" w:cs="Times New Roman"/>
          <w:sz w:val="32"/>
          <w:szCs w:val="32"/>
          <w:lang w:val="zh-CN"/>
        </w:rPr>
        <w:t>状态为</w:t>
      </w:r>
      <w:r>
        <w:rPr>
          <w:rFonts w:hint="eastAsia" w:ascii="Times New Roman" w:hAnsi="Times New Roman" w:eastAsia="仿宋" w:cs="Times New Roman"/>
          <w:sz w:val="32"/>
          <w:szCs w:val="32"/>
        </w:rPr>
        <w:t>已</w:t>
      </w:r>
      <w:r>
        <w:rPr>
          <w:rFonts w:ascii="Times New Roman" w:hAnsi="Times New Roman" w:eastAsia="仿宋" w:cs="Times New Roman"/>
          <w:sz w:val="32"/>
          <w:szCs w:val="32"/>
        </w:rPr>
        <w:t>吊销</w:t>
      </w:r>
      <w:r>
        <w:rPr>
          <w:rFonts w:ascii="Times New Roman" w:hAnsi="Times New Roman" w:eastAsia="仿宋" w:cs="Times New Roman"/>
          <w:sz w:val="32"/>
          <w:szCs w:val="32"/>
          <w:lang w:val="zh-CN"/>
        </w:rPr>
        <w:t>。</w:t>
      </w:r>
    </w:p>
    <w:p w14:paraId="11FC83DF">
      <w:pPr>
        <w:numPr>
          <w:ilvl w:val="0"/>
          <w:numId w:val="2"/>
        </w:numPr>
        <w:wordWrap w:val="0"/>
        <w:overflowPunct w:val="0"/>
        <w:spacing w:before="156" w:beforeLines="50" w:after="156" w:afterLines="50" w:line="578"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工商变更情况</w:t>
      </w:r>
    </w:p>
    <w:p w14:paraId="1F5BB9B0">
      <w:pPr>
        <w:numPr>
          <w:ilvl w:val="0"/>
          <w:numId w:val="3"/>
        </w:numPr>
        <w:wordWrap w:val="0"/>
        <w:spacing w:before="156" w:beforeLines="50" w:after="156" w:afterLines="50" w:line="578" w:lineRule="exact"/>
        <w:ind w:left="0" w:firstLine="640" w:firstLineChars="200"/>
        <w:rPr>
          <w:rFonts w:ascii="Times New Roman" w:hAnsi="Times New Roman" w:eastAsia="仿宋" w:cs="Times New Roman"/>
          <w:sz w:val="32"/>
          <w:szCs w:val="32"/>
          <w:lang w:val="zh-CN"/>
        </w:rPr>
      </w:pPr>
      <w:r>
        <w:rPr>
          <w:rFonts w:hint="eastAsia" w:ascii="Times New Roman" w:hAnsi="Times New Roman" w:eastAsia="仿宋" w:cs="Times New Roman"/>
          <w:sz w:val="32"/>
          <w:szCs w:val="32"/>
          <w:lang w:val="zh-CN"/>
        </w:rPr>
        <w:t>2004年5月24日，</w:t>
      </w:r>
      <w:r>
        <w:rPr>
          <w:rFonts w:ascii="Times New Roman" w:hAnsi="Times New Roman" w:eastAsia="仿宋" w:cs="Times New Roman"/>
          <w:sz w:val="32"/>
          <w:szCs w:val="32"/>
        </w:rPr>
        <w:t>北京浩龙耀航空服务有限公司</w:t>
      </w:r>
      <w:r>
        <w:rPr>
          <w:rFonts w:hint="eastAsia" w:ascii="Times New Roman" w:hAnsi="Times New Roman" w:eastAsia="仿宋" w:cs="Times New Roman"/>
          <w:sz w:val="32"/>
          <w:szCs w:val="32"/>
          <w:lang w:val="zh-CN"/>
        </w:rPr>
        <w:t>成立，注册资本100</w:t>
      </w:r>
      <w:r>
        <w:rPr>
          <w:rFonts w:hint="eastAsia" w:ascii="Times New Roman" w:hAnsi="Times New Roman" w:eastAsia="仿宋" w:cs="Times New Roman"/>
          <w:sz w:val="32"/>
          <w:szCs w:val="32"/>
        </w:rPr>
        <w:t>万元人民币</w:t>
      </w:r>
      <w:r>
        <w:rPr>
          <w:rFonts w:hint="eastAsia" w:ascii="Times New Roman" w:hAnsi="Times New Roman" w:eastAsia="仿宋" w:cs="Times New Roman"/>
          <w:sz w:val="32"/>
          <w:szCs w:val="32"/>
          <w:lang w:val="zh-CN"/>
        </w:rPr>
        <w:t>，法定代表人：史晓影。股东北京立恒房地产开发经营有限公司，出资额为70万元人民币，持股比例70%；北京浩龙耀商贸有限责任公司，出资额为30万元人民币，持股比例30%；住所</w:t>
      </w:r>
      <w:r>
        <w:rPr>
          <w:rFonts w:hint="eastAsia" w:ascii="Times New Roman" w:hAnsi="Times New Roman" w:eastAsia="仿宋" w:cs="Times New Roman"/>
          <w:sz w:val="32"/>
          <w:szCs w:val="32"/>
        </w:rPr>
        <w:t>地</w:t>
      </w:r>
      <w:r>
        <w:rPr>
          <w:rFonts w:hint="eastAsia" w:ascii="Times New Roman" w:hAnsi="Times New Roman" w:eastAsia="仿宋" w:cs="Times New Roman"/>
          <w:sz w:val="32"/>
          <w:szCs w:val="32"/>
          <w:lang w:val="zh-CN"/>
        </w:rPr>
        <w:t>：北京市宣武区广外南滨河路立恒名苑3号楼首层。经营范围：航空服务，客、货运代理，机票代理，航空信息咨询。</w:t>
      </w:r>
      <w:r>
        <w:rPr>
          <w:rFonts w:hint="eastAsia" w:ascii="Times New Roman" w:hAnsi="Times New Roman" w:eastAsia="仿宋" w:cs="Times New Roman"/>
          <w:b/>
          <w:bCs/>
          <w:sz w:val="32"/>
          <w:szCs w:val="32"/>
          <w:lang w:val="zh-CN"/>
        </w:rPr>
        <w:t>工商档案中投资者入资情况表显示，股东北京立恒房地产开发经营有限公司于2004年5月20日交存入资资金7万元整；2004年6月9日交存入资资金63万元整；共合计交存入资资金70万元整。股东北京浩龙耀商贸有限责任公司于2004年5月20日交存入资资金3万元整；2004年6月9日交存入资资金27万元整；共合计交存入资资金30万元整。</w:t>
      </w:r>
      <w:r>
        <w:rPr>
          <w:rFonts w:hint="eastAsia" w:ascii="Times New Roman" w:hAnsi="Times New Roman" w:eastAsia="仿宋" w:cs="Times New Roman"/>
          <w:b/>
          <w:bCs/>
          <w:sz w:val="32"/>
          <w:szCs w:val="32"/>
        </w:rPr>
        <w:t>交存入资指定交存银行浦发银行北京宣武支行，付款帐号分别为：91030155510012450621、91030155510013782621。</w:t>
      </w:r>
    </w:p>
    <w:p w14:paraId="1CEF46D8">
      <w:pPr>
        <w:numPr>
          <w:ilvl w:val="0"/>
          <w:numId w:val="3"/>
        </w:numPr>
        <w:ind w:left="0" w:firstLine="640" w:firstLineChars="200"/>
        <w:rPr>
          <w:rFonts w:ascii="Times New Roman" w:hAnsi="Times New Roman" w:eastAsia="仿宋" w:cs="Times New Roman"/>
          <w:sz w:val="32"/>
          <w:szCs w:val="32"/>
          <w:lang w:val="zh-CN"/>
        </w:rPr>
      </w:pPr>
      <w:r>
        <w:rPr>
          <w:rFonts w:hint="eastAsia" w:ascii="Times New Roman" w:hAnsi="Times New Roman" w:eastAsia="仿宋" w:cs="Times New Roman"/>
          <w:sz w:val="32"/>
          <w:szCs w:val="32"/>
          <w:lang w:val="zh-CN"/>
        </w:rPr>
        <w:t>2008年10月13日，北京市工商行政管理局宣武分局作出“京工商宣处字【2008】第D</w:t>
      </w:r>
      <w:r>
        <w:rPr>
          <w:rFonts w:hint="eastAsia" w:ascii="Times New Roman" w:hAnsi="Times New Roman" w:eastAsia="仿宋" w:cs="Times New Roman"/>
          <w:sz w:val="32"/>
          <w:szCs w:val="32"/>
        </w:rPr>
        <w:t xml:space="preserve"> </w:t>
      </w:r>
      <w:r>
        <w:rPr>
          <w:rFonts w:hint="eastAsia" w:ascii="Times New Roman" w:hAnsi="Times New Roman" w:eastAsia="仿宋" w:cs="Times New Roman"/>
          <w:sz w:val="32"/>
          <w:szCs w:val="32"/>
          <w:lang w:val="zh-CN"/>
        </w:rPr>
        <w:t>30416</w:t>
      </w:r>
      <w:r>
        <w:rPr>
          <w:rFonts w:hint="eastAsia" w:ascii="Times New Roman" w:hAnsi="Times New Roman" w:eastAsia="仿宋" w:cs="Times New Roman"/>
          <w:sz w:val="32"/>
          <w:szCs w:val="32"/>
        </w:rPr>
        <w:t xml:space="preserve"> </w:t>
      </w:r>
      <w:r>
        <w:rPr>
          <w:rFonts w:hint="eastAsia" w:ascii="Times New Roman" w:hAnsi="Times New Roman" w:eastAsia="仿宋" w:cs="Times New Roman"/>
          <w:sz w:val="32"/>
          <w:szCs w:val="32"/>
          <w:lang w:val="zh-CN"/>
        </w:rPr>
        <w:t>号行政处罚决定书，因当事人未到规定的期限内接收2007年度企业年检，也未在北京市工商行政管理局公告规定的期限内补办年检手续，决定吊销当事人营业执照。</w:t>
      </w:r>
    </w:p>
    <w:p w14:paraId="227D7EE6">
      <w:pPr>
        <w:numPr>
          <w:ilvl w:val="0"/>
          <w:numId w:val="2"/>
        </w:numPr>
        <w:wordWrap w:val="0"/>
        <w:overflowPunct w:val="0"/>
        <w:spacing w:before="156" w:beforeLines="50" w:after="156" w:afterLines="50" w:line="578" w:lineRule="exact"/>
        <w:ind w:firstLine="643" w:firstLineChars="200"/>
        <w:rPr>
          <w:rFonts w:hint="eastAsia" w:ascii="仿宋" w:hAnsi="仿宋" w:eastAsia="仿宋" w:cs="仿宋"/>
          <w:sz w:val="32"/>
          <w:szCs w:val="32"/>
          <w:lang w:val="zh-CN"/>
        </w:rPr>
      </w:pPr>
      <w:r>
        <w:rPr>
          <w:rFonts w:hint="eastAsia" w:ascii="仿宋" w:hAnsi="仿宋" w:eastAsia="仿宋" w:cs="仿宋"/>
          <w:b/>
          <w:bCs/>
          <w:sz w:val="32"/>
          <w:szCs w:val="32"/>
          <w:lang w:val="zh-CN"/>
        </w:rPr>
        <w:t>经营范围</w:t>
      </w:r>
    </w:p>
    <w:p w14:paraId="4379FA66">
      <w:pPr>
        <w:numPr>
          <w:ilvl w:val="255"/>
          <w:numId w:val="0"/>
        </w:numPr>
        <w:wordWrap w:val="0"/>
        <w:overflowPunct w:val="0"/>
        <w:spacing w:before="156" w:beforeLines="50" w:after="156" w:afterLines="50" w:line="578"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国内航线除香港、澳门、台湾航线外的航空客运销售代理业务;信息咨询（不含中介服务）。</w:t>
      </w:r>
    </w:p>
    <w:p w14:paraId="3987E16A">
      <w:pPr>
        <w:numPr>
          <w:ilvl w:val="0"/>
          <w:numId w:val="2"/>
        </w:numPr>
        <w:wordWrap w:val="0"/>
        <w:overflowPunct w:val="0"/>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股权结构</w:t>
      </w:r>
    </w:p>
    <w:p w14:paraId="2CDF687D">
      <w:pPr>
        <w:pStyle w:val="2"/>
        <w:widowControl w:val="0"/>
        <w:wordWrap w:val="0"/>
        <w:spacing w:before="156" w:beforeLines="50" w:after="156" w:afterLines="50" w:line="578" w:lineRule="exact"/>
        <w:ind w:firstLine="640"/>
        <w:rPr>
          <w:rFonts w:eastAsia="仿宋"/>
          <w:color w:val="000000"/>
          <w:sz w:val="32"/>
          <w:szCs w:val="32"/>
        </w:rPr>
      </w:pPr>
      <w:r>
        <w:rPr>
          <w:rFonts w:eastAsia="仿宋"/>
          <w:color w:val="000000"/>
          <w:sz w:val="32"/>
          <w:szCs w:val="32"/>
        </w:rPr>
        <w:t>根据工商档案中投资者入资情况表，债务人</w:t>
      </w:r>
      <w:r>
        <w:rPr>
          <w:rFonts w:hint="eastAsia" w:eastAsia="仿宋"/>
          <w:color w:val="000000"/>
          <w:sz w:val="32"/>
          <w:szCs w:val="32"/>
        </w:rPr>
        <w:t>全体</w:t>
      </w:r>
      <w:r>
        <w:rPr>
          <w:rFonts w:eastAsia="仿宋"/>
          <w:color w:val="000000"/>
          <w:sz w:val="32"/>
          <w:szCs w:val="32"/>
        </w:rPr>
        <w:t>股东均已实缴出资。</w:t>
      </w:r>
    </w:p>
    <w:p w14:paraId="11B85A1B">
      <w:pPr>
        <w:pStyle w:val="2"/>
        <w:widowControl w:val="0"/>
        <w:wordWrap w:val="0"/>
        <w:spacing w:before="156" w:beforeLines="50" w:after="156" w:afterLines="50" w:line="578" w:lineRule="exact"/>
        <w:ind w:firstLine="640"/>
        <w:rPr>
          <w:rFonts w:hint="eastAsia" w:ascii="仿宋" w:hAnsi="仿宋" w:eastAsia="仿宋" w:cs="仿宋"/>
          <w:b/>
          <w:bCs/>
          <w:sz w:val="32"/>
          <w:szCs w:val="32"/>
        </w:rPr>
      </w:pPr>
      <w:r>
        <w:rPr>
          <w:rFonts w:hint="eastAsia" w:eastAsia="仿宋"/>
          <w:color w:val="000000"/>
          <w:sz w:val="32"/>
          <w:szCs w:val="32"/>
        </w:rPr>
        <w:t>股东出资及持股比例如下：</w:t>
      </w:r>
    </w:p>
    <w:tbl>
      <w:tblPr>
        <w:tblStyle w:val="5"/>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4155"/>
        <w:gridCol w:w="2208"/>
        <w:gridCol w:w="1368"/>
      </w:tblGrid>
      <w:tr w14:paraId="6A3E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2" w:type="pct"/>
            <w:shd w:val="clear" w:color="auto" w:fill="D7D7D7" w:themeFill="background1" w:themeFillShade="D8"/>
            <w:vAlign w:val="center"/>
          </w:tcPr>
          <w:p w14:paraId="6865775A">
            <w:p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序号</w:t>
            </w:r>
          </w:p>
        </w:tc>
        <w:tc>
          <w:tcPr>
            <w:tcW w:w="2433" w:type="pct"/>
            <w:shd w:val="clear" w:color="auto" w:fill="D7D7D7" w:themeFill="background1" w:themeFillShade="D8"/>
            <w:vAlign w:val="center"/>
          </w:tcPr>
          <w:p w14:paraId="17A0A4B8">
            <w:p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股东</w:t>
            </w:r>
          </w:p>
        </w:tc>
        <w:tc>
          <w:tcPr>
            <w:tcW w:w="1293" w:type="pct"/>
            <w:shd w:val="clear" w:color="auto" w:fill="D7D7D7" w:themeFill="background1" w:themeFillShade="D8"/>
            <w:vAlign w:val="center"/>
          </w:tcPr>
          <w:p w14:paraId="08DBE556">
            <w:p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出资额（万元）</w:t>
            </w:r>
          </w:p>
        </w:tc>
        <w:tc>
          <w:tcPr>
            <w:tcW w:w="801" w:type="pct"/>
            <w:shd w:val="clear" w:color="auto" w:fill="D7D7D7" w:themeFill="background1" w:themeFillShade="D8"/>
            <w:vAlign w:val="center"/>
          </w:tcPr>
          <w:p w14:paraId="76F9DA72">
            <w:p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出资比例</w:t>
            </w:r>
          </w:p>
        </w:tc>
      </w:tr>
      <w:tr w14:paraId="2DE5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2" w:type="pct"/>
            <w:vAlign w:val="center"/>
          </w:tcPr>
          <w:p w14:paraId="73709D01">
            <w:pPr>
              <w:numPr>
                <w:ilvl w:val="0"/>
                <w:numId w:val="4"/>
              </w:numPr>
              <w:wordWrap w:val="0"/>
              <w:overflowPunct w:val="0"/>
              <w:jc w:val="center"/>
              <w:rPr>
                <w:rFonts w:hint="eastAsia" w:ascii="仿宋" w:hAnsi="仿宋" w:eastAsia="仿宋" w:cs="仿宋"/>
                <w:sz w:val="24"/>
                <w:lang w:val="zh-CN"/>
              </w:rPr>
            </w:pPr>
          </w:p>
        </w:tc>
        <w:tc>
          <w:tcPr>
            <w:tcW w:w="2433" w:type="pct"/>
            <w:vAlign w:val="center"/>
          </w:tcPr>
          <w:p w14:paraId="424434E3">
            <w:pPr>
              <w:numPr>
                <w:ilvl w:val="255"/>
                <w:numId w:val="0"/>
              </w:numPr>
              <w:wordWrap w:val="0"/>
              <w:overflowPunct w:val="0"/>
              <w:jc w:val="center"/>
              <w:rPr>
                <w:rFonts w:hint="eastAsia" w:ascii="仿宋" w:hAnsi="仿宋" w:eastAsia="仿宋" w:cs="仿宋"/>
                <w:sz w:val="24"/>
                <w:lang w:val="zh-CN"/>
              </w:rPr>
            </w:pPr>
            <w:r>
              <w:fldChar w:fldCharType="begin"/>
            </w:r>
            <w:r>
              <w:instrText xml:space="preserve"> HYPERLINK "https://www.qcc.com/firm/7e069d27a2ce4aa24c6722655d2c8259.html" \t "https://www.qcc.com/firm/_blank" </w:instrText>
            </w:r>
            <w:r>
              <w:fldChar w:fldCharType="separate"/>
            </w:r>
            <w:r>
              <w:rPr>
                <w:rFonts w:hint="eastAsia" w:ascii="仿宋" w:hAnsi="仿宋" w:eastAsia="仿宋" w:cs="仿宋"/>
                <w:sz w:val="24"/>
                <w:lang w:val="zh-CN"/>
              </w:rPr>
              <w:t>北京浩龙耀商贸有限责任公司</w:t>
            </w:r>
            <w:r>
              <w:rPr>
                <w:rFonts w:hint="eastAsia" w:ascii="仿宋" w:hAnsi="仿宋" w:eastAsia="仿宋" w:cs="仿宋"/>
                <w:sz w:val="24"/>
                <w:lang w:val="zh-CN"/>
              </w:rPr>
              <w:fldChar w:fldCharType="end"/>
            </w:r>
          </w:p>
        </w:tc>
        <w:tc>
          <w:tcPr>
            <w:tcW w:w="1293" w:type="pct"/>
            <w:vAlign w:val="center"/>
          </w:tcPr>
          <w:p w14:paraId="4DADB651">
            <w:pPr>
              <w:widowControl/>
              <w:numPr>
                <w:ilvl w:val="255"/>
                <w:numId w:val="0"/>
              </w:numPr>
              <w:wordWrap w:val="0"/>
              <w:overflowPunct w:val="0"/>
              <w:jc w:val="center"/>
              <w:rPr>
                <w:rFonts w:hint="eastAsia" w:ascii="仿宋" w:hAnsi="仿宋" w:eastAsia="仿宋" w:cs="仿宋"/>
                <w:sz w:val="24"/>
                <w:lang w:val="zh-CN"/>
              </w:rPr>
            </w:pPr>
            <w:r>
              <w:rPr>
                <w:rFonts w:hint="eastAsia" w:ascii="仿宋" w:hAnsi="仿宋" w:eastAsia="仿宋" w:cs="仿宋"/>
                <w:sz w:val="24"/>
                <w:lang w:val="zh-CN"/>
              </w:rPr>
              <w:t>70</w:t>
            </w:r>
          </w:p>
        </w:tc>
        <w:tc>
          <w:tcPr>
            <w:tcW w:w="801" w:type="pct"/>
            <w:vAlign w:val="center"/>
          </w:tcPr>
          <w:p w14:paraId="1C3810B4">
            <w:pPr>
              <w:widowControl/>
              <w:numPr>
                <w:ilvl w:val="255"/>
                <w:numId w:val="0"/>
              </w:numPr>
              <w:wordWrap w:val="0"/>
              <w:overflowPunct w:val="0"/>
              <w:jc w:val="center"/>
              <w:rPr>
                <w:rFonts w:hint="eastAsia" w:ascii="仿宋" w:hAnsi="仿宋" w:eastAsia="仿宋" w:cs="仿宋"/>
                <w:sz w:val="24"/>
                <w:lang w:val="zh-CN"/>
              </w:rPr>
            </w:pPr>
            <w:r>
              <w:rPr>
                <w:rFonts w:hint="eastAsia" w:ascii="仿宋" w:hAnsi="仿宋" w:eastAsia="仿宋" w:cs="仿宋"/>
                <w:sz w:val="24"/>
                <w:lang w:val="zh-CN" w:bidi="ar"/>
              </w:rPr>
              <w:t>70%</w:t>
            </w:r>
          </w:p>
        </w:tc>
      </w:tr>
      <w:tr w14:paraId="135B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2" w:type="pct"/>
            <w:vAlign w:val="center"/>
          </w:tcPr>
          <w:p w14:paraId="58F6D6AE">
            <w:pPr>
              <w:numPr>
                <w:ilvl w:val="0"/>
                <w:numId w:val="4"/>
              </w:numPr>
              <w:wordWrap w:val="0"/>
              <w:overflowPunct w:val="0"/>
              <w:jc w:val="center"/>
              <w:rPr>
                <w:rFonts w:hint="eastAsia" w:ascii="仿宋" w:hAnsi="仿宋" w:eastAsia="仿宋" w:cs="仿宋"/>
                <w:sz w:val="24"/>
                <w:lang w:val="zh-CN"/>
              </w:rPr>
            </w:pPr>
          </w:p>
        </w:tc>
        <w:tc>
          <w:tcPr>
            <w:tcW w:w="2433" w:type="pct"/>
            <w:vAlign w:val="center"/>
          </w:tcPr>
          <w:p w14:paraId="1096B757">
            <w:pPr>
              <w:numPr>
                <w:ilvl w:val="255"/>
                <w:numId w:val="0"/>
              </w:numPr>
              <w:wordWrap w:val="0"/>
              <w:overflowPunct w:val="0"/>
              <w:jc w:val="center"/>
              <w:rPr>
                <w:rFonts w:hint="eastAsia" w:ascii="仿宋" w:hAnsi="仿宋" w:eastAsia="仿宋" w:cs="仿宋"/>
                <w:sz w:val="24"/>
                <w:lang w:val="zh-CN"/>
              </w:rPr>
            </w:pPr>
            <w:r>
              <w:fldChar w:fldCharType="begin"/>
            </w:r>
            <w:r>
              <w:instrText xml:space="preserve"> HYPERLINK "https://www.qcc.com/firm/04ed8454acd439ac806e7af5020d0475.html" \t "https://www.qcc.com/firm/_blank" </w:instrText>
            </w:r>
            <w:r>
              <w:fldChar w:fldCharType="separate"/>
            </w:r>
            <w:r>
              <w:rPr>
                <w:rFonts w:hint="eastAsia" w:ascii="仿宋" w:hAnsi="仿宋" w:eastAsia="仿宋" w:cs="仿宋"/>
                <w:sz w:val="24"/>
                <w:lang w:val="zh-CN"/>
              </w:rPr>
              <w:t>北京立恒房地产开发经营有限公司</w:t>
            </w:r>
            <w:r>
              <w:rPr>
                <w:rFonts w:hint="eastAsia" w:ascii="仿宋" w:hAnsi="仿宋" w:eastAsia="仿宋" w:cs="仿宋"/>
                <w:sz w:val="24"/>
                <w:lang w:val="zh-CN"/>
              </w:rPr>
              <w:fldChar w:fldCharType="end"/>
            </w:r>
          </w:p>
        </w:tc>
        <w:tc>
          <w:tcPr>
            <w:tcW w:w="1293" w:type="pct"/>
            <w:vAlign w:val="center"/>
          </w:tcPr>
          <w:p w14:paraId="01044E30">
            <w:pPr>
              <w:widowControl/>
              <w:numPr>
                <w:ilvl w:val="255"/>
                <w:numId w:val="0"/>
              </w:numPr>
              <w:wordWrap w:val="0"/>
              <w:overflowPunct w:val="0"/>
              <w:jc w:val="center"/>
              <w:rPr>
                <w:rFonts w:hint="eastAsia" w:ascii="仿宋" w:hAnsi="仿宋" w:eastAsia="仿宋" w:cs="仿宋"/>
                <w:sz w:val="24"/>
                <w:lang w:val="zh-CN"/>
              </w:rPr>
            </w:pPr>
            <w:r>
              <w:rPr>
                <w:rFonts w:hint="eastAsia" w:ascii="仿宋" w:hAnsi="仿宋" w:eastAsia="仿宋" w:cs="仿宋"/>
                <w:sz w:val="24"/>
                <w:lang w:val="zh-CN"/>
              </w:rPr>
              <w:t>30</w:t>
            </w:r>
          </w:p>
        </w:tc>
        <w:tc>
          <w:tcPr>
            <w:tcW w:w="801" w:type="pct"/>
            <w:vAlign w:val="center"/>
          </w:tcPr>
          <w:p w14:paraId="1D384927">
            <w:pPr>
              <w:widowControl/>
              <w:numPr>
                <w:ilvl w:val="255"/>
                <w:numId w:val="0"/>
              </w:numPr>
              <w:wordWrap w:val="0"/>
              <w:overflowPunct w:val="0"/>
              <w:jc w:val="center"/>
              <w:rPr>
                <w:rFonts w:hint="eastAsia" w:ascii="仿宋" w:hAnsi="仿宋" w:eastAsia="仿宋" w:cs="仿宋"/>
                <w:sz w:val="24"/>
                <w:lang w:val="zh-CN"/>
              </w:rPr>
            </w:pPr>
            <w:r>
              <w:rPr>
                <w:rFonts w:hint="eastAsia" w:ascii="仿宋" w:hAnsi="仿宋" w:eastAsia="仿宋" w:cs="仿宋"/>
                <w:sz w:val="24"/>
                <w:lang w:val="zh-CN" w:bidi="ar"/>
              </w:rPr>
              <w:t>30%</w:t>
            </w:r>
          </w:p>
        </w:tc>
      </w:tr>
      <w:tr w14:paraId="20E2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905" w:type="pct"/>
            <w:gridSpan w:val="2"/>
            <w:vAlign w:val="center"/>
          </w:tcPr>
          <w:p w14:paraId="29523354">
            <w:pPr>
              <w:numPr>
                <w:ilvl w:val="255"/>
                <w:numId w:val="0"/>
              </w:numPr>
              <w:wordWrap w:val="0"/>
              <w:overflowPunct w:val="0"/>
              <w:jc w:val="right"/>
              <w:rPr>
                <w:rFonts w:hint="eastAsia" w:ascii="仿宋" w:hAnsi="仿宋" w:eastAsia="仿宋" w:cs="仿宋"/>
                <w:b/>
                <w:bCs/>
                <w:sz w:val="24"/>
                <w:lang w:val="zh-CN"/>
              </w:rPr>
            </w:pPr>
            <w:r>
              <w:rPr>
                <w:rFonts w:hint="eastAsia" w:ascii="仿宋" w:hAnsi="仿宋" w:eastAsia="仿宋" w:cs="仿宋"/>
                <w:b/>
                <w:bCs/>
                <w:sz w:val="24"/>
                <w:lang w:val="zh-CN"/>
              </w:rPr>
              <w:t>合计：</w:t>
            </w:r>
          </w:p>
        </w:tc>
        <w:tc>
          <w:tcPr>
            <w:tcW w:w="1293" w:type="pct"/>
            <w:vAlign w:val="center"/>
          </w:tcPr>
          <w:p w14:paraId="5187F4D8">
            <w:pPr>
              <w:numPr>
                <w:ilvl w:val="255"/>
                <w:numId w:val="0"/>
              </w:num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100</w:t>
            </w:r>
          </w:p>
        </w:tc>
        <w:tc>
          <w:tcPr>
            <w:tcW w:w="801" w:type="pct"/>
            <w:vAlign w:val="center"/>
          </w:tcPr>
          <w:p w14:paraId="67C8E410">
            <w:pPr>
              <w:numPr>
                <w:ilvl w:val="255"/>
                <w:numId w:val="0"/>
              </w:numPr>
              <w:wordWrap w:val="0"/>
              <w:overflowPunct w:val="0"/>
              <w:jc w:val="center"/>
              <w:rPr>
                <w:rFonts w:hint="eastAsia" w:ascii="仿宋" w:hAnsi="仿宋" w:eastAsia="仿宋" w:cs="仿宋"/>
                <w:b/>
                <w:bCs/>
                <w:sz w:val="24"/>
                <w:lang w:val="zh-CN"/>
              </w:rPr>
            </w:pPr>
            <w:r>
              <w:rPr>
                <w:rFonts w:hint="eastAsia" w:ascii="仿宋" w:hAnsi="仿宋" w:eastAsia="仿宋" w:cs="仿宋"/>
                <w:b/>
                <w:bCs/>
                <w:sz w:val="24"/>
                <w:lang w:val="zh-CN"/>
              </w:rPr>
              <w:t>100%</w:t>
            </w:r>
          </w:p>
        </w:tc>
      </w:tr>
    </w:tbl>
    <w:p w14:paraId="1C9A1986">
      <w:pPr>
        <w:numPr>
          <w:ilvl w:val="0"/>
          <w:numId w:val="1"/>
        </w:numPr>
        <w:wordWrap w:val="0"/>
        <w:overflowPunct w:val="0"/>
        <w:spacing w:before="156" w:beforeLines="50" w:after="156" w:afterLines="50" w:line="578" w:lineRule="exact"/>
        <w:ind w:firstLine="0"/>
        <w:rPr>
          <w:rFonts w:hint="eastAsia" w:ascii="仿宋" w:hAnsi="仿宋" w:eastAsia="仿宋" w:cs="仿宋"/>
          <w:b/>
          <w:bCs/>
          <w:sz w:val="32"/>
          <w:szCs w:val="32"/>
        </w:rPr>
      </w:pPr>
      <w:r>
        <w:rPr>
          <w:rFonts w:hint="eastAsia" w:ascii="仿宋" w:hAnsi="仿宋" w:eastAsia="仿宋" w:cs="仿宋"/>
          <w:b/>
          <w:bCs/>
          <w:sz w:val="32"/>
          <w:szCs w:val="32"/>
        </w:rPr>
        <w:t>清算组履职工作</w:t>
      </w:r>
    </w:p>
    <w:p w14:paraId="5ED1E313">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sz w:val="32"/>
          <w:szCs w:val="32"/>
        </w:rPr>
      </w:pPr>
      <w:r>
        <w:rPr>
          <w:rFonts w:ascii="Times New Roman" w:hAnsi="Times New Roman" w:eastAsia="仿宋" w:cs="Times New Roman"/>
          <w:sz w:val="32"/>
          <w:szCs w:val="32"/>
        </w:rPr>
        <w:t>清算组接受指定后随即组建了清算组团队，并向</w:t>
      </w:r>
      <w:r>
        <w:rPr>
          <w:rFonts w:hint="eastAsia" w:ascii="Times New Roman" w:hAnsi="Times New Roman" w:eastAsia="仿宋" w:cs="Times New Roman"/>
          <w:sz w:val="32"/>
          <w:szCs w:val="32"/>
        </w:rPr>
        <w:t>北京一中院</w:t>
      </w:r>
      <w:r>
        <w:rPr>
          <w:rFonts w:ascii="Times New Roman" w:hAnsi="Times New Roman" w:eastAsia="仿宋" w:cs="Times New Roman"/>
          <w:sz w:val="32"/>
          <w:szCs w:val="32"/>
        </w:rPr>
        <w:t>进行了报备。</w:t>
      </w:r>
    </w:p>
    <w:p w14:paraId="35012EFD">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sz w:val="32"/>
          <w:szCs w:val="32"/>
        </w:rPr>
      </w:pPr>
      <w:r>
        <w:rPr>
          <w:rFonts w:ascii="Times New Roman" w:hAnsi="Times New Roman" w:eastAsia="仿宋" w:cs="Times New Roman"/>
          <w:sz w:val="32"/>
          <w:szCs w:val="32"/>
        </w:rPr>
        <w:t>清算组团队组建后内部建立了工作规程、用章登记、财务收支管理、档案管理、保密制度等内部规章制度，以保证案件顺利进行。</w:t>
      </w:r>
    </w:p>
    <w:p w14:paraId="097466A5">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2025年9月22日，清算组依法刻制了</w:t>
      </w:r>
      <w:r>
        <w:rPr>
          <w:rFonts w:ascii="Times New Roman" w:hAnsi="Times New Roman" w:eastAsia="仿宋" w:cs="Times New Roman"/>
          <w:sz w:val="32"/>
          <w:szCs w:val="32"/>
        </w:rPr>
        <w:t>北京浩龙耀航空服务有限公司</w:t>
      </w:r>
      <w:r>
        <w:rPr>
          <w:rFonts w:ascii="Times New Roman" w:hAnsi="Times New Roman" w:eastAsia="仿宋" w:cs="Times New Roman"/>
          <w:color w:val="000000"/>
          <w:sz w:val="32"/>
          <w:szCs w:val="32"/>
        </w:rPr>
        <w:t>清算组公章、清算组财务专用章，并向</w:t>
      </w:r>
      <w:r>
        <w:rPr>
          <w:rFonts w:hint="eastAsia" w:ascii="Times New Roman" w:hAnsi="Times New Roman" w:eastAsia="仿宋" w:cs="Times New Roman"/>
          <w:sz w:val="32"/>
          <w:szCs w:val="32"/>
        </w:rPr>
        <w:t>北京一中院</w:t>
      </w:r>
      <w:r>
        <w:rPr>
          <w:rFonts w:ascii="Times New Roman" w:hAnsi="Times New Roman" w:eastAsia="仿宋" w:cs="Times New Roman"/>
          <w:color w:val="000000"/>
          <w:sz w:val="32"/>
          <w:szCs w:val="32"/>
        </w:rPr>
        <w:t>进行了报备。</w:t>
      </w:r>
    </w:p>
    <w:p w14:paraId="51928D66">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2025年9月23日起，清算组通过公开渠道包括但不限于中国裁判文书网、企查查、天眼查等官方网站综合查询，未查询到潜在债权人。截至本报告日，清算组亦未接收到任何债权人的债权申报材料。</w:t>
      </w:r>
    </w:p>
    <w:p w14:paraId="7E476A80">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清算组于2025年10月15日在全国企业破产重整案件信息网上公示对债务人的法定代表人、股东及相关人员的《关于履行清算义务通知书》，要求其</w:t>
      </w:r>
      <w:r>
        <w:rPr>
          <w:rFonts w:hint="eastAsia" w:ascii="Times New Roman" w:hAnsi="Times New Roman" w:eastAsia="仿宋" w:cs="Times New Roman"/>
          <w:color w:val="000000"/>
          <w:sz w:val="32"/>
          <w:szCs w:val="32"/>
        </w:rPr>
        <w:t>自通知公告之日起十日内</w:t>
      </w:r>
      <w:r>
        <w:rPr>
          <w:rFonts w:ascii="Times New Roman" w:hAnsi="Times New Roman" w:eastAsia="仿宋" w:cs="Times New Roman"/>
          <w:color w:val="000000"/>
          <w:sz w:val="32"/>
          <w:szCs w:val="32"/>
        </w:rPr>
        <w:t>联系清算组并向清算组移交债务人的有关资料。</w:t>
      </w:r>
    </w:p>
    <w:p w14:paraId="14CDB8A6">
      <w:pPr>
        <w:pStyle w:val="11"/>
        <w:wordWrap w:val="0"/>
        <w:ind w:firstLine="640"/>
        <w:rPr>
          <w:rFonts w:ascii="Times New Roman" w:hAnsi="Times New Roman" w:eastAsia="仿宋" w:cs="Times New Roman"/>
          <w:sz w:val="32"/>
          <w:szCs w:val="32"/>
          <w:u w:val="single"/>
        </w:rPr>
      </w:pPr>
      <w:r>
        <w:rPr>
          <w:rFonts w:hint="eastAsia" w:ascii="Times New Roman" w:hAnsi="Times New Roman" w:eastAsia="仿宋" w:cs="Times New Roman"/>
          <w:color w:val="000000"/>
          <w:sz w:val="32"/>
          <w:szCs w:val="32"/>
        </w:rPr>
        <w:t>履行清算义务通知</w:t>
      </w:r>
      <w:r>
        <w:rPr>
          <w:rFonts w:ascii="Times New Roman" w:hAnsi="Times New Roman" w:eastAsia="仿宋" w:cs="Times New Roman"/>
          <w:sz w:val="32"/>
          <w:szCs w:val="32"/>
        </w:rPr>
        <w:t>网址：</w:t>
      </w:r>
      <w:r>
        <w:rPr>
          <w:rFonts w:ascii="Times New Roman" w:hAnsi="Times New Roman" w:eastAsia="仿宋" w:cs="Times New Roman"/>
          <w:b/>
          <w:bCs/>
          <w:sz w:val="32"/>
          <w:szCs w:val="32"/>
          <w:u w:val="single"/>
        </w:rPr>
        <w:t>https://pccz.court.gov.cn/pcajxxw/pcgg/ggxq?id=5E10F79FB6A38ED2824385F917806A94</w:t>
      </w:r>
    </w:p>
    <w:p w14:paraId="33316D6E">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清算组于2025年10月16日在全国企业破产重整案件信息网上发布《债权申报通知》</w:t>
      </w:r>
      <w:r>
        <w:rPr>
          <w:rFonts w:hint="eastAsia" w:ascii="Times New Roman" w:hAnsi="Times New Roman" w:eastAsia="仿宋" w:cs="Times New Roman"/>
          <w:color w:val="000000"/>
          <w:sz w:val="32"/>
          <w:szCs w:val="32"/>
        </w:rPr>
        <w:t>，通知债权人于2025年10月27日前向清算组申报债权。</w:t>
      </w:r>
    </w:p>
    <w:p w14:paraId="0A3FE67D">
      <w:pPr>
        <w:pStyle w:val="11"/>
        <w:wordWrap w:val="0"/>
        <w:ind w:firstLine="640"/>
        <w:rPr>
          <w:rFonts w:ascii="Times New Roman" w:hAnsi="Times New Roman" w:eastAsia="仿宋" w:cs="Times New Roman"/>
          <w:b/>
          <w:bCs/>
          <w:sz w:val="32"/>
          <w:szCs w:val="32"/>
          <w:u w:val="single"/>
        </w:rPr>
      </w:pPr>
      <w:r>
        <w:rPr>
          <w:rFonts w:hint="eastAsia" w:ascii="Times New Roman" w:hAnsi="Times New Roman" w:eastAsia="仿宋" w:cs="Times New Roman"/>
          <w:sz w:val="32"/>
          <w:szCs w:val="32"/>
        </w:rPr>
        <w:t>债权申报通知</w:t>
      </w:r>
      <w:r>
        <w:rPr>
          <w:rFonts w:ascii="Times New Roman" w:hAnsi="Times New Roman" w:eastAsia="仿宋" w:cs="Times New Roman"/>
          <w:sz w:val="32"/>
          <w:szCs w:val="32"/>
        </w:rPr>
        <w:t>网址：</w:t>
      </w:r>
      <w:r>
        <w:rPr>
          <w:rFonts w:ascii="Times New Roman" w:hAnsi="Times New Roman" w:eastAsia="仿宋" w:cs="Times New Roman"/>
          <w:b/>
          <w:bCs/>
          <w:sz w:val="32"/>
          <w:szCs w:val="32"/>
          <w:u w:val="single"/>
        </w:rPr>
        <w:t>https://pccz.court.gov.cn/pcajxxw/pcgg/ggxq?id=59695021AC646E9B98B52AF43600E721</w:t>
      </w:r>
    </w:p>
    <w:p w14:paraId="5079EE80">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2025年10月17日，清算组前往北京市政务服务中心查询了债务人的车辆、土地、房产等财产信息。</w:t>
      </w:r>
    </w:p>
    <w:p w14:paraId="70BF7AF7">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hint="eastAsia" w:ascii="Times New Roman" w:hAnsi="Times New Roman" w:eastAsia="仿宋" w:cs="Times New Roman"/>
          <w:color w:val="000000"/>
          <w:sz w:val="32"/>
          <w:szCs w:val="32"/>
        </w:rPr>
        <w:t>2025年10月20日，清算组在</w:t>
      </w:r>
      <w:r>
        <w:rPr>
          <w:rFonts w:ascii="Times New Roman" w:hAnsi="Times New Roman" w:eastAsia="仿宋" w:cs="Times New Roman"/>
          <w:color w:val="000000"/>
          <w:sz w:val="32"/>
          <w:szCs w:val="32"/>
        </w:rPr>
        <w:t>全国企业破产重整案件信息网上发布公章证照作废声明</w:t>
      </w:r>
      <w:r>
        <w:rPr>
          <w:rFonts w:hint="eastAsia" w:ascii="Times New Roman" w:hAnsi="Times New Roman" w:eastAsia="仿宋" w:cs="Times New Roman"/>
          <w:color w:val="000000"/>
          <w:sz w:val="32"/>
          <w:szCs w:val="32"/>
        </w:rPr>
        <w:t>。</w:t>
      </w:r>
    </w:p>
    <w:p w14:paraId="7CDD4718">
      <w:pPr>
        <w:pStyle w:val="11"/>
        <w:numPr>
          <w:ilvl w:val="255"/>
          <w:numId w:val="0"/>
        </w:numPr>
        <w:wordWrap w:val="0"/>
        <w:adjustRightInd w:val="0"/>
        <w:spacing w:before="156" w:beforeLines="50" w:after="156" w:afterLines="50" w:line="578" w:lineRule="exact"/>
        <w:ind w:firstLine="640" w:firstLineChars="200"/>
        <w:textAlignment w:val="baseline"/>
        <w:rPr>
          <w:rFonts w:ascii="Times New Roman" w:hAnsi="Times New Roman" w:eastAsia="仿宋" w:cs="Times New Roman"/>
          <w:b/>
          <w:bCs/>
          <w:color w:val="000000"/>
          <w:sz w:val="32"/>
          <w:szCs w:val="32"/>
        </w:rPr>
      </w:pPr>
      <w:r>
        <w:rPr>
          <w:rFonts w:ascii="Times New Roman" w:hAnsi="Times New Roman" w:eastAsia="仿宋" w:cs="Times New Roman"/>
          <w:color w:val="000000"/>
          <w:sz w:val="32"/>
          <w:szCs w:val="32"/>
        </w:rPr>
        <w:t>公章证照作废声明</w:t>
      </w:r>
      <w:r>
        <w:rPr>
          <w:rFonts w:hint="eastAsia" w:ascii="Times New Roman" w:hAnsi="Times New Roman" w:eastAsia="仿宋" w:cs="Times New Roman"/>
          <w:color w:val="000000"/>
          <w:sz w:val="32"/>
          <w:szCs w:val="32"/>
        </w:rPr>
        <w:t>网址</w:t>
      </w:r>
      <w:r>
        <w:rPr>
          <w:rFonts w:ascii="Times New Roman" w:hAnsi="Times New Roman" w:eastAsia="仿宋" w:cs="Times New Roman"/>
          <w:color w:val="000000"/>
          <w:sz w:val="32"/>
          <w:szCs w:val="32"/>
        </w:rPr>
        <w:t>：</w:t>
      </w:r>
      <w:r>
        <w:rPr>
          <w:rFonts w:ascii="Times New Roman" w:hAnsi="Times New Roman" w:eastAsia="仿宋" w:cs="Times New Roman"/>
          <w:b/>
          <w:bCs/>
          <w:color w:val="000000"/>
          <w:sz w:val="32"/>
          <w:szCs w:val="32"/>
          <w:u w:val="single"/>
        </w:rPr>
        <w:t>http://pccz.court.gov.cn/pcajxxw/pcgg/ggxq?id=484E0D76F2361DA588DBABD8E568E95E</w:t>
      </w:r>
    </w:p>
    <w:p w14:paraId="4FFD5D2D">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2025年10月21日，清算组向北京市西城区人力资源和社会保障局、北京市西城区医疗保障局、北京住房公积金管理中心、</w:t>
      </w:r>
      <w:r>
        <w:rPr>
          <w:rFonts w:hint="eastAsia" w:ascii="Times New Roman" w:hAnsi="Times New Roman" w:eastAsia="仿宋" w:cs="Times New Roman"/>
          <w:color w:val="000000"/>
          <w:sz w:val="32"/>
          <w:szCs w:val="32"/>
        </w:rPr>
        <w:t>国家税务总局</w:t>
      </w:r>
      <w:r>
        <w:rPr>
          <w:rFonts w:ascii="Times New Roman" w:hAnsi="Times New Roman" w:eastAsia="仿宋" w:cs="Times New Roman"/>
          <w:color w:val="000000"/>
          <w:sz w:val="32"/>
          <w:szCs w:val="32"/>
        </w:rPr>
        <w:t>北京市税务局寄送了债权申报材料</w:t>
      </w:r>
      <w:r>
        <w:rPr>
          <w:rFonts w:hint="eastAsia" w:ascii="Times New Roman" w:hAnsi="Times New Roman" w:eastAsia="仿宋" w:cs="Times New Roman"/>
          <w:color w:val="000000"/>
          <w:sz w:val="32"/>
          <w:szCs w:val="32"/>
        </w:rPr>
        <w:t>。</w:t>
      </w:r>
      <w:r>
        <w:rPr>
          <w:rFonts w:ascii="Times New Roman" w:hAnsi="Times New Roman" w:eastAsia="仿宋" w:cs="Times New Roman"/>
          <w:color w:val="000000"/>
          <w:sz w:val="32"/>
          <w:szCs w:val="32"/>
        </w:rPr>
        <w:t>根据妥投记录显示</w:t>
      </w:r>
      <w:r>
        <w:rPr>
          <w:rFonts w:hint="eastAsia" w:ascii="Times New Roman" w:hAnsi="Times New Roman" w:eastAsia="仿宋" w:cs="Times New Roman"/>
          <w:color w:val="000000"/>
          <w:sz w:val="32"/>
          <w:szCs w:val="32"/>
        </w:rPr>
        <w:t>，</w:t>
      </w:r>
      <w:r>
        <w:rPr>
          <w:rFonts w:ascii="Times New Roman" w:hAnsi="Times New Roman" w:eastAsia="仿宋" w:cs="Times New Roman"/>
          <w:color w:val="000000"/>
          <w:sz w:val="32"/>
          <w:szCs w:val="32"/>
        </w:rPr>
        <w:t>均已签收。</w:t>
      </w:r>
    </w:p>
    <w:p w14:paraId="45EC721F">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2025年10月21日，清算组通过EMS邮寄方式向债务人的</w:t>
      </w:r>
      <w:r>
        <w:rPr>
          <w:rFonts w:hint="eastAsia" w:ascii="Times New Roman" w:hAnsi="Times New Roman" w:eastAsia="仿宋" w:cs="Times New Roman"/>
          <w:color w:val="000000"/>
          <w:sz w:val="32"/>
          <w:szCs w:val="32"/>
        </w:rPr>
        <w:t>2</w:t>
      </w:r>
      <w:r>
        <w:rPr>
          <w:rFonts w:ascii="Times New Roman" w:hAnsi="Times New Roman" w:eastAsia="仿宋" w:cs="Times New Roman"/>
          <w:color w:val="000000"/>
          <w:sz w:val="32"/>
          <w:szCs w:val="32"/>
        </w:rPr>
        <w:t>位股东</w:t>
      </w:r>
      <w:r>
        <w:fldChar w:fldCharType="begin"/>
      </w:r>
      <w:r>
        <w:instrText xml:space="preserve"> HYPERLINK "https://www.qcc.com/firm/7e069d27a2ce4aa24c6722655d2c8259.html" \t "https://www.qcc.com/firm/_blank" </w:instrText>
      </w:r>
      <w:r>
        <w:fldChar w:fldCharType="separate"/>
      </w:r>
      <w:r>
        <w:rPr>
          <w:rFonts w:ascii="Times New Roman" w:hAnsi="Times New Roman" w:eastAsia="仿宋" w:cs="Times New Roman"/>
          <w:color w:val="000000"/>
          <w:sz w:val="32"/>
          <w:szCs w:val="32"/>
          <w:shd w:val="clear" w:color="auto" w:fill="FFFFFF"/>
        </w:rPr>
        <w:t>浩龙耀商贸公司</w:t>
      </w:r>
      <w:r>
        <w:rPr>
          <w:rFonts w:ascii="Times New Roman" w:hAnsi="Times New Roman" w:eastAsia="仿宋" w:cs="Times New Roman"/>
          <w:color w:val="000000"/>
          <w:sz w:val="32"/>
          <w:szCs w:val="32"/>
          <w:shd w:val="clear" w:color="auto" w:fill="FFFFFF"/>
        </w:rPr>
        <w:fldChar w:fldCharType="end"/>
      </w:r>
      <w:r>
        <w:rPr>
          <w:rFonts w:ascii="Times New Roman" w:hAnsi="Times New Roman" w:eastAsia="仿宋" w:cs="Times New Roman"/>
          <w:color w:val="000000"/>
          <w:sz w:val="32"/>
          <w:szCs w:val="32"/>
        </w:rPr>
        <w:t>、</w:t>
      </w:r>
      <w:r>
        <w:fldChar w:fldCharType="begin"/>
      </w:r>
      <w:r>
        <w:instrText xml:space="preserve"> HYPERLINK "https://www.qcc.com/firm/04ed8454acd439ac806e7af5020d0475.html" \t "https://www.qcc.com/firm/_blank" </w:instrText>
      </w:r>
      <w:r>
        <w:fldChar w:fldCharType="separate"/>
      </w:r>
      <w:r>
        <w:rPr>
          <w:rFonts w:ascii="Times New Roman" w:hAnsi="Times New Roman" w:eastAsia="仿宋" w:cs="Times New Roman"/>
          <w:color w:val="000000"/>
          <w:sz w:val="32"/>
          <w:szCs w:val="32"/>
        </w:rPr>
        <w:t>北京立恒房地产开发经营有限公司</w:t>
      </w:r>
      <w:r>
        <w:rPr>
          <w:rFonts w:ascii="Times New Roman" w:hAnsi="Times New Roman" w:eastAsia="仿宋" w:cs="Times New Roman"/>
          <w:color w:val="000000"/>
          <w:sz w:val="32"/>
          <w:szCs w:val="32"/>
        </w:rPr>
        <w:fldChar w:fldCharType="end"/>
      </w:r>
      <w:r>
        <w:rPr>
          <w:rFonts w:ascii="Times New Roman" w:hAnsi="Times New Roman" w:eastAsia="仿宋" w:cs="Times New Roman"/>
          <w:color w:val="000000"/>
          <w:sz w:val="32"/>
          <w:szCs w:val="32"/>
        </w:rPr>
        <w:t>（以下简称“</w:t>
      </w:r>
      <w:r>
        <w:rPr>
          <w:rFonts w:ascii="Times New Roman" w:hAnsi="Times New Roman" w:eastAsia="仿宋" w:cs="Times New Roman"/>
          <w:b/>
          <w:bCs/>
          <w:color w:val="000000"/>
          <w:sz w:val="32"/>
          <w:szCs w:val="32"/>
        </w:rPr>
        <w:t>立恒房地产公司</w:t>
      </w:r>
      <w:r>
        <w:rPr>
          <w:rFonts w:ascii="Times New Roman" w:hAnsi="Times New Roman" w:eastAsia="仿宋" w:cs="Times New Roman"/>
          <w:color w:val="000000"/>
          <w:sz w:val="32"/>
          <w:szCs w:val="32"/>
        </w:rPr>
        <w:t>”）寄送了《民事裁定书》、《决定书》、《公告》、《通知书》之一、《关于股东履行清算义务通知书》，根据妥投记录显示，快件均退回至清算组处。</w:t>
      </w:r>
    </w:p>
    <w:p w14:paraId="1AE2E2E2">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2025年10月22日，清算组通过EMS邮寄方式向债务人的法定代表人</w:t>
      </w:r>
      <w:r>
        <w:rPr>
          <w:rFonts w:hint="eastAsia" w:ascii="Times New Roman" w:hAnsi="Times New Roman" w:eastAsia="仿宋" w:cs="Times New Roman"/>
          <w:color w:val="000000"/>
          <w:sz w:val="32"/>
          <w:szCs w:val="32"/>
        </w:rPr>
        <w:t>、执行董事、总经理</w:t>
      </w:r>
      <w:r>
        <w:rPr>
          <w:rFonts w:ascii="Times New Roman" w:hAnsi="Times New Roman" w:eastAsia="仿宋" w:cs="Times New Roman"/>
          <w:color w:val="000000"/>
          <w:sz w:val="32"/>
          <w:szCs w:val="32"/>
        </w:rPr>
        <w:t>史晓影、监事</w:t>
      </w:r>
      <w:r>
        <w:fldChar w:fldCharType="begin"/>
      </w:r>
      <w:r>
        <w:instrText xml:space="preserve"> HYPERLINK "https://www.qcc.com/pl/p4019189128da4adfb076b6e891c260d.html" \t "https://www.qcc.com/firm/_blank" </w:instrText>
      </w:r>
      <w:r>
        <w:fldChar w:fldCharType="separate"/>
      </w:r>
      <w:r>
        <w:rPr>
          <w:rFonts w:ascii="Times New Roman" w:hAnsi="Times New Roman" w:eastAsia="仿宋" w:cs="Times New Roman"/>
          <w:color w:val="000000"/>
          <w:sz w:val="32"/>
          <w:szCs w:val="32"/>
        </w:rPr>
        <w:t>邢秀莲</w:t>
      </w:r>
      <w:r>
        <w:rPr>
          <w:rFonts w:ascii="Times New Roman" w:hAnsi="Times New Roman" w:eastAsia="仿宋" w:cs="Times New Roman"/>
          <w:color w:val="000000"/>
          <w:sz w:val="32"/>
          <w:szCs w:val="32"/>
        </w:rPr>
        <w:fldChar w:fldCharType="end"/>
      </w:r>
      <w:r>
        <w:rPr>
          <w:rFonts w:ascii="Times New Roman" w:hAnsi="Times New Roman" w:eastAsia="仿宋" w:cs="Times New Roman"/>
          <w:color w:val="000000"/>
          <w:sz w:val="32"/>
          <w:szCs w:val="32"/>
        </w:rPr>
        <w:t>、股东浩龙耀商贸公司代理律师寄送了《民事裁定书》、《决定书》、《公告》、《通知书》之一、《关于股东履行清算义务通知书》，根据妥投记录显示，仅股东浩龙耀商贸公司的快件被签收，其他快件均退回至清算组处。</w:t>
      </w:r>
    </w:p>
    <w:p w14:paraId="0D26C6DB">
      <w:pPr>
        <w:pStyle w:val="11"/>
        <w:numPr>
          <w:ilvl w:val="0"/>
          <w:numId w:val="5"/>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sz w:val="32"/>
          <w:szCs w:val="32"/>
        </w:rPr>
        <w:t>2025年10月24日，清算组向北京市西城区市场监督管理局（以下简称</w:t>
      </w:r>
      <w:r>
        <w:rPr>
          <w:rFonts w:ascii="Times New Roman" w:hAnsi="Times New Roman" w:eastAsia="仿宋" w:cs="Times New Roman"/>
          <w:b/>
          <w:bCs/>
          <w:sz w:val="32"/>
          <w:szCs w:val="32"/>
        </w:rPr>
        <w:t>“西城区市监局</w:t>
      </w:r>
      <w:r>
        <w:rPr>
          <w:rFonts w:ascii="Times New Roman" w:hAnsi="Times New Roman" w:eastAsia="仿宋" w:cs="Times New Roman"/>
          <w:sz w:val="32"/>
          <w:szCs w:val="32"/>
        </w:rPr>
        <w:t>”）寄送《沟通函》，函请西城市监局停止办理与债务人有关的工商变更登记手续。</w:t>
      </w:r>
    </w:p>
    <w:p w14:paraId="23A76F5D">
      <w:pPr>
        <w:numPr>
          <w:ilvl w:val="0"/>
          <w:numId w:val="1"/>
        </w:numPr>
        <w:wordWrap w:val="0"/>
        <w:overflowPunct w:val="0"/>
        <w:spacing w:before="156" w:beforeLines="50" w:after="156" w:afterLines="50" w:line="578" w:lineRule="exact"/>
        <w:ind w:firstLine="0"/>
        <w:rPr>
          <w:rFonts w:hint="eastAsia" w:ascii="仿宋" w:hAnsi="仿宋" w:eastAsia="仿宋" w:cs="仿宋"/>
          <w:b/>
          <w:bCs/>
          <w:sz w:val="32"/>
          <w:szCs w:val="32"/>
        </w:rPr>
      </w:pPr>
      <w:r>
        <w:rPr>
          <w:rFonts w:hint="eastAsia" w:ascii="仿宋" w:hAnsi="仿宋" w:eastAsia="仿宋" w:cs="仿宋"/>
          <w:b/>
          <w:bCs/>
          <w:sz w:val="32"/>
          <w:szCs w:val="32"/>
        </w:rPr>
        <w:t>清算组接收情况</w:t>
      </w:r>
    </w:p>
    <w:p w14:paraId="69681847">
      <w:pPr>
        <w:pStyle w:val="2"/>
        <w:widowControl w:val="0"/>
        <w:wordWrap w:val="0"/>
        <w:spacing w:before="156" w:beforeLines="50" w:after="156" w:afterLines="50" w:line="578" w:lineRule="exact"/>
        <w:ind w:firstLine="640"/>
        <w:jc w:val="both"/>
        <w:rPr>
          <w:rFonts w:eastAsia="仿宋"/>
          <w:sz w:val="32"/>
          <w:szCs w:val="32"/>
        </w:rPr>
      </w:pPr>
      <w:r>
        <w:rPr>
          <w:rFonts w:eastAsia="仿宋"/>
          <w:sz w:val="32"/>
          <w:szCs w:val="32"/>
        </w:rPr>
        <w:t>2025年10月18日，清算组与债务人股东</w:t>
      </w:r>
      <w:r>
        <w:rPr>
          <w:rFonts w:eastAsia="仿宋"/>
          <w:color w:val="000000"/>
          <w:sz w:val="32"/>
          <w:szCs w:val="32"/>
        </w:rPr>
        <w:t>浩龙耀商贸公司取得联系，其</w:t>
      </w:r>
      <w:r>
        <w:rPr>
          <w:rFonts w:eastAsia="仿宋"/>
          <w:sz w:val="32"/>
          <w:szCs w:val="32"/>
        </w:rPr>
        <w:t>电话告知清算组：</w:t>
      </w:r>
      <w:r>
        <w:rPr>
          <w:rFonts w:eastAsia="仿宋"/>
          <w:color w:val="000000"/>
          <w:sz w:val="32"/>
          <w:szCs w:val="32"/>
        </w:rPr>
        <w:t>浩龙耀商贸公司现</w:t>
      </w:r>
      <w:r>
        <w:rPr>
          <w:rFonts w:eastAsia="仿宋"/>
          <w:sz w:val="32"/>
          <w:szCs w:val="32"/>
        </w:rPr>
        <w:t>也已进入破产清算程序，其为</w:t>
      </w:r>
      <w:r>
        <w:rPr>
          <w:rFonts w:eastAsia="仿宋"/>
          <w:color w:val="000000"/>
          <w:sz w:val="32"/>
          <w:szCs w:val="32"/>
        </w:rPr>
        <w:t>浩龙耀商贸公司</w:t>
      </w:r>
      <w:r>
        <w:rPr>
          <w:rFonts w:eastAsia="仿宋"/>
          <w:sz w:val="32"/>
          <w:szCs w:val="32"/>
        </w:rPr>
        <w:t>公司管理人，不掌握债务人的任何材料。另，清算组通过多种途径仍未与债务人另一股东立恒房地产公司取得联系。</w:t>
      </w:r>
    </w:p>
    <w:p w14:paraId="59783F4C">
      <w:pPr>
        <w:pStyle w:val="2"/>
        <w:widowControl w:val="0"/>
        <w:wordWrap w:val="0"/>
        <w:spacing w:before="156" w:beforeLines="50" w:after="156" w:afterLines="50" w:line="578" w:lineRule="exact"/>
        <w:ind w:firstLine="640"/>
        <w:jc w:val="both"/>
        <w:rPr>
          <w:rFonts w:eastAsia="仿宋"/>
          <w:sz w:val="32"/>
          <w:szCs w:val="32"/>
        </w:rPr>
      </w:pPr>
      <w:r>
        <w:rPr>
          <w:rFonts w:eastAsia="仿宋"/>
          <w:sz w:val="32"/>
          <w:szCs w:val="32"/>
        </w:rPr>
        <w:t>清算组通过拨打电话、邮寄通知、公告等方式，均未与债务人、法定代表人、监事等相关人员取得联系。</w:t>
      </w:r>
    </w:p>
    <w:p w14:paraId="752128D6">
      <w:pPr>
        <w:pStyle w:val="2"/>
        <w:widowControl w:val="0"/>
        <w:wordWrap w:val="0"/>
        <w:spacing w:before="156" w:beforeLines="50" w:after="156" w:afterLines="50" w:line="578" w:lineRule="exact"/>
        <w:ind w:firstLine="640"/>
        <w:jc w:val="both"/>
        <w:rPr>
          <w:rFonts w:eastAsia="仿宋"/>
          <w:bCs/>
          <w:color w:val="FF0000"/>
          <w:sz w:val="32"/>
          <w:szCs w:val="32"/>
        </w:rPr>
      </w:pPr>
      <w:r>
        <w:rPr>
          <w:rFonts w:eastAsia="仿宋"/>
          <w:sz w:val="32"/>
          <w:szCs w:val="32"/>
        </w:rPr>
        <w:t>基于前述原因，</w:t>
      </w:r>
      <w:r>
        <w:rPr>
          <w:rFonts w:eastAsia="仿宋"/>
          <w:bCs/>
          <w:color w:val="000000"/>
          <w:sz w:val="32"/>
          <w:szCs w:val="32"/>
        </w:rPr>
        <w:t>清算组未</w:t>
      </w:r>
      <w:r>
        <w:rPr>
          <w:rFonts w:hint="eastAsia" w:eastAsia="仿宋"/>
          <w:bCs/>
          <w:color w:val="000000"/>
          <w:sz w:val="32"/>
          <w:szCs w:val="32"/>
        </w:rPr>
        <w:t>能</w:t>
      </w:r>
      <w:r>
        <w:rPr>
          <w:rFonts w:eastAsia="仿宋"/>
          <w:bCs/>
          <w:color w:val="000000"/>
          <w:sz w:val="32"/>
          <w:szCs w:val="32"/>
        </w:rPr>
        <w:t>接</w:t>
      </w:r>
      <w:r>
        <w:rPr>
          <w:rFonts w:hint="eastAsia" w:eastAsia="仿宋"/>
          <w:bCs/>
          <w:color w:val="000000"/>
          <w:sz w:val="32"/>
          <w:szCs w:val="32"/>
        </w:rPr>
        <w:t>管</w:t>
      </w:r>
      <w:r>
        <w:rPr>
          <w:rFonts w:eastAsia="仿宋"/>
          <w:bCs/>
          <w:color w:val="000000"/>
          <w:sz w:val="32"/>
          <w:szCs w:val="32"/>
        </w:rPr>
        <w:t>到</w:t>
      </w:r>
      <w:r>
        <w:rPr>
          <w:rFonts w:eastAsia="仿宋"/>
          <w:sz w:val="32"/>
          <w:szCs w:val="32"/>
        </w:rPr>
        <w:t>债务人</w:t>
      </w:r>
      <w:r>
        <w:rPr>
          <w:rFonts w:eastAsia="仿宋"/>
          <w:bCs/>
          <w:color w:val="000000"/>
          <w:sz w:val="32"/>
          <w:szCs w:val="32"/>
        </w:rPr>
        <w:t>的公章、营业执照、财务账册等</w:t>
      </w:r>
      <w:r>
        <w:rPr>
          <w:rFonts w:hint="eastAsia" w:eastAsia="仿宋"/>
          <w:bCs/>
          <w:color w:val="000000"/>
          <w:sz w:val="32"/>
          <w:szCs w:val="32"/>
        </w:rPr>
        <w:t>在内</w:t>
      </w:r>
      <w:r>
        <w:rPr>
          <w:rFonts w:eastAsia="仿宋"/>
          <w:bCs/>
          <w:color w:val="000000"/>
          <w:sz w:val="32"/>
          <w:szCs w:val="32"/>
        </w:rPr>
        <w:t>的</w:t>
      </w:r>
      <w:r>
        <w:rPr>
          <w:rFonts w:hint="eastAsia" w:eastAsia="仿宋"/>
          <w:bCs/>
          <w:color w:val="000000"/>
          <w:sz w:val="32"/>
          <w:szCs w:val="32"/>
        </w:rPr>
        <w:t>任何资料、财产</w:t>
      </w:r>
      <w:r>
        <w:rPr>
          <w:rFonts w:eastAsia="仿宋"/>
          <w:bCs/>
          <w:color w:val="000000"/>
          <w:sz w:val="32"/>
          <w:szCs w:val="32"/>
        </w:rPr>
        <w:t>。</w:t>
      </w:r>
    </w:p>
    <w:p w14:paraId="14289EF8">
      <w:pPr>
        <w:numPr>
          <w:ilvl w:val="0"/>
          <w:numId w:val="1"/>
        </w:numPr>
        <w:wordWrap w:val="0"/>
        <w:overflowPunct w:val="0"/>
        <w:spacing w:before="156" w:beforeLines="50" w:after="156" w:afterLines="50" w:line="578" w:lineRule="exact"/>
        <w:ind w:firstLine="0"/>
        <w:rPr>
          <w:rFonts w:hint="eastAsia" w:ascii="仿宋" w:hAnsi="仿宋" w:eastAsia="仿宋" w:cs="仿宋"/>
          <w:b/>
          <w:bCs/>
          <w:sz w:val="32"/>
          <w:szCs w:val="32"/>
        </w:rPr>
      </w:pPr>
      <w:r>
        <w:rPr>
          <w:rFonts w:hint="eastAsia" w:ascii="仿宋" w:hAnsi="仿宋" w:eastAsia="仿宋" w:cs="仿宋"/>
          <w:b/>
          <w:bCs/>
          <w:sz w:val="32"/>
          <w:szCs w:val="32"/>
        </w:rPr>
        <w:t>双方均未履行完毕的合同情况</w:t>
      </w:r>
    </w:p>
    <w:p w14:paraId="75674211">
      <w:pPr>
        <w:numPr>
          <w:ilvl w:val="255"/>
          <w:numId w:val="0"/>
        </w:numPr>
        <w:wordWrap w:val="0"/>
        <w:overflowPunct w:val="0"/>
        <w:spacing w:before="156" w:beforeLines="50" w:after="156" w:afterLines="50" w:line="578" w:lineRule="exact"/>
        <w:ind w:firstLine="640" w:firstLineChars="200"/>
        <w:rPr>
          <w:rFonts w:hint="eastAsia" w:ascii="仿宋" w:hAnsi="仿宋" w:eastAsia="仿宋" w:cs="仿宋"/>
          <w:bCs/>
          <w:color w:val="000000"/>
          <w:sz w:val="32"/>
          <w:szCs w:val="32"/>
        </w:rPr>
      </w:pPr>
      <w:r>
        <w:rPr>
          <w:rFonts w:hint="eastAsia" w:ascii="仿宋" w:hAnsi="仿宋" w:eastAsia="仿宋" w:cs="仿宋"/>
          <w:sz w:val="32"/>
          <w:szCs w:val="32"/>
        </w:rPr>
        <w:t>如前所述，清算组</w:t>
      </w:r>
      <w:r>
        <w:rPr>
          <w:rFonts w:hint="eastAsia" w:ascii="仿宋" w:hAnsi="仿宋" w:eastAsia="仿宋" w:cs="仿宋"/>
          <w:bCs/>
          <w:color w:val="000000"/>
          <w:sz w:val="32"/>
          <w:szCs w:val="32"/>
        </w:rPr>
        <w:t>未能接管到债务人含公章、营业执照、财务账册、合同在内的任何资料、财产。</w:t>
      </w:r>
    </w:p>
    <w:p w14:paraId="155E8C4D">
      <w:pPr>
        <w:numPr>
          <w:ilvl w:val="255"/>
          <w:numId w:val="0"/>
        </w:numPr>
        <w:wordWrap w:val="0"/>
        <w:overflowPunct w:val="0"/>
        <w:spacing w:before="156" w:beforeLines="50" w:after="156" w:afterLines="50" w:line="578" w:lineRule="exact"/>
        <w:ind w:firstLine="640" w:firstLineChars="200"/>
        <w:rPr>
          <w:rFonts w:hint="eastAsia" w:ascii="仿宋" w:hAnsi="仿宋" w:eastAsia="仿宋" w:cs="仿宋"/>
          <w:b/>
          <w:bCs/>
          <w:sz w:val="32"/>
          <w:szCs w:val="32"/>
        </w:rPr>
      </w:pPr>
      <w:r>
        <w:rPr>
          <w:rFonts w:hint="eastAsia" w:ascii="仿宋" w:hAnsi="仿宋" w:eastAsia="仿宋" w:cs="仿宋"/>
          <w:bCs/>
          <w:color w:val="000000"/>
          <w:sz w:val="32"/>
          <w:szCs w:val="32"/>
        </w:rPr>
        <w:t>经</w:t>
      </w:r>
      <w:r>
        <w:rPr>
          <w:rFonts w:hint="eastAsia" w:ascii="仿宋" w:hAnsi="仿宋" w:eastAsia="仿宋" w:cs="仿宋"/>
          <w:sz w:val="32"/>
          <w:szCs w:val="32"/>
        </w:rPr>
        <w:t>清算组公开查询，未查询到债务人有正在履行的合同，故无法掌握合同履行情况。</w:t>
      </w:r>
    </w:p>
    <w:p w14:paraId="67391ED7">
      <w:pPr>
        <w:numPr>
          <w:ilvl w:val="0"/>
          <w:numId w:val="1"/>
        </w:numPr>
        <w:wordWrap w:val="0"/>
        <w:overflowPunct w:val="0"/>
        <w:spacing w:before="156" w:beforeLines="50" w:after="156" w:afterLines="50" w:line="578" w:lineRule="exact"/>
        <w:ind w:firstLine="0"/>
        <w:rPr>
          <w:rFonts w:hint="eastAsia" w:ascii="仿宋" w:hAnsi="仿宋" w:eastAsia="仿宋" w:cs="仿宋"/>
          <w:b/>
          <w:bCs/>
          <w:sz w:val="32"/>
          <w:szCs w:val="32"/>
        </w:rPr>
      </w:pPr>
      <w:r>
        <w:rPr>
          <w:rFonts w:hint="eastAsia" w:ascii="仿宋" w:hAnsi="仿宋" w:eastAsia="仿宋" w:cs="仿宋"/>
          <w:b/>
          <w:bCs/>
          <w:sz w:val="32"/>
          <w:szCs w:val="32"/>
        </w:rPr>
        <w:t>民事诉讼、仲裁、执行案件情况</w:t>
      </w:r>
    </w:p>
    <w:p w14:paraId="15611924">
      <w:pPr>
        <w:numPr>
          <w:ilvl w:val="255"/>
          <w:numId w:val="0"/>
        </w:numPr>
        <w:wordWrap w:val="0"/>
        <w:overflowPunct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清算组通过中国裁判文书网、中国执行信息公开网、全国法院终本案件信息查询、失信被执行人信息查询等公开途径综合查询，截至本报告日，债务人</w:t>
      </w:r>
      <w:r>
        <w:rPr>
          <w:rFonts w:hint="eastAsia" w:ascii="Times New Roman" w:hAnsi="Times New Roman" w:eastAsia="仿宋" w:cs="Times New Roman"/>
          <w:sz w:val="32"/>
          <w:szCs w:val="32"/>
        </w:rPr>
        <w:t>除本清算案外，</w:t>
      </w:r>
      <w:r>
        <w:rPr>
          <w:rFonts w:ascii="Times New Roman" w:hAnsi="Times New Roman" w:eastAsia="仿宋" w:cs="Times New Roman"/>
          <w:sz w:val="32"/>
          <w:szCs w:val="32"/>
        </w:rPr>
        <w:t>无正在进行的诉讼、仲裁</w:t>
      </w:r>
      <w:r>
        <w:rPr>
          <w:rFonts w:hint="eastAsia" w:ascii="Times New Roman" w:hAnsi="Times New Roman" w:eastAsia="仿宋" w:cs="Times New Roman"/>
          <w:sz w:val="32"/>
          <w:szCs w:val="32"/>
        </w:rPr>
        <w:t>、</w:t>
      </w:r>
      <w:r>
        <w:rPr>
          <w:rFonts w:ascii="Times New Roman" w:hAnsi="Times New Roman" w:eastAsia="仿宋" w:cs="Times New Roman"/>
          <w:sz w:val="32"/>
          <w:szCs w:val="32"/>
        </w:rPr>
        <w:t>执行案件。</w:t>
      </w:r>
    </w:p>
    <w:p w14:paraId="490E374B">
      <w:pPr>
        <w:numPr>
          <w:ilvl w:val="0"/>
          <w:numId w:val="1"/>
        </w:numPr>
        <w:wordWrap w:val="0"/>
        <w:overflowPunct w:val="0"/>
        <w:spacing w:before="156" w:beforeLines="50" w:after="156" w:afterLines="50" w:line="578" w:lineRule="exact"/>
        <w:ind w:firstLine="0"/>
        <w:rPr>
          <w:rFonts w:hint="eastAsia" w:ascii="仿宋" w:hAnsi="仿宋" w:eastAsia="仿宋" w:cs="仿宋"/>
          <w:b/>
          <w:bCs/>
          <w:sz w:val="32"/>
          <w:szCs w:val="32"/>
        </w:rPr>
      </w:pPr>
      <w:r>
        <w:rPr>
          <w:rFonts w:hint="eastAsia" w:ascii="仿宋" w:hAnsi="仿宋" w:eastAsia="仿宋" w:cs="仿宋"/>
          <w:b/>
          <w:bCs/>
          <w:sz w:val="32"/>
          <w:szCs w:val="32"/>
        </w:rPr>
        <w:t>清算财产调查情况</w:t>
      </w:r>
    </w:p>
    <w:p w14:paraId="416C2172">
      <w:pPr>
        <w:wordWrap w:val="0"/>
        <w:overflowPunct w:val="0"/>
        <w:spacing w:before="156" w:beforeLines="50" w:after="156" w:afterLines="50" w:line="578" w:lineRule="exact"/>
        <w:ind w:firstLine="640" w:firstLineChars="200"/>
        <w:rPr>
          <w:rFonts w:hint="eastAsia" w:ascii="仿宋" w:hAnsi="仿宋" w:eastAsia="仿宋" w:cs="仿宋"/>
          <w:b/>
          <w:bCs/>
          <w:sz w:val="32"/>
          <w:szCs w:val="32"/>
        </w:rPr>
      </w:pPr>
      <w:r>
        <w:rPr>
          <w:rFonts w:hint="eastAsia" w:ascii="仿宋" w:hAnsi="仿宋" w:eastAsia="仿宋" w:cs="仿宋"/>
          <w:sz w:val="32"/>
          <w:szCs w:val="32"/>
        </w:rPr>
        <w:t>在清算过程中，清算组前往北京市政务服务中心查询债务人信息，结合公开检索，综合调查了债务人名下财产信息，具体情况如下：未发现债务人名下有包括机动车、土地、不动产、房屋网签交易记录等在内的任何财产信息，也无社保、医保、公积金、税务欠缴情况。</w:t>
      </w:r>
    </w:p>
    <w:p w14:paraId="6C4BED26">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银行存款、</w:t>
      </w:r>
      <w:r>
        <w:rPr>
          <w:rFonts w:hint="eastAsia" w:ascii="仿宋" w:hAnsi="仿宋" w:eastAsia="仿宋" w:cs="仿宋"/>
          <w:b/>
          <w:bCs/>
          <w:sz w:val="32"/>
          <w:szCs w:val="32"/>
        </w:rPr>
        <w:t>现金资产</w:t>
      </w:r>
    </w:p>
    <w:p w14:paraId="37D5C9BC">
      <w:pPr>
        <w:wordWrap w:val="0"/>
        <w:overflowPunct w:val="0"/>
        <w:spacing w:before="156" w:beforeLines="50" w:after="156" w:afterLines="50" w:line="578"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经公开检索、调查，未发现债务人名下银行账户，无现金等资产。</w:t>
      </w:r>
    </w:p>
    <w:p w14:paraId="1FA8FFC0">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对外投资机构、分支机构</w:t>
      </w:r>
    </w:p>
    <w:p w14:paraId="3168230C">
      <w:pPr>
        <w:pStyle w:val="11"/>
        <w:widowControl/>
        <w:numPr>
          <w:ilvl w:val="255"/>
          <w:numId w:val="0"/>
        </w:numPr>
        <w:wordWrap w:val="0"/>
        <w:overflowPunct w:val="0"/>
        <w:spacing w:before="156" w:beforeLines="50" w:after="156" w:afterLines="50" w:line="578"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经公开检索、调查，未发现债务人持有对外投资企业、分支机构。</w:t>
      </w:r>
    </w:p>
    <w:p w14:paraId="031542FA">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车辆</w:t>
      </w:r>
    </w:p>
    <w:p w14:paraId="61B72C76">
      <w:pPr>
        <w:wordWrap w:val="0"/>
        <w:overflowPunct w:val="0"/>
        <w:spacing w:before="156" w:beforeLines="50" w:after="156" w:afterLines="50" w:line="578" w:lineRule="exact"/>
        <w:ind w:firstLine="640" w:firstLineChars="200"/>
        <w:rPr>
          <w:rFonts w:hint="eastAsia" w:ascii="仿宋" w:hAnsi="仿宋" w:eastAsia="仿宋" w:cs="仿宋"/>
          <w:b/>
          <w:bCs/>
          <w:sz w:val="32"/>
          <w:szCs w:val="32"/>
        </w:rPr>
      </w:pPr>
      <w:r>
        <w:rPr>
          <w:rFonts w:hint="eastAsia" w:ascii="仿宋" w:hAnsi="仿宋" w:eastAsia="仿宋" w:cs="仿宋"/>
          <w:sz w:val="32"/>
          <w:szCs w:val="32"/>
        </w:rPr>
        <w:t>经公开检索、调查，结合北京市政务服务中心查询结果反馈，债务人名下无机动车。</w:t>
      </w:r>
    </w:p>
    <w:p w14:paraId="4B319B30">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固定资产</w:t>
      </w:r>
    </w:p>
    <w:p w14:paraId="491B55A1">
      <w:pPr>
        <w:wordWrap w:val="0"/>
        <w:overflowPunct w:val="0"/>
        <w:spacing w:before="156" w:beforeLines="50" w:after="156" w:afterLines="50" w:line="578" w:lineRule="exact"/>
        <w:ind w:firstLine="640" w:firstLineChars="200"/>
        <w:rPr>
          <w:rFonts w:hint="eastAsia" w:ascii="仿宋" w:hAnsi="仿宋" w:eastAsia="仿宋" w:cs="仿宋"/>
          <w:b/>
          <w:bCs/>
          <w:sz w:val="32"/>
          <w:szCs w:val="32"/>
        </w:rPr>
      </w:pPr>
      <w:r>
        <w:rPr>
          <w:rFonts w:hint="eastAsia" w:ascii="仿宋" w:hAnsi="仿宋" w:eastAsia="仿宋" w:cs="仿宋"/>
          <w:sz w:val="32"/>
          <w:szCs w:val="32"/>
        </w:rPr>
        <w:t>经公开检索、调查，结合北京市政务服务中心查询结果反馈，债务人名下无固定资产。</w:t>
      </w:r>
    </w:p>
    <w:p w14:paraId="38B0EF7C">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不动产（土地、房屋）</w:t>
      </w:r>
    </w:p>
    <w:p w14:paraId="76E03465">
      <w:pPr>
        <w:wordWrap w:val="0"/>
        <w:overflowPunct w:val="0"/>
        <w:spacing w:before="156" w:beforeLines="50" w:after="156" w:afterLines="50" w:line="578" w:lineRule="exact"/>
        <w:ind w:firstLine="640" w:firstLineChars="200"/>
        <w:rPr>
          <w:rFonts w:hint="eastAsia" w:ascii="仿宋" w:hAnsi="仿宋" w:eastAsia="仿宋" w:cs="仿宋"/>
          <w:b/>
          <w:bCs/>
          <w:sz w:val="32"/>
          <w:szCs w:val="32"/>
        </w:rPr>
      </w:pPr>
      <w:r>
        <w:rPr>
          <w:rFonts w:hint="eastAsia" w:ascii="仿宋" w:hAnsi="仿宋" w:eastAsia="仿宋" w:cs="仿宋"/>
          <w:sz w:val="32"/>
          <w:szCs w:val="32"/>
        </w:rPr>
        <w:t>经公开检索、调查，结合北京市政务服务中心查询结果反馈，债务人名下无土地、不动产，无房屋网签交易记录。</w:t>
      </w:r>
    </w:p>
    <w:p w14:paraId="12470A6B">
      <w:pPr>
        <w:numPr>
          <w:ilvl w:val="0"/>
          <w:numId w:val="6"/>
        </w:numPr>
        <w:spacing w:before="156" w:beforeLines="50" w:after="156" w:afterLines="50" w:line="578" w:lineRule="exact"/>
        <w:ind w:firstLine="643" w:firstLineChars="200"/>
        <w:rPr>
          <w:rFonts w:hint="eastAsia" w:ascii="仿宋" w:hAnsi="仿宋" w:eastAsia="仿宋" w:cs="仿宋"/>
          <w:b/>
          <w:bCs/>
          <w:sz w:val="32"/>
          <w:szCs w:val="32"/>
          <w:lang w:val="zh-CN"/>
        </w:rPr>
      </w:pPr>
      <w:r>
        <w:rPr>
          <w:rFonts w:hint="eastAsia" w:ascii="仿宋" w:hAnsi="仿宋" w:eastAsia="仿宋" w:cs="仿宋"/>
          <w:b/>
          <w:bCs/>
          <w:sz w:val="32"/>
          <w:szCs w:val="32"/>
          <w:lang w:val="zh-CN"/>
        </w:rPr>
        <w:t>无形资产、对外应收债权在内的其他财产</w:t>
      </w:r>
    </w:p>
    <w:p w14:paraId="4A676AEF">
      <w:pPr>
        <w:wordWrap w:val="0"/>
        <w:overflowPunct w:val="0"/>
        <w:spacing w:before="156" w:beforeLines="50" w:after="156" w:afterLines="50" w:line="578"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经公开检索、调查，债务人名下无包括无形资产、对外应收债权在内的其他财产及财产线索。</w:t>
      </w:r>
    </w:p>
    <w:p w14:paraId="7C7E3846">
      <w:pPr>
        <w:wordWrap w:val="0"/>
        <w:overflowPunct w:val="0"/>
        <w:spacing w:before="156" w:beforeLines="50" w:after="156" w:afterLines="50" w:line="578"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综上，债务人无任何有效财产。</w:t>
      </w:r>
    </w:p>
    <w:p w14:paraId="1141D363">
      <w:pPr>
        <w:numPr>
          <w:ilvl w:val="0"/>
          <w:numId w:val="1"/>
        </w:numPr>
        <w:wordWrap w:val="0"/>
        <w:overflowPunct w:val="0"/>
        <w:spacing w:before="156" w:beforeLines="50" w:after="156" w:afterLines="50" w:line="578" w:lineRule="exact"/>
        <w:ind w:firstLine="0"/>
        <w:rPr>
          <w:rFonts w:ascii="Times New Roman" w:hAnsi="Times New Roman" w:eastAsia="仿宋" w:cs="Times New Roman"/>
          <w:b/>
          <w:bCs/>
          <w:sz w:val="32"/>
          <w:szCs w:val="32"/>
        </w:rPr>
      </w:pPr>
      <w:r>
        <w:rPr>
          <w:rFonts w:ascii="Times New Roman" w:hAnsi="Times New Roman" w:eastAsia="仿宋" w:cs="Times New Roman"/>
          <w:b/>
          <w:bCs/>
          <w:sz w:val="32"/>
          <w:szCs w:val="32"/>
        </w:rPr>
        <w:t>债权申报情况</w:t>
      </w:r>
    </w:p>
    <w:p w14:paraId="25573D7B">
      <w:pPr>
        <w:numPr>
          <w:ilvl w:val="255"/>
          <w:numId w:val="0"/>
        </w:numPr>
        <w:wordWrap w:val="0"/>
        <w:spacing w:before="156" w:beforeLines="50" w:after="156" w:afterLines="50" w:line="578" w:lineRule="exact"/>
        <w:ind w:firstLine="640" w:firstLineChars="200"/>
        <w:rPr>
          <w:rFonts w:ascii="Times New Roman" w:hAnsi="Times New Roman" w:eastAsia="仿宋" w:cs="Times New Roman"/>
          <w:sz w:val="32"/>
          <w:szCs w:val="32"/>
          <w:highlight w:val="green"/>
        </w:rPr>
      </w:pPr>
      <w:r>
        <w:rPr>
          <w:rFonts w:ascii="Times New Roman" w:hAnsi="Times New Roman" w:eastAsia="仿宋" w:cs="Times New Roman"/>
          <w:sz w:val="32"/>
          <w:szCs w:val="32"/>
        </w:rPr>
        <w:t>清算组向已知联系方式的5位(含社保、医保、税务、公积金、本案申请人）潜在债权人发送了债权申报通知，截至债权申报截止日，无债权人向清算组申报债权。</w:t>
      </w:r>
    </w:p>
    <w:p w14:paraId="1EDE5A39">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债权申报期间，根据北京市政务服务中心综合查询结果反馈，债务人目前已无在职员工，无欠缴公积金。截止本报告日，债务人无职工债权。</w:t>
      </w:r>
    </w:p>
    <w:p w14:paraId="5337FB92">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根据北京市政务服务中心综合查询结果反馈，债务人不存在社保、医保、住房公积金欠缴费情况。债权申报期间，社保、医保等部门均未向清算组申报债权，故债务人无社保、医保债权。</w:t>
      </w:r>
    </w:p>
    <w:p w14:paraId="25BAF917">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另根据</w:t>
      </w:r>
      <w:r>
        <w:rPr>
          <w:rFonts w:hint="eastAsia" w:ascii="Times New Roman" w:hAnsi="Times New Roman" w:eastAsia="仿宋" w:cs="Times New Roman"/>
          <w:sz w:val="32"/>
          <w:szCs w:val="32"/>
        </w:rPr>
        <w:t>税务部门</w:t>
      </w:r>
      <w:r>
        <w:rPr>
          <w:rFonts w:ascii="Times New Roman" w:hAnsi="Times New Roman" w:eastAsia="仿宋" w:cs="Times New Roman"/>
          <w:sz w:val="32"/>
          <w:szCs w:val="32"/>
        </w:rPr>
        <w:t>反馈债务人存在</w:t>
      </w:r>
      <w:r>
        <w:rPr>
          <w:rFonts w:hint="eastAsia" w:ascii="Times New Roman" w:hAnsi="Times New Roman" w:eastAsia="仿宋" w:cs="Times New Roman"/>
          <w:sz w:val="32"/>
          <w:szCs w:val="32"/>
        </w:rPr>
        <w:t>行政处罚罚金1,600.00元</w:t>
      </w:r>
      <w:r>
        <w:rPr>
          <w:rFonts w:ascii="Times New Roman" w:hAnsi="Times New Roman" w:eastAsia="仿宋" w:cs="Times New Roman"/>
          <w:sz w:val="32"/>
          <w:szCs w:val="32"/>
        </w:rPr>
        <w:t>，</w:t>
      </w:r>
      <w:r>
        <w:rPr>
          <w:rFonts w:hint="eastAsia" w:ascii="Times New Roman" w:hAnsi="Times New Roman" w:eastAsia="仿宋" w:cs="Times New Roman"/>
          <w:sz w:val="32"/>
          <w:szCs w:val="32"/>
        </w:rPr>
        <w:t>后续清算组将在终结程序后前往税务部门现场缴纳罚金并办理注销业务</w:t>
      </w:r>
      <w:r>
        <w:rPr>
          <w:rFonts w:ascii="Times New Roman" w:hAnsi="Times New Roman" w:eastAsia="仿宋" w:cs="Times New Roman"/>
          <w:sz w:val="32"/>
          <w:szCs w:val="32"/>
        </w:rPr>
        <w:t>。</w:t>
      </w:r>
    </w:p>
    <w:p w14:paraId="10F2B429">
      <w:pPr>
        <w:numPr>
          <w:ilvl w:val="255"/>
          <w:numId w:val="0"/>
        </w:numPr>
        <w:wordWrap w:val="0"/>
        <w:spacing w:before="156" w:beforeLines="50" w:after="156" w:afterLines="50" w:line="578"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综上，债务人无任何债权，截至目前也无新增债权人向清算组申报债权。</w:t>
      </w:r>
    </w:p>
    <w:p w14:paraId="49F64357">
      <w:pPr>
        <w:numPr>
          <w:ilvl w:val="0"/>
          <w:numId w:val="1"/>
        </w:numPr>
        <w:spacing w:before="156" w:beforeLines="50" w:after="156" w:afterLines="50" w:line="578" w:lineRule="exact"/>
        <w:ind w:firstLine="0"/>
        <w:rPr>
          <w:rFonts w:ascii="Times New Roman" w:hAnsi="Times New Roman" w:eastAsia="仿宋" w:cs="Times New Roman"/>
          <w:b/>
          <w:bCs/>
          <w:sz w:val="32"/>
          <w:szCs w:val="32"/>
        </w:rPr>
      </w:pPr>
      <w:r>
        <w:rPr>
          <w:rFonts w:ascii="Times New Roman" w:hAnsi="Times New Roman" w:eastAsia="仿宋" w:cs="Times New Roman"/>
          <w:b/>
          <w:bCs/>
          <w:sz w:val="32"/>
          <w:szCs w:val="32"/>
        </w:rPr>
        <w:t>清算费用</w:t>
      </w:r>
      <w:r>
        <w:rPr>
          <w:rFonts w:hint="eastAsia" w:ascii="Times New Roman" w:hAnsi="Times New Roman" w:eastAsia="仿宋" w:cs="Times New Roman"/>
          <w:b/>
          <w:bCs/>
          <w:sz w:val="32"/>
          <w:szCs w:val="32"/>
        </w:rPr>
        <w:t>及支付</w:t>
      </w:r>
      <w:r>
        <w:rPr>
          <w:rFonts w:ascii="Times New Roman" w:hAnsi="Times New Roman" w:eastAsia="仿宋" w:cs="Times New Roman"/>
          <w:b/>
          <w:bCs/>
          <w:sz w:val="32"/>
          <w:szCs w:val="32"/>
        </w:rPr>
        <w:t>情况</w:t>
      </w:r>
    </w:p>
    <w:p w14:paraId="07822E29">
      <w:pPr>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本案清算费用包括执行职务费用、清算案件受理费、清算组报酬以及因变价、注销等执行职务可能产生的费用。已产生的清算费用和预</w:t>
      </w:r>
      <w:r>
        <w:rPr>
          <w:rFonts w:hint="eastAsia" w:ascii="Times New Roman" w:hAnsi="Times New Roman" w:eastAsia="仿宋" w:cs="Times New Roman"/>
          <w:sz w:val="32"/>
          <w:szCs w:val="32"/>
        </w:rPr>
        <w:t>计产生的</w:t>
      </w:r>
      <w:r>
        <w:rPr>
          <w:rFonts w:ascii="Times New Roman" w:hAnsi="Times New Roman" w:eastAsia="仿宋" w:cs="Times New Roman"/>
          <w:sz w:val="32"/>
          <w:szCs w:val="32"/>
        </w:rPr>
        <w:t>费用共计2,866.45元。具体如下：</w:t>
      </w:r>
    </w:p>
    <w:p w14:paraId="28318E4C">
      <w:pPr>
        <w:pStyle w:val="11"/>
        <w:numPr>
          <w:ilvl w:val="0"/>
          <w:numId w:val="7"/>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截至目前已发生的执行职务费用包括刻章费</w:t>
      </w:r>
      <w:r>
        <w:rPr>
          <w:rFonts w:hint="eastAsia" w:ascii="Times New Roman" w:hAnsi="Times New Roman" w:eastAsia="仿宋" w:cs="Times New Roman"/>
          <w:color w:val="000000"/>
          <w:sz w:val="32"/>
          <w:szCs w:val="32"/>
        </w:rPr>
        <w:t>450</w:t>
      </w:r>
      <w:r>
        <w:rPr>
          <w:rFonts w:ascii="Times New Roman" w:hAnsi="Times New Roman" w:eastAsia="仿宋" w:cs="Times New Roman"/>
          <w:color w:val="000000"/>
          <w:sz w:val="32"/>
          <w:szCs w:val="32"/>
        </w:rPr>
        <w:t>.00元、快递费2</w:t>
      </w:r>
      <w:r>
        <w:rPr>
          <w:rFonts w:hint="eastAsia" w:ascii="Times New Roman" w:hAnsi="Times New Roman" w:eastAsia="仿宋" w:cs="Times New Roman"/>
          <w:color w:val="000000"/>
          <w:sz w:val="32"/>
          <w:szCs w:val="32"/>
        </w:rPr>
        <w:t>10</w:t>
      </w:r>
      <w:r>
        <w:rPr>
          <w:rFonts w:ascii="Times New Roman" w:hAnsi="Times New Roman" w:eastAsia="仿宋" w:cs="Times New Roman"/>
          <w:color w:val="000000"/>
          <w:sz w:val="32"/>
          <w:szCs w:val="32"/>
        </w:rPr>
        <w:t>.0</w:t>
      </w:r>
      <w:r>
        <w:rPr>
          <w:rFonts w:hint="eastAsia" w:ascii="Times New Roman" w:hAnsi="Times New Roman" w:eastAsia="仿宋" w:cs="Times New Roman"/>
          <w:color w:val="000000"/>
          <w:sz w:val="32"/>
          <w:szCs w:val="32"/>
        </w:rPr>
        <w:t>5</w:t>
      </w:r>
      <w:r>
        <w:rPr>
          <w:rFonts w:ascii="Times New Roman" w:hAnsi="Times New Roman" w:eastAsia="仿宋" w:cs="Times New Roman"/>
          <w:color w:val="000000"/>
          <w:sz w:val="32"/>
          <w:szCs w:val="32"/>
        </w:rPr>
        <w:t>元、外出交通费及办公费等</w:t>
      </w:r>
      <w:r>
        <w:rPr>
          <w:rFonts w:hint="eastAsia" w:ascii="Times New Roman" w:hAnsi="Times New Roman" w:eastAsia="仿宋" w:cs="Times New Roman"/>
          <w:color w:val="000000"/>
          <w:sz w:val="32"/>
          <w:szCs w:val="32"/>
        </w:rPr>
        <w:t>206</w:t>
      </w:r>
      <w:r>
        <w:rPr>
          <w:rFonts w:ascii="Times New Roman" w:hAnsi="Times New Roman" w:eastAsia="仿宋" w:cs="Times New Roman"/>
          <w:color w:val="000000"/>
          <w:sz w:val="32"/>
          <w:szCs w:val="32"/>
        </w:rPr>
        <w:t>.</w:t>
      </w:r>
      <w:r>
        <w:rPr>
          <w:rFonts w:hint="eastAsia" w:ascii="Times New Roman" w:hAnsi="Times New Roman" w:eastAsia="仿宋" w:cs="Times New Roman"/>
          <w:color w:val="000000"/>
          <w:sz w:val="32"/>
          <w:szCs w:val="32"/>
        </w:rPr>
        <w:t>4</w:t>
      </w:r>
      <w:r>
        <w:rPr>
          <w:rFonts w:ascii="Times New Roman" w:hAnsi="Times New Roman" w:eastAsia="仿宋" w:cs="Times New Roman"/>
          <w:color w:val="000000"/>
          <w:sz w:val="32"/>
          <w:szCs w:val="32"/>
        </w:rPr>
        <w:t>0元。以上，清算组执行职务费用共计</w:t>
      </w:r>
      <w:r>
        <w:rPr>
          <w:rFonts w:hint="eastAsia" w:ascii="Times New Roman" w:hAnsi="Times New Roman" w:eastAsia="仿宋" w:cs="Times New Roman"/>
          <w:color w:val="000000"/>
          <w:sz w:val="32"/>
          <w:szCs w:val="32"/>
        </w:rPr>
        <w:t>866</w:t>
      </w:r>
      <w:r>
        <w:rPr>
          <w:rFonts w:ascii="Times New Roman" w:hAnsi="Times New Roman" w:eastAsia="仿宋" w:cs="Times New Roman"/>
          <w:color w:val="000000"/>
          <w:sz w:val="32"/>
          <w:szCs w:val="32"/>
        </w:rPr>
        <w:t>.</w:t>
      </w:r>
      <w:r>
        <w:rPr>
          <w:rFonts w:hint="eastAsia" w:ascii="Times New Roman" w:hAnsi="Times New Roman" w:eastAsia="仿宋" w:cs="Times New Roman"/>
          <w:color w:val="000000"/>
          <w:sz w:val="32"/>
          <w:szCs w:val="32"/>
        </w:rPr>
        <w:t>45</w:t>
      </w:r>
      <w:r>
        <w:rPr>
          <w:rFonts w:ascii="Times New Roman" w:hAnsi="Times New Roman" w:eastAsia="仿宋" w:cs="Times New Roman"/>
          <w:color w:val="000000"/>
          <w:sz w:val="32"/>
          <w:szCs w:val="32"/>
        </w:rPr>
        <w:t>元。</w:t>
      </w:r>
    </w:p>
    <w:p w14:paraId="102CC451">
      <w:pPr>
        <w:pStyle w:val="11"/>
        <w:numPr>
          <w:ilvl w:val="0"/>
          <w:numId w:val="7"/>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本案后续仍将因</w:t>
      </w:r>
      <w:r>
        <w:rPr>
          <w:rFonts w:hint="eastAsia" w:ascii="Times New Roman" w:hAnsi="Times New Roman" w:eastAsia="仿宋" w:cs="Times New Roman"/>
          <w:color w:val="000000"/>
          <w:sz w:val="32"/>
          <w:szCs w:val="32"/>
        </w:rPr>
        <w:t>税务、工商</w:t>
      </w:r>
      <w:r>
        <w:rPr>
          <w:rFonts w:ascii="Times New Roman" w:hAnsi="Times New Roman" w:eastAsia="仿宋" w:cs="Times New Roman"/>
          <w:color w:val="000000"/>
          <w:sz w:val="32"/>
          <w:szCs w:val="32"/>
        </w:rPr>
        <w:t>注销等执行职务</w:t>
      </w:r>
      <w:r>
        <w:rPr>
          <w:rFonts w:hint="eastAsia" w:ascii="Times New Roman" w:hAnsi="Times New Roman" w:eastAsia="仿宋" w:cs="Times New Roman"/>
          <w:color w:val="000000"/>
          <w:sz w:val="32"/>
          <w:szCs w:val="32"/>
        </w:rPr>
        <w:t>预计</w:t>
      </w:r>
      <w:r>
        <w:rPr>
          <w:rFonts w:ascii="Times New Roman" w:hAnsi="Times New Roman" w:eastAsia="仿宋" w:cs="Times New Roman"/>
          <w:color w:val="000000"/>
          <w:sz w:val="32"/>
          <w:szCs w:val="32"/>
        </w:rPr>
        <w:t>产生清算费用</w:t>
      </w:r>
      <w:r>
        <w:rPr>
          <w:rFonts w:hint="eastAsia" w:ascii="Times New Roman" w:hAnsi="Times New Roman" w:eastAsia="仿宋" w:cs="Times New Roman"/>
          <w:color w:val="000000"/>
          <w:sz w:val="32"/>
          <w:szCs w:val="32"/>
        </w:rPr>
        <w:t>2</w:t>
      </w:r>
      <w:r>
        <w:rPr>
          <w:rFonts w:ascii="Times New Roman" w:hAnsi="Times New Roman" w:eastAsia="仿宋" w:cs="Times New Roman"/>
          <w:color w:val="000000"/>
          <w:sz w:val="32"/>
          <w:szCs w:val="32"/>
        </w:rPr>
        <w:t>,000.00元。</w:t>
      </w:r>
    </w:p>
    <w:p w14:paraId="20740E93">
      <w:pPr>
        <w:pStyle w:val="11"/>
        <w:numPr>
          <w:ilvl w:val="0"/>
          <w:numId w:val="7"/>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清算案件受理费最终以人民法院依法收取的金额为准。</w:t>
      </w:r>
    </w:p>
    <w:p w14:paraId="1F5FEB41">
      <w:pPr>
        <w:pStyle w:val="11"/>
        <w:numPr>
          <w:ilvl w:val="0"/>
          <w:numId w:val="7"/>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清算组报酬：经询问，申请人同意自垫付费用中支付清算组报酬。</w:t>
      </w:r>
    </w:p>
    <w:p w14:paraId="3DD0EBE3">
      <w:pPr>
        <w:pStyle w:val="11"/>
        <w:numPr>
          <w:ilvl w:val="0"/>
          <w:numId w:val="7"/>
        </w:numPr>
        <w:wordWrap w:val="0"/>
        <w:adjustRightInd w:val="0"/>
        <w:spacing w:before="156" w:beforeLines="50" w:after="156" w:afterLines="50" w:line="578" w:lineRule="exact"/>
        <w:ind w:firstLine="640"/>
        <w:textAlignment w:val="baseline"/>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清算费用支付情况</w:t>
      </w:r>
    </w:p>
    <w:p w14:paraId="12F6440D">
      <w:pPr>
        <w:pStyle w:val="2"/>
        <w:widowControl w:val="0"/>
        <w:spacing w:before="156" w:beforeLines="50" w:after="156" w:afterLines="50" w:line="578" w:lineRule="exact"/>
        <w:ind w:firstLine="640"/>
        <w:jc w:val="both"/>
        <w:rPr>
          <w:rFonts w:eastAsia="仿宋"/>
          <w:kern w:val="2"/>
          <w:sz w:val="32"/>
          <w:szCs w:val="32"/>
        </w:rPr>
      </w:pPr>
      <w:r>
        <w:rPr>
          <w:rFonts w:eastAsia="仿宋"/>
          <w:kern w:val="2"/>
          <w:sz w:val="32"/>
          <w:szCs w:val="32"/>
        </w:rPr>
        <w:t>本案申请人已垫付3万元费用，经询问，申请人同意将垫付费用用于支付本案清算费用（含预留费用）及清算组报酬。</w:t>
      </w:r>
    </w:p>
    <w:p w14:paraId="0C9D5F5F">
      <w:pPr>
        <w:pStyle w:val="2"/>
        <w:widowControl w:val="0"/>
        <w:spacing w:before="156" w:beforeLines="50" w:after="156" w:afterLines="50" w:line="578" w:lineRule="exact"/>
        <w:ind w:firstLine="640"/>
        <w:jc w:val="both"/>
        <w:rPr>
          <w:rFonts w:eastAsia="仿宋"/>
          <w:b/>
          <w:bCs/>
          <w:kern w:val="2"/>
          <w:sz w:val="32"/>
          <w:szCs w:val="32"/>
        </w:rPr>
      </w:pPr>
      <w:r>
        <w:rPr>
          <w:rFonts w:eastAsia="仿宋"/>
          <w:kern w:val="2"/>
          <w:sz w:val="32"/>
          <w:szCs w:val="32"/>
        </w:rPr>
        <w:t>清算费用如下：</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4111"/>
        <w:gridCol w:w="3333"/>
      </w:tblGrid>
      <w:tr w14:paraId="6CFF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2" w:type="dxa"/>
            <w:gridSpan w:val="3"/>
            <w:shd w:val="clear" w:color="auto" w:fill="CFCECE" w:themeFill="background2" w:themeFillShade="E5"/>
            <w:vAlign w:val="center"/>
          </w:tcPr>
          <w:p w14:paraId="0C607F47">
            <w:pPr>
              <w:keepNext/>
              <w:snapToGrid w:val="0"/>
              <w:jc w:val="center"/>
              <w:rPr>
                <w:rFonts w:ascii="Times New Roman" w:hAnsi="Times New Roman" w:eastAsia="仿宋" w:cs="Times New Roman"/>
                <w:b/>
                <w:bCs/>
                <w:sz w:val="24"/>
              </w:rPr>
            </w:pPr>
            <w:r>
              <w:rPr>
                <w:rFonts w:ascii="Times New Roman" w:hAnsi="Times New Roman" w:eastAsia="仿宋" w:cs="Times New Roman"/>
                <w:b/>
                <w:bCs/>
                <w:sz w:val="28"/>
                <w:szCs w:val="28"/>
              </w:rPr>
              <w:t>清算费用</w:t>
            </w:r>
            <w:r>
              <w:rPr>
                <w:rFonts w:hint="eastAsia" w:ascii="Times New Roman" w:hAnsi="Times New Roman" w:eastAsia="仿宋" w:cs="Times New Roman"/>
                <w:b/>
                <w:bCs/>
                <w:sz w:val="28"/>
                <w:szCs w:val="28"/>
              </w:rPr>
              <w:t>统计</w:t>
            </w:r>
            <w:r>
              <w:rPr>
                <w:rFonts w:ascii="Times New Roman" w:hAnsi="Times New Roman" w:eastAsia="仿宋" w:cs="Times New Roman"/>
                <w:b/>
                <w:bCs/>
                <w:sz w:val="28"/>
                <w:szCs w:val="28"/>
              </w:rPr>
              <w:t>表</w:t>
            </w:r>
          </w:p>
        </w:tc>
      </w:tr>
      <w:tr w14:paraId="5BD7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8" w:type="dxa"/>
            <w:shd w:val="clear" w:color="auto" w:fill="CFCECE" w:themeFill="background2" w:themeFillShade="E5"/>
            <w:vAlign w:val="center"/>
          </w:tcPr>
          <w:p w14:paraId="23527497">
            <w:pPr>
              <w:keepNext/>
              <w:snapToGrid w:val="0"/>
              <w:jc w:val="center"/>
              <w:rPr>
                <w:rFonts w:ascii="Times New Roman" w:hAnsi="Times New Roman" w:eastAsia="仿宋" w:cs="Times New Roman"/>
                <w:b/>
                <w:bCs/>
                <w:sz w:val="24"/>
                <w:lang w:val="zh-CN"/>
              </w:rPr>
            </w:pPr>
            <w:r>
              <w:rPr>
                <w:rFonts w:ascii="Times New Roman" w:hAnsi="Times New Roman" w:eastAsia="仿宋" w:cs="Times New Roman"/>
                <w:b/>
                <w:bCs/>
                <w:sz w:val="24"/>
                <w:lang w:val="zh-CN"/>
              </w:rPr>
              <w:t>序号</w:t>
            </w:r>
          </w:p>
        </w:tc>
        <w:tc>
          <w:tcPr>
            <w:tcW w:w="4111" w:type="dxa"/>
            <w:shd w:val="clear" w:color="auto" w:fill="CFCECE" w:themeFill="background2" w:themeFillShade="E5"/>
            <w:vAlign w:val="center"/>
          </w:tcPr>
          <w:p w14:paraId="2D4F83DF">
            <w:pPr>
              <w:keepNext/>
              <w:snapToGrid w:val="0"/>
              <w:jc w:val="center"/>
              <w:rPr>
                <w:rFonts w:ascii="Times New Roman" w:hAnsi="Times New Roman" w:eastAsia="仿宋" w:cs="Times New Roman"/>
                <w:b/>
                <w:bCs/>
                <w:sz w:val="24"/>
                <w:lang w:val="zh-CN"/>
              </w:rPr>
            </w:pPr>
            <w:r>
              <w:rPr>
                <w:rFonts w:ascii="Times New Roman" w:hAnsi="Times New Roman" w:eastAsia="仿宋" w:cs="Times New Roman"/>
                <w:b/>
                <w:bCs/>
                <w:sz w:val="24"/>
              </w:rPr>
              <w:t>类别</w:t>
            </w:r>
          </w:p>
        </w:tc>
        <w:tc>
          <w:tcPr>
            <w:tcW w:w="3333" w:type="dxa"/>
            <w:shd w:val="clear" w:color="auto" w:fill="CFCECE" w:themeFill="background2" w:themeFillShade="E5"/>
            <w:vAlign w:val="center"/>
          </w:tcPr>
          <w:p w14:paraId="5E82D2A2">
            <w:pPr>
              <w:keepNext/>
              <w:snapToGrid w:val="0"/>
              <w:jc w:val="center"/>
              <w:rPr>
                <w:rFonts w:ascii="Times New Roman" w:hAnsi="Times New Roman" w:eastAsia="仿宋" w:cs="Times New Roman"/>
                <w:b/>
                <w:bCs/>
                <w:sz w:val="24"/>
              </w:rPr>
            </w:pPr>
            <w:r>
              <w:rPr>
                <w:rFonts w:ascii="Times New Roman" w:hAnsi="Times New Roman" w:eastAsia="仿宋" w:cs="Times New Roman"/>
                <w:b/>
                <w:bCs/>
                <w:sz w:val="24"/>
              </w:rPr>
              <w:t>金额</w:t>
            </w:r>
          </w:p>
        </w:tc>
      </w:tr>
      <w:tr w14:paraId="7502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14:paraId="74B43C7C">
            <w:pPr>
              <w:keepNext/>
              <w:numPr>
                <w:ilvl w:val="0"/>
                <w:numId w:val="8"/>
              </w:numPr>
              <w:snapToGrid w:val="0"/>
              <w:ind w:left="0" w:firstLine="0"/>
              <w:jc w:val="center"/>
              <w:rPr>
                <w:rFonts w:ascii="Times New Roman" w:hAnsi="Times New Roman" w:eastAsia="仿宋" w:cs="Times New Roman"/>
                <w:sz w:val="24"/>
                <w:lang w:val="zh-CN"/>
              </w:rPr>
            </w:pPr>
          </w:p>
        </w:tc>
        <w:tc>
          <w:tcPr>
            <w:tcW w:w="4111" w:type="dxa"/>
            <w:vAlign w:val="center"/>
          </w:tcPr>
          <w:p w14:paraId="41814DEB">
            <w:pPr>
              <w:keepNext/>
              <w:snapToGrid w:val="0"/>
              <w:jc w:val="center"/>
              <w:rPr>
                <w:rFonts w:ascii="Times New Roman" w:hAnsi="Times New Roman" w:eastAsia="仿宋" w:cs="Times New Roman"/>
                <w:sz w:val="24"/>
              </w:rPr>
            </w:pPr>
            <w:r>
              <w:rPr>
                <w:rFonts w:ascii="Times New Roman" w:hAnsi="Times New Roman" w:eastAsia="仿宋" w:cs="Times New Roman"/>
                <w:sz w:val="24"/>
              </w:rPr>
              <w:t>刻章费</w:t>
            </w:r>
          </w:p>
        </w:tc>
        <w:tc>
          <w:tcPr>
            <w:tcW w:w="3333" w:type="dxa"/>
            <w:vAlign w:val="center"/>
          </w:tcPr>
          <w:p w14:paraId="1897075E">
            <w:pPr>
              <w:keepNext/>
              <w:widowControl/>
              <w:snapToGrid w:val="0"/>
              <w:jc w:val="right"/>
              <w:textAlignment w:val="center"/>
              <w:rPr>
                <w:rFonts w:ascii="Times New Roman" w:hAnsi="Times New Roman" w:eastAsia="仿宋" w:cs="Times New Roman"/>
                <w:sz w:val="24"/>
              </w:rPr>
            </w:pPr>
            <w:r>
              <w:rPr>
                <w:rFonts w:ascii="Times New Roman" w:hAnsi="Times New Roman" w:eastAsia="仿宋" w:cs="Times New Roman"/>
                <w:sz w:val="24"/>
              </w:rPr>
              <w:t>4</w:t>
            </w:r>
            <w:r>
              <w:rPr>
                <w:rFonts w:hint="eastAsia" w:ascii="Times New Roman" w:hAnsi="Times New Roman" w:eastAsia="仿宋" w:cs="Times New Roman"/>
                <w:sz w:val="24"/>
              </w:rPr>
              <w:t>50</w:t>
            </w:r>
            <w:r>
              <w:rPr>
                <w:rFonts w:ascii="Times New Roman" w:hAnsi="Times New Roman" w:eastAsia="仿宋" w:cs="Times New Roman"/>
                <w:sz w:val="24"/>
              </w:rPr>
              <w:t>.00</w:t>
            </w:r>
          </w:p>
        </w:tc>
      </w:tr>
      <w:tr w14:paraId="627F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14:paraId="74CBB76D">
            <w:pPr>
              <w:keepNext/>
              <w:numPr>
                <w:ilvl w:val="0"/>
                <w:numId w:val="8"/>
              </w:numPr>
              <w:snapToGrid w:val="0"/>
              <w:ind w:left="0" w:firstLine="0"/>
              <w:jc w:val="center"/>
              <w:rPr>
                <w:rFonts w:ascii="Times New Roman" w:hAnsi="Times New Roman" w:eastAsia="仿宋" w:cs="Times New Roman"/>
                <w:sz w:val="24"/>
              </w:rPr>
            </w:pPr>
          </w:p>
        </w:tc>
        <w:tc>
          <w:tcPr>
            <w:tcW w:w="4111" w:type="dxa"/>
            <w:vAlign w:val="center"/>
          </w:tcPr>
          <w:p w14:paraId="4648B706">
            <w:pPr>
              <w:keepNext/>
              <w:snapToGrid w:val="0"/>
              <w:jc w:val="center"/>
              <w:rPr>
                <w:rFonts w:ascii="Times New Roman" w:hAnsi="Times New Roman" w:eastAsia="仿宋" w:cs="Times New Roman"/>
                <w:sz w:val="24"/>
              </w:rPr>
            </w:pPr>
            <w:r>
              <w:rPr>
                <w:rFonts w:ascii="Times New Roman" w:hAnsi="Times New Roman" w:eastAsia="仿宋" w:cs="Times New Roman"/>
                <w:sz w:val="24"/>
              </w:rPr>
              <w:t>外出交通费及办公费</w:t>
            </w:r>
          </w:p>
        </w:tc>
        <w:tc>
          <w:tcPr>
            <w:tcW w:w="3333" w:type="dxa"/>
            <w:vAlign w:val="center"/>
          </w:tcPr>
          <w:p w14:paraId="6EA246B4">
            <w:pPr>
              <w:keepNext/>
              <w:widowControl/>
              <w:snapToGrid w:val="0"/>
              <w:jc w:val="right"/>
              <w:textAlignment w:val="center"/>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rPr>
              <w:t>10</w:t>
            </w:r>
            <w:r>
              <w:rPr>
                <w:rFonts w:ascii="Times New Roman" w:hAnsi="Times New Roman" w:eastAsia="仿宋" w:cs="Times New Roman"/>
                <w:sz w:val="24"/>
              </w:rPr>
              <w:t>.</w:t>
            </w:r>
            <w:r>
              <w:rPr>
                <w:rFonts w:hint="eastAsia" w:ascii="Times New Roman" w:hAnsi="Times New Roman" w:eastAsia="仿宋" w:cs="Times New Roman"/>
                <w:sz w:val="24"/>
              </w:rPr>
              <w:t>05</w:t>
            </w:r>
          </w:p>
        </w:tc>
      </w:tr>
      <w:tr w14:paraId="7433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14:paraId="4D6B1BE4">
            <w:pPr>
              <w:keepNext/>
              <w:numPr>
                <w:ilvl w:val="0"/>
                <w:numId w:val="8"/>
              </w:numPr>
              <w:snapToGrid w:val="0"/>
              <w:ind w:left="0" w:firstLine="0"/>
              <w:jc w:val="center"/>
              <w:rPr>
                <w:rFonts w:ascii="Times New Roman" w:hAnsi="Times New Roman" w:eastAsia="仿宋" w:cs="Times New Roman"/>
                <w:sz w:val="24"/>
              </w:rPr>
            </w:pPr>
          </w:p>
        </w:tc>
        <w:tc>
          <w:tcPr>
            <w:tcW w:w="4111" w:type="dxa"/>
            <w:vAlign w:val="center"/>
          </w:tcPr>
          <w:p w14:paraId="2119EA13">
            <w:pPr>
              <w:keepNext/>
              <w:snapToGrid w:val="0"/>
              <w:jc w:val="center"/>
              <w:rPr>
                <w:rFonts w:ascii="Times New Roman" w:hAnsi="Times New Roman" w:eastAsia="仿宋" w:cs="Times New Roman"/>
                <w:sz w:val="24"/>
              </w:rPr>
            </w:pPr>
            <w:r>
              <w:rPr>
                <w:rFonts w:ascii="Times New Roman" w:hAnsi="Times New Roman" w:eastAsia="仿宋" w:cs="Times New Roman"/>
                <w:sz w:val="24"/>
              </w:rPr>
              <w:t>快递费</w:t>
            </w:r>
          </w:p>
        </w:tc>
        <w:tc>
          <w:tcPr>
            <w:tcW w:w="3333" w:type="dxa"/>
            <w:vAlign w:val="center"/>
          </w:tcPr>
          <w:p w14:paraId="7A35921F">
            <w:pPr>
              <w:keepNext/>
              <w:widowControl/>
              <w:snapToGrid w:val="0"/>
              <w:jc w:val="right"/>
              <w:textAlignment w:val="center"/>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rPr>
              <w:t>06</w:t>
            </w:r>
            <w:r>
              <w:rPr>
                <w:rFonts w:ascii="Times New Roman" w:hAnsi="Times New Roman" w:eastAsia="仿宋" w:cs="Times New Roman"/>
                <w:sz w:val="24"/>
              </w:rPr>
              <w:t>.</w:t>
            </w:r>
            <w:r>
              <w:rPr>
                <w:rFonts w:hint="eastAsia" w:ascii="Times New Roman" w:hAnsi="Times New Roman" w:eastAsia="仿宋" w:cs="Times New Roman"/>
                <w:sz w:val="24"/>
              </w:rPr>
              <w:t>4</w:t>
            </w:r>
            <w:r>
              <w:rPr>
                <w:rFonts w:ascii="Times New Roman" w:hAnsi="Times New Roman" w:eastAsia="仿宋" w:cs="Times New Roman"/>
                <w:sz w:val="24"/>
              </w:rPr>
              <w:t>0</w:t>
            </w:r>
          </w:p>
        </w:tc>
      </w:tr>
      <w:tr w14:paraId="4EB0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14:paraId="7D1EA290">
            <w:pPr>
              <w:keepNext/>
              <w:numPr>
                <w:ilvl w:val="0"/>
                <w:numId w:val="8"/>
              </w:numPr>
              <w:snapToGrid w:val="0"/>
              <w:ind w:left="0" w:firstLine="0"/>
              <w:jc w:val="center"/>
              <w:rPr>
                <w:rFonts w:ascii="Times New Roman" w:hAnsi="Times New Roman" w:eastAsia="仿宋" w:cs="Times New Roman"/>
                <w:sz w:val="24"/>
              </w:rPr>
            </w:pPr>
          </w:p>
        </w:tc>
        <w:tc>
          <w:tcPr>
            <w:tcW w:w="4111" w:type="dxa"/>
            <w:vAlign w:val="center"/>
          </w:tcPr>
          <w:p w14:paraId="1B4F75B6">
            <w:pPr>
              <w:keepNext/>
              <w:snapToGrid w:val="0"/>
              <w:jc w:val="center"/>
              <w:rPr>
                <w:rFonts w:ascii="Times New Roman" w:hAnsi="Times New Roman" w:eastAsia="仿宋" w:cs="Times New Roman"/>
                <w:sz w:val="24"/>
              </w:rPr>
            </w:pPr>
            <w:r>
              <w:rPr>
                <w:rFonts w:ascii="Times New Roman" w:hAnsi="Times New Roman" w:eastAsia="仿宋" w:cs="Times New Roman"/>
                <w:sz w:val="24"/>
              </w:rPr>
              <w:t>预</w:t>
            </w:r>
            <w:r>
              <w:rPr>
                <w:rFonts w:hint="eastAsia" w:ascii="Times New Roman" w:hAnsi="Times New Roman" w:eastAsia="仿宋" w:cs="Times New Roman"/>
                <w:sz w:val="24"/>
              </w:rPr>
              <w:t>计仍将产生清算</w:t>
            </w:r>
            <w:r>
              <w:rPr>
                <w:rFonts w:ascii="Times New Roman" w:hAnsi="Times New Roman" w:eastAsia="仿宋" w:cs="Times New Roman"/>
                <w:sz w:val="24"/>
              </w:rPr>
              <w:t>费用</w:t>
            </w:r>
          </w:p>
        </w:tc>
        <w:tc>
          <w:tcPr>
            <w:tcW w:w="3333" w:type="dxa"/>
            <w:vAlign w:val="center"/>
          </w:tcPr>
          <w:p w14:paraId="52638349">
            <w:pPr>
              <w:keepNext/>
              <w:widowControl/>
              <w:snapToGrid w:val="0"/>
              <w:jc w:val="right"/>
              <w:textAlignment w:val="center"/>
              <w:rPr>
                <w:rFonts w:ascii="Times New Roman" w:hAnsi="Times New Roman" w:eastAsia="仿宋" w:cs="Times New Roman"/>
                <w:sz w:val="24"/>
              </w:rPr>
            </w:pPr>
            <w:r>
              <w:rPr>
                <w:rFonts w:ascii="Times New Roman" w:hAnsi="Times New Roman" w:eastAsia="仿宋" w:cs="Times New Roman"/>
                <w:sz w:val="24"/>
              </w:rPr>
              <w:t>2,000.00</w:t>
            </w:r>
          </w:p>
        </w:tc>
      </w:tr>
      <w:tr w14:paraId="49C0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189" w:type="dxa"/>
            <w:gridSpan w:val="2"/>
            <w:vAlign w:val="center"/>
          </w:tcPr>
          <w:p w14:paraId="5EC20188">
            <w:pPr>
              <w:keepNext/>
              <w:snapToGrid w:val="0"/>
              <w:jc w:val="right"/>
              <w:rPr>
                <w:rFonts w:ascii="Times New Roman" w:hAnsi="Times New Roman" w:eastAsia="仿宋" w:cs="Times New Roman"/>
                <w:b/>
                <w:bCs/>
                <w:sz w:val="24"/>
              </w:rPr>
            </w:pPr>
            <w:r>
              <w:rPr>
                <w:rFonts w:ascii="Times New Roman" w:hAnsi="Times New Roman" w:eastAsia="仿宋" w:cs="Times New Roman"/>
                <w:b/>
                <w:bCs/>
                <w:sz w:val="24"/>
              </w:rPr>
              <w:t>合计：</w:t>
            </w:r>
          </w:p>
        </w:tc>
        <w:tc>
          <w:tcPr>
            <w:tcW w:w="3333" w:type="dxa"/>
            <w:vAlign w:val="center"/>
          </w:tcPr>
          <w:p w14:paraId="53C1B817">
            <w:pPr>
              <w:keepNext/>
              <w:widowControl/>
              <w:snapToGrid w:val="0"/>
              <w:jc w:val="right"/>
              <w:textAlignment w:val="center"/>
              <w:rPr>
                <w:rFonts w:ascii="Times New Roman" w:hAnsi="Times New Roman" w:eastAsia="仿宋" w:cs="Times New Roman"/>
                <w:b/>
                <w:bCs/>
                <w:sz w:val="24"/>
              </w:rPr>
            </w:pPr>
            <w:r>
              <w:rPr>
                <w:rFonts w:hint="eastAsia" w:ascii="Times New Roman" w:hAnsi="Times New Roman" w:eastAsia="仿宋" w:cs="Times New Roman"/>
                <w:b/>
                <w:bCs/>
                <w:sz w:val="24"/>
              </w:rPr>
              <w:t>2</w:t>
            </w:r>
            <w:r>
              <w:rPr>
                <w:rFonts w:ascii="Times New Roman" w:hAnsi="Times New Roman" w:eastAsia="仿宋" w:cs="Times New Roman"/>
                <w:b/>
                <w:bCs/>
                <w:sz w:val="24"/>
              </w:rPr>
              <w:t>,</w:t>
            </w:r>
            <w:r>
              <w:rPr>
                <w:rFonts w:hint="eastAsia" w:ascii="Times New Roman" w:hAnsi="Times New Roman" w:eastAsia="仿宋" w:cs="Times New Roman"/>
                <w:b/>
                <w:bCs/>
                <w:sz w:val="24"/>
              </w:rPr>
              <w:t>866</w:t>
            </w:r>
            <w:r>
              <w:rPr>
                <w:rFonts w:ascii="Times New Roman" w:hAnsi="Times New Roman" w:eastAsia="仿宋" w:cs="Times New Roman"/>
                <w:b/>
                <w:bCs/>
                <w:sz w:val="24"/>
              </w:rPr>
              <w:t>.</w:t>
            </w:r>
            <w:r>
              <w:rPr>
                <w:rFonts w:hint="eastAsia" w:ascii="Times New Roman" w:hAnsi="Times New Roman" w:eastAsia="仿宋" w:cs="Times New Roman"/>
                <w:b/>
                <w:bCs/>
                <w:sz w:val="24"/>
              </w:rPr>
              <w:t>45</w:t>
            </w:r>
          </w:p>
        </w:tc>
      </w:tr>
    </w:tbl>
    <w:p w14:paraId="6B2264DE">
      <w:pPr>
        <w:numPr>
          <w:ilvl w:val="0"/>
          <w:numId w:val="1"/>
        </w:numPr>
        <w:spacing w:before="312" w:beforeLines="100" w:after="156" w:afterLines="50" w:line="578" w:lineRule="exact"/>
        <w:ind w:firstLine="0"/>
        <w:rPr>
          <w:rFonts w:ascii="Times New Roman" w:hAnsi="Times New Roman" w:eastAsia="仿宋" w:cs="Times New Roman"/>
          <w:b/>
          <w:bCs/>
          <w:sz w:val="32"/>
          <w:szCs w:val="32"/>
        </w:rPr>
      </w:pPr>
      <w:r>
        <w:rPr>
          <w:rFonts w:ascii="Times New Roman" w:hAnsi="Times New Roman" w:eastAsia="仿宋" w:cs="Times New Roman"/>
          <w:b/>
          <w:bCs/>
          <w:sz w:val="32"/>
          <w:szCs w:val="32"/>
        </w:rPr>
        <w:t>终结本案强制清算程序的请求</w:t>
      </w:r>
    </w:p>
    <w:p w14:paraId="21849302">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清算组通过公告、邮寄等方式向其他股东及相关人员履行通知义务后，仍未与其他股东及相关人员取得有效联系且相关人员处于下落不明状态。因未能接管到</w:t>
      </w:r>
      <w:r>
        <w:rPr>
          <w:rFonts w:hint="eastAsia" w:ascii="Times New Roman" w:hAnsi="Times New Roman" w:eastAsia="仿宋" w:cs="Times New Roman"/>
          <w:sz w:val="32"/>
          <w:szCs w:val="32"/>
        </w:rPr>
        <w:t>债务人</w:t>
      </w:r>
      <w:r>
        <w:rPr>
          <w:rFonts w:ascii="Times New Roman" w:hAnsi="Times New Roman" w:eastAsia="仿宋" w:cs="Times New Roman"/>
          <w:sz w:val="32"/>
          <w:szCs w:val="32"/>
        </w:rPr>
        <w:t>的公章、营业执照、财务账册等关键材料及任何有效</w:t>
      </w:r>
      <w:r>
        <w:rPr>
          <w:rFonts w:hint="eastAsia" w:ascii="Times New Roman" w:hAnsi="Times New Roman" w:eastAsia="仿宋" w:cs="Times New Roman"/>
          <w:sz w:val="32"/>
          <w:szCs w:val="32"/>
        </w:rPr>
        <w:t>资料、财产</w:t>
      </w:r>
      <w:r>
        <w:rPr>
          <w:rFonts w:ascii="Times New Roman" w:hAnsi="Times New Roman" w:eastAsia="仿宋" w:cs="Times New Roman"/>
          <w:sz w:val="32"/>
          <w:szCs w:val="32"/>
        </w:rPr>
        <w:t>，客观上导致清算组无法全面推进强制清算工作。</w:t>
      </w:r>
    </w:p>
    <w:p w14:paraId="76087F07">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鉴于此，根据</w:t>
      </w:r>
      <w:r>
        <w:rPr>
          <w:rFonts w:hint="eastAsia" w:ascii="Times New Roman" w:hAnsi="Times New Roman" w:eastAsia="仿宋" w:cs="Times New Roman"/>
          <w:sz w:val="32"/>
          <w:szCs w:val="32"/>
        </w:rPr>
        <w:t>最高人民法院《关于审理公司强制清算案件工作座谈会纪要》第28条、</w:t>
      </w:r>
      <w:r>
        <w:rPr>
          <w:rFonts w:ascii="Times New Roman" w:hAnsi="Times New Roman" w:eastAsia="仿宋" w:cs="Times New Roman"/>
          <w:sz w:val="32"/>
          <w:szCs w:val="32"/>
        </w:rPr>
        <w:t>北京市高级人民法院《关于审理公司强制清算案件操作规范》（试行）第七十</w:t>
      </w:r>
      <w:r>
        <w:rPr>
          <w:rFonts w:hint="eastAsia" w:ascii="Times New Roman" w:hAnsi="Times New Roman" w:eastAsia="仿宋" w:cs="Times New Roman"/>
          <w:sz w:val="32"/>
          <w:szCs w:val="32"/>
        </w:rPr>
        <w:t>四</w:t>
      </w:r>
      <w:r>
        <w:rPr>
          <w:rFonts w:ascii="Times New Roman" w:hAnsi="Times New Roman" w:eastAsia="仿宋" w:cs="Times New Roman"/>
          <w:sz w:val="32"/>
          <w:szCs w:val="32"/>
        </w:rPr>
        <w:t>条</w:t>
      </w:r>
      <w:r>
        <w:rPr>
          <w:rFonts w:hint="eastAsia" w:ascii="Times New Roman" w:hAnsi="Times New Roman" w:eastAsia="仿宋" w:cs="Times New Roman"/>
          <w:sz w:val="32"/>
          <w:szCs w:val="32"/>
        </w:rPr>
        <w:t>、</w:t>
      </w:r>
      <w:r>
        <w:rPr>
          <w:rFonts w:ascii="Times New Roman" w:hAnsi="Times New Roman" w:eastAsia="仿宋" w:cs="Times New Roman"/>
          <w:sz w:val="32"/>
          <w:szCs w:val="32"/>
        </w:rPr>
        <w:t>《中华人民共和国公司法》第二百三十九条之规定，清算组特提请贵院裁定确认北京浩龙耀航空服务有限公司</w:t>
      </w:r>
      <w:r>
        <w:rPr>
          <w:rFonts w:hint="eastAsia" w:ascii="Times New Roman" w:hAnsi="Times New Roman" w:eastAsia="仿宋" w:cs="Times New Roman"/>
          <w:sz w:val="32"/>
          <w:szCs w:val="32"/>
        </w:rPr>
        <w:t>清算组</w:t>
      </w:r>
      <w:r>
        <w:rPr>
          <w:rFonts w:ascii="Times New Roman" w:hAnsi="Times New Roman" w:eastAsia="仿宋" w:cs="Times New Roman"/>
          <w:sz w:val="32"/>
          <w:szCs w:val="32"/>
        </w:rPr>
        <w:t>清算报告并终结北京浩龙耀航空服务有限公司强制清算程序。</w:t>
      </w:r>
    </w:p>
    <w:p w14:paraId="3EFE1E70">
      <w:pPr>
        <w:wordWrap w:val="0"/>
        <w:spacing w:before="156" w:beforeLines="50" w:after="780" w:afterLines="2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特此报告。</w:t>
      </w:r>
    </w:p>
    <w:p w14:paraId="35E281EF">
      <w:pPr>
        <w:wordWrap w:val="0"/>
        <w:spacing w:before="156" w:beforeLines="50" w:after="156" w:afterLines="50" w:line="578" w:lineRule="exact"/>
        <w:ind w:firstLine="643" w:firstLineChars="200"/>
        <w:jc w:val="right"/>
        <w:rPr>
          <w:rFonts w:ascii="Times New Roman" w:hAnsi="Times New Roman" w:eastAsia="仿宋" w:cs="Times New Roman"/>
          <w:b/>
          <w:bCs/>
          <w:sz w:val="32"/>
          <w:szCs w:val="32"/>
        </w:rPr>
      </w:pPr>
      <w:r>
        <w:rPr>
          <w:rFonts w:ascii="Times New Roman" w:hAnsi="Times New Roman" w:eastAsia="仿宋" w:cs="Times New Roman"/>
          <w:b/>
          <w:bCs/>
          <w:sz w:val="32"/>
          <w:szCs w:val="32"/>
        </w:rPr>
        <w:t>北京浩龙耀航空服务有限公司清算组</w:t>
      </w:r>
    </w:p>
    <w:p w14:paraId="4D9F8018">
      <w:pPr>
        <w:wordWrap w:val="0"/>
        <w:spacing w:before="156" w:beforeLines="50" w:after="156" w:afterLines="50" w:line="578" w:lineRule="exact"/>
        <w:ind w:firstLine="4419" w:firstLineChars="1381"/>
        <w:rPr>
          <w:rFonts w:ascii="Times New Roman" w:hAnsi="Times New Roman" w:eastAsia="仿宋" w:cs="Times New Roman"/>
          <w:sz w:val="32"/>
          <w:szCs w:val="32"/>
        </w:rPr>
      </w:pPr>
      <w:r>
        <w:rPr>
          <w:rFonts w:ascii="Times New Roman" w:hAnsi="Times New Roman" w:eastAsia="仿宋" w:cs="Times New Roman"/>
          <w:sz w:val="32"/>
          <w:szCs w:val="32"/>
        </w:rPr>
        <w:t>2025年12月</w:t>
      </w:r>
      <w:r>
        <w:rPr>
          <w:rFonts w:hint="eastAsia" w:ascii="Times New Roman" w:hAnsi="Times New Roman" w:eastAsia="仿宋" w:cs="Times New Roman"/>
          <w:sz w:val="32"/>
          <w:szCs w:val="32"/>
        </w:rPr>
        <w:t>16</w:t>
      </w:r>
      <w:r>
        <w:rPr>
          <w:rFonts w:ascii="Times New Roman" w:hAnsi="Times New Roman" w:eastAsia="仿宋" w:cs="Times New Roman"/>
          <w:sz w:val="32"/>
          <w:szCs w:val="32"/>
        </w:rPr>
        <w:t>日</w:t>
      </w:r>
    </w:p>
    <w:p w14:paraId="7B02037D">
      <w:pPr>
        <w:wordWrap w:val="0"/>
        <w:spacing w:before="780" w:beforeLines="250" w:after="156" w:afterLines="50" w:line="578" w:lineRule="exact"/>
        <w:rPr>
          <w:rFonts w:ascii="Times New Roman" w:hAnsi="Times New Roman" w:eastAsia="仿宋" w:cs="Times New Roman"/>
          <w:b/>
          <w:bCs/>
          <w:sz w:val="32"/>
          <w:szCs w:val="32"/>
        </w:rPr>
      </w:pPr>
      <w:r>
        <w:rPr>
          <w:rFonts w:ascii="Times New Roman" w:hAnsi="Times New Roman" w:eastAsia="仿宋" w:cs="Times New Roman"/>
          <w:b/>
          <w:bCs/>
          <w:sz w:val="32"/>
          <w:szCs w:val="32"/>
        </w:rPr>
        <w:t>附件：</w:t>
      </w:r>
    </w:p>
    <w:p w14:paraId="174CCC65">
      <w:pPr>
        <w:numPr>
          <w:ilvl w:val="0"/>
          <w:numId w:val="9"/>
        </w:numPr>
        <w:wordWrap w:val="0"/>
        <w:spacing w:line="578" w:lineRule="exact"/>
        <w:rPr>
          <w:rFonts w:ascii="Times New Roman" w:hAnsi="Times New Roman" w:eastAsia="仿宋" w:cs="Times New Roman"/>
          <w:sz w:val="24"/>
        </w:rPr>
      </w:pPr>
      <w:r>
        <w:rPr>
          <w:rFonts w:ascii="Times New Roman" w:hAnsi="Times New Roman" w:eastAsia="仿宋" w:cs="Times New Roman"/>
          <w:sz w:val="24"/>
        </w:rPr>
        <w:t>北京浩龙耀航空服务有限公司与债务人有关人员的联系情况汇总</w:t>
      </w:r>
    </w:p>
    <w:p w14:paraId="784A0D70">
      <w:pPr>
        <w:numPr>
          <w:ilvl w:val="0"/>
          <w:numId w:val="9"/>
        </w:numPr>
        <w:wordWrap w:val="0"/>
        <w:spacing w:line="578" w:lineRule="exact"/>
        <w:rPr>
          <w:rFonts w:ascii="Times New Roman" w:hAnsi="Times New Roman" w:eastAsia="仿宋" w:cs="Times New Roman"/>
          <w:sz w:val="24"/>
        </w:rPr>
      </w:pPr>
      <w:r>
        <w:rPr>
          <w:rFonts w:hint="eastAsia" w:ascii="Times New Roman" w:hAnsi="Times New Roman" w:eastAsia="仿宋" w:cs="Times New Roman"/>
          <w:sz w:val="24"/>
        </w:rPr>
        <w:t>履职通知</w:t>
      </w:r>
      <w:r>
        <w:rPr>
          <w:rFonts w:ascii="Times New Roman" w:hAnsi="Times New Roman" w:eastAsia="仿宋" w:cs="Times New Roman"/>
          <w:sz w:val="24"/>
        </w:rPr>
        <w:t>邮寄退件情况</w:t>
      </w:r>
    </w:p>
    <w:p w14:paraId="4BF27E38">
      <w:pPr>
        <w:numPr>
          <w:ilvl w:val="0"/>
          <w:numId w:val="9"/>
        </w:numPr>
        <w:wordWrap w:val="0"/>
        <w:spacing w:line="578" w:lineRule="exact"/>
        <w:rPr>
          <w:rFonts w:ascii="Times New Roman" w:hAnsi="Times New Roman" w:eastAsia="仿宋" w:cs="Times New Roman"/>
          <w:sz w:val="24"/>
        </w:rPr>
      </w:pPr>
      <w:r>
        <w:rPr>
          <w:rFonts w:hint="eastAsia" w:ascii="Times New Roman" w:hAnsi="Times New Roman" w:eastAsia="仿宋" w:cs="Times New Roman"/>
          <w:sz w:val="24"/>
        </w:rPr>
        <w:t>履职通知</w:t>
      </w:r>
      <w:r>
        <w:rPr>
          <w:rFonts w:ascii="Times New Roman" w:hAnsi="Times New Roman" w:eastAsia="仿宋" w:cs="Times New Roman"/>
          <w:sz w:val="24"/>
        </w:rPr>
        <w:t>在全国企业破产重整案件信息网的公告情况</w:t>
      </w:r>
    </w:p>
    <w:p w14:paraId="30E0FFFD">
      <w:pPr>
        <w:numPr>
          <w:ilvl w:val="0"/>
          <w:numId w:val="9"/>
        </w:numPr>
        <w:wordWrap w:val="0"/>
        <w:spacing w:line="578" w:lineRule="exact"/>
        <w:rPr>
          <w:rFonts w:ascii="Times New Roman" w:hAnsi="Times New Roman" w:eastAsia="仿宋" w:cs="Times New Roman"/>
          <w:sz w:val="24"/>
        </w:rPr>
      </w:pPr>
      <w:r>
        <w:rPr>
          <w:rFonts w:ascii="Times New Roman" w:hAnsi="Times New Roman" w:eastAsia="仿宋" w:cs="Times New Roman"/>
          <w:sz w:val="24"/>
        </w:rPr>
        <w:t>北京浩龙耀航空服务有限公司强制清算案注册地现场走访情况汇报</w:t>
      </w:r>
    </w:p>
    <w:p w14:paraId="5868EB2F">
      <w:pPr>
        <w:wordWrap w:val="0"/>
        <w:spacing w:before="156" w:beforeLines="50" w:after="156" w:afterLines="50" w:line="578" w:lineRule="exact"/>
        <w:ind w:firstLine="480" w:firstLineChars="200"/>
        <w:rPr>
          <w:rFonts w:ascii="Times New Roman" w:hAnsi="Times New Roman" w:eastAsia="仿宋" w:cs="Times New Roman"/>
          <w:sz w:val="24"/>
        </w:rPr>
        <w:sectPr>
          <w:footerReference r:id="rId3" w:type="default"/>
          <w:pgSz w:w="11906" w:h="16838"/>
          <w:pgMar w:top="1440" w:right="1800" w:bottom="1440" w:left="1800" w:header="851" w:footer="992" w:gutter="0"/>
          <w:cols w:space="425" w:num="1"/>
          <w:docGrid w:type="lines" w:linePitch="312" w:charSpace="0"/>
        </w:sectPr>
      </w:pPr>
    </w:p>
    <w:p w14:paraId="41415EE6">
      <w:pPr>
        <w:pStyle w:val="11"/>
        <w:wordWrap w:val="0"/>
        <w:spacing w:before="156" w:beforeLines="50" w:after="156" w:afterLines="50" w:line="578" w:lineRule="exact"/>
        <w:ind w:firstLine="0" w:firstLineChars="0"/>
        <w:rPr>
          <w:rFonts w:ascii="Times New Roman" w:hAnsi="Times New Roman" w:eastAsia="仿宋" w:cs="Times New Roman"/>
          <w:b/>
          <w:sz w:val="24"/>
        </w:rPr>
      </w:pPr>
      <w:r>
        <w:rPr>
          <w:rFonts w:ascii="Times New Roman" w:hAnsi="Times New Roman" w:eastAsia="仿宋" w:cs="Times New Roman"/>
          <w:b/>
          <w:sz w:val="32"/>
          <w:szCs w:val="32"/>
        </w:rPr>
        <w:t>附件1：</w:t>
      </w:r>
      <w:r>
        <w:rPr>
          <w:rFonts w:ascii="Times New Roman" w:hAnsi="Times New Roman" w:eastAsia="仿宋" w:cs="Times New Roman"/>
          <w:b/>
          <w:sz w:val="24"/>
        </w:rPr>
        <w:t>北京浩龙耀航空服务有限公司与债务人有关人员的联系情况汇总</w:t>
      </w:r>
    </w:p>
    <w:p w14:paraId="03E27D2B">
      <w:pPr>
        <w:wordWrap w:val="0"/>
        <w:spacing w:before="156" w:beforeLines="50" w:after="156" w:afterLines="50" w:line="578" w:lineRule="exact"/>
        <w:jc w:val="left"/>
        <w:rPr>
          <w:rFonts w:ascii="Times New Roman" w:hAnsi="Times New Roman" w:eastAsia="仿宋" w:cs="Times New Roman"/>
          <w:b/>
          <w:sz w:val="28"/>
          <w:szCs w:val="28"/>
        </w:rPr>
      </w:pPr>
      <w:r>
        <w:rPr>
          <w:rFonts w:ascii="Times New Roman" w:hAnsi="Times New Roman" w:eastAsia="仿宋" w:cs="Times New Roman"/>
          <w:b/>
          <w:sz w:val="28"/>
          <w:szCs w:val="28"/>
        </w:rPr>
        <w:t>北京浩龙耀航空服务有限公司与债务人有关人员的联系情况汇总</w:t>
      </w:r>
    </w:p>
    <w:tbl>
      <w:tblPr>
        <w:tblStyle w:val="5"/>
        <w:tblW w:w="9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70"/>
        <w:gridCol w:w="1985"/>
        <w:gridCol w:w="1537"/>
        <w:gridCol w:w="2541"/>
        <w:gridCol w:w="1832"/>
      </w:tblGrid>
      <w:tr w14:paraId="0196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dxa"/>
            <w:shd w:val="clear" w:color="auto" w:fill="CFCECE" w:themeFill="background2" w:themeFillShade="E5"/>
            <w:vAlign w:val="center"/>
          </w:tcPr>
          <w:p w14:paraId="22E88568">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序号</w:t>
            </w:r>
          </w:p>
        </w:tc>
        <w:tc>
          <w:tcPr>
            <w:tcW w:w="1270" w:type="dxa"/>
            <w:shd w:val="clear" w:color="auto" w:fill="CFCECE" w:themeFill="background2" w:themeFillShade="E5"/>
            <w:vAlign w:val="center"/>
          </w:tcPr>
          <w:p w14:paraId="4D52B5C1">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姓名</w:t>
            </w:r>
          </w:p>
        </w:tc>
        <w:tc>
          <w:tcPr>
            <w:tcW w:w="1985" w:type="dxa"/>
            <w:shd w:val="clear" w:color="auto" w:fill="CFCECE" w:themeFill="background2" w:themeFillShade="E5"/>
            <w:vAlign w:val="center"/>
          </w:tcPr>
          <w:p w14:paraId="7913982F">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身份</w:t>
            </w:r>
          </w:p>
        </w:tc>
        <w:tc>
          <w:tcPr>
            <w:tcW w:w="1537" w:type="dxa"/>
            <w:shd w:val="clear" w:color="auto" w:fill="CFCECE" w:themeFill="background2" w:themeFillShade="E5"/>
            <w:vAlign w:val="center"/>
          </w:tcPr>
          <w:p w14:paraId="7FC23290">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联系电话</w:t>
            </w:r>
          </w:p>
        </w:tc>
        <w:tc>
          <w:tcPr>
            <w:tcW w:w="2541" w:type="dxa"/>
            <w:shd w:val="clear" w:color="auto" w:fill="CFCECE" w:themeFill="background2" w:themeFillShade="E5"/>
            <w:vAlign w:val="center"/>
          </w:tcPr>
          <w:p w14:paraId="581AC94E">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地址</w:t>
            </w:r>
          </w:p>
        </w:tc>
        <w:tc>
          <w:tcPr>
            <w:tcW w:w="1832" w:type="dxa"/>
            <w:shd w:val="clear" w:color="auto" w:fill="CFCECE" w:themeFill="background2" w:themeFillShade="E5"/>
            <w:vAlign w:val="center"/>
          </w:tcPr>
          <w:p w14:paraId="16A98D14">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联系情况</w:t>
            </w:r>
          </w:p>
        </w:tc>
      </w:tr>
      <w:tr w14:paraId="33CE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93" w:type="dxa"/>
            <w:vAlign w:val="center"/>
          </w:tcPr>
          <w:p w14:paraId="73899B44">
            <w:pPr>
              <w:numPr>
                <w:ilvl w:val="0"/>
                <w:numId w:val="10"/>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70" w:type="dxa"/>
            <w:vAlign w:val="center"/>
          </w:tcPr>
          <w:p w14:paraId="011669CF">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史晓影</w:t>
            </w:r>
          </w:p>
        </w:tc>
        <w:tc>
          <w:tcPr>
            <w:tcW w:w="1985" w:type="dxa"/>
            <w:vAlign w:val="center"/>
          </w:tcPr>
          <w:p w14:paraId="53E5CAA4">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法定代表人</w:t>
            </w:r>
            <w:r>
              <w:rPr>
                <w:rFonts w:hint="eastAsia" w:ascii="Times New Roman" w:hAnsi="Times New Roman" w:eastAsia="仿宋" w:cs="Times New Roman"/>
                <w:color w:val="000000"/>
                <w:kern w:val="0"/>
                <w:szCs w:val="21"/>
              </w:rPr>
              <w:t>、</w:t>
            </w:r>
            <w:r>
              <w:rPr>
                <w:rFonts w:ascii="Times New Roman" w:hAnsi="Times New Roman" w:eastAsia="仿宋" w:cs="Times New Roman"/>
                <w:color w:val="000000"/>
                <w:kern w:val="0"/>
                <w:szCs w:val="21"/>
              </w:rPr>
              <w:t>执行董事</w:t>
            </w:r>
            <w:r>
              <w:rPr>
                <w:rFonts w:hint="eastAsia" w:ascii="Times New Roman" w:hAnsi="Times New Roman" w:eastAsia="仿宋" w:cs="Times New Roman"/>
                <w:color w:val="000000"/>
                <w:kern w:val="0"/>
                <w:szCs w:val="21"/>
              </w:rPr>
              <w:t>、</w:t>
            </w:r>
            <w:r>
              <w:rPr>
                <w:rFonts w:ascii="Times New Roman" w:hAnsi="Times New Roman" w:eastAsia="仿宋" w:cs="Times New Roman"/>
                <w:color w:val="000000"/>
                <w:kern w:val="0"/>
                <w:szCs w:val="21"/>
              </w:rPr>
              <w:t>经理</w:t>
            </w:r>
          </w:p>
        </w:tc>
        <w:tc>
          <w:tcPr>
            <w:tcW w:w="1537" w:type="dxa"/>
            <w:vAlign w:val="center"/>
          </w:tcPr>
          <w:p w14:paraId="319BE85F">
            <w:pPr>
              <w:wordWrap w:val="0"/>
              <w:snapToGrid w:val="0"/>
              <w:spacing w:before="156" w:beforeLines="50" w:after="156" w:afterLines="50"/>
              <w:jc w:val="center"/>
              <w:rPr>
                <w:rFonts w:ascii="Times New Roman" w:hAnsi="Times New Roman" w:eastAsia="仿宋" w:cs="Times New Roman"/>
                <w:kern w:val="0"/>
                <w:szCs w:val="21"/>
              </w:rPr>
            </w:pPr>
            <w:r>
              <w:rPr>
                <w:rFonts w:ascii="Times New Roman" w:hAnsi="Times New Roman" w:eastAsia="仿宋" w:cs="Times New Roman"/>
                <w:color w:val="000000" w:themeColor="text1"/>
                <w:kern w:val="0"/>
                <w:szCs w:val="21"/>
                <w14:textFill>
                  <w14:solidFill>
                    <w14:schemeClr w14:val="tx1"/>
                  </w14:solidFill>
                </w14:textFill>
              </w:rPr>
              <w:t>未查询到联系电话</w:t>
            </w:r>
          </w:p>
        </w:tc>
        <w:tc>
          <w:tcPr>
            <w:tcW w:w="2541" w:type="dxa"/>
            <w:vAlign w:val="center"/>
          </w:tcPr>
          <w:p w14:paraId="452E4DF1">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工商档案中记载的户籍地址：北京市西城区枣林后街5号。</w:t>
            </w:r>
          </w:p>
        </w:tc>
        <w:tc>
          <w:tcPr>
            <w:tcW w:w="1832" w:type="dxa"/>
            <w:vAlign w:val="center"/>
          </w:tcPr>
          <w:p w14:paraId="1C70F0B1">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发往户籍地址的交接通知已退件。</w:t>
            </w:r>
          </w:p>
        </w:tc>
      </w:tr>
      <w:tr w14:paraId="32DC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14:paraId="13B0C6F5">
            <w:pPr>
              <w:numPr>
                <w:ilvl w:val="0"/>
                <w:numId w:val="10"/>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70" w:type="dxa"/>
            <w:vAlign w:val="center"/>
          </w:tcPr>
          <w:p w14:paraId="7FCD4E5C">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邢秀莲</w:t>
            </w:r>
          </w:p>
        </w:tc>
        <w:tc>
          <w:tcPr>
            <w:tcW w:w="1985" w:type="dxa"/>
            <w:vAlign w:val="center"/>
          </w:tcPr>
          <w:p w14:paraId="024429D2">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监事</w:t>
            </w:r>
          </w:p>
        </w:tc>
        <w:tc>
          <w:tcPr>
            <w:tcW w:w="1537" w:type="dxa"/>
            <w:vAlign w:val="center"/>
          </w:tcPr>
          <w:p w14:paraId="0C04FD49">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themeColor="text1"/>
                <w:kern w:val="0"/>
                <w:szCs w:val="21"/>
                <w14:textFill>
                  <w14:solidFill>
                    <w14:schemeClr w14:val="tx1"/>
                  </w14:solidFill>
                </w14:textFill>
              </w:rPr>
              <w:t>未查询到联系电话</w:t>
            </w:r>
          </w:p>
        </w:tc>
        <w:tc>
          <w:tcPr>
            <w:tcW w:w="2541" w:type="dxa"/>
            <w:vAlign w:val="center"/>
          </w:tcPr>
          <w:p w14:paraId="3675A281">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工商档案中记载的户籍地址：北京市丰台区南四环西路188号十七区18号楼第15层1505室。</w:t>
            </w:r>
          </w:p>
        </w:tc>
        <w:tc>
          <w:tcPr>
            <w:tcW w:w="1832" w:type="dxa"/>
            <w:vAlign w:val="center"/>
          </w:tcPr>
          <w:p w14:paraId="59E7F62F">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发往户籍地址的交接通知已退件。</w:t>
            </w:r>
          </w:p>
        </w:tc>
      </w:tr>
      <w:tr w14:paraId="705A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14:paraId="4A023A05">
            <w:pPr>
              <w:numPr>
                <w:ilvl w:val="0"/>
                <w:numId w:val="10"/>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70" w:type="dxa"/>
            <w:vAlign w:val="center"/>
          </w:tcPr>
          <w:p w14:paraId="5278B34C">
            <w:pPr>
              <w:wordWrap w:val="0"/>
              <w:snapToGrid w:val="0"/>
              <w:spacing w:before="156" w:beforeLines="50" w:after="156" w:afterLines="50"/>
              <w:jc w:val="center"/>
              <w:rPr>
                <w:rFonts w:ascii="Times New Roman" w:hAnsi="Times New Roman" w:eastAsia="仿宋" w:cs="Times New Roman"/>
                <w:color w:val="000000"/>
                <w:kern w:val="0"/>
                <w:szCs w:val="21"/>
              </w:rPr>
            </w:pPr>
            <w:r>
              <w:fldChar w:fldCharType="begin"/>
            </w:r>
            <w:r>
              <w:instrText xml:space="preserve"> HYPERLINK "https://www.qcc.com/firm/7e069d27a2ce4aa24c6722655d2c8259.html" \t "https://www.qcc.com/firm/_blank" </w:instrText>
            </w:r>
            <w:r>
              <w:fldChar w:fldCharType="separate"/>
            </w:r>
            <w:r>
              <w:rPr>
                <w:rFonts w:ascii="Times New Roman" w:hAnsi="Times New Roman" w:eastAsia="仿宋" w:cs="Times New Roman"/>
                <w:color w:val="000000"/>
                <w:kern w:val="0"/>
                <w:szCs w:val="21"/>
              </w:rPr>
              <w:t>北京浩龙耀商贸有限责任公司</w:t>
            </w:r>
            <w:r>
              <w:rPr>
                <w:rFonts w:ascii="Times New Roman" w:hAnsi="Times New Roman" w:eastAsia="仿宋" w:cs="Times New Roman"/>
                <w:color w:val="000000"/>
                <w:kern w:val="0"/>
                <w:szCs w:val="21"/>
              </w:rPr>
              <w:fldChar w:fldCharType="end"/>
            </w:r>
          </w:p>
        </w:tc>
        <w:tc>
          <w:tcPr>
            <w:tcW w:w="1985" w:type="dxa"/>
            <w:vAlign w:val="center"/>
          </w:tcPr>
          <w:p w14:paraId="7B835082">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股东（持股70%）</w:t>
            </w:r>
          </w:p>
        </w:tc>
        <w:tc>
          <w:tcPr>
            <w:tcW w:w="1537" w:type="dxa"/>
            <w:vAlign w:val="center"/>
          </w:tcPr>
          <w:p w14:paraId="77B48CA0">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themeColor="text1"/>
                <w:kern w:val="0"/>
                <w:szCs w:val="21"/>
                <w14:textFill>
                  <w14:solidFill>
                    <w14:schemeClr w14:val="tx1"/>
                  </w14:solidFill>
                </w14:textFill>
              </w:rPr>
              <w:t>未查询到联系电话</w:t>
            </w:r>
          </w:p>
        </w:tc>
        <w:tc>
          <w:tcPr>
            <w:tcW w:w="2541" w:type="dxa"/>
            <w:vAlign w:val="center"/>
          </w:tcPr>
          <w:p w14:paraId="6483CAA3">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企查查查询公司地址：北京市宣武区广安门外南滨河路23号（立恒名苑1号楼地下一层）</w:t>
            </w:r>
          </w:p>
        </w:tc>
        <w:tc>
          <w:tcPr>
            <w:tcW w:w="1832" w:type="dxa"/>
            <w:vAlign w:val="center"/>
          </w:tcPr>
          <w:p w14:paraId="2F01BA70">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发往公司地址的交接通知已退件。</w:t>
            </w:r>
          </w:p>
        </w:tc>
      </w:tr>
      <w:tr w14:paraId="392E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14:paraId="4F339580">
            <w:pPr>
              <w:numPr>
                <w:ilvl w:val="0"/>
                <w:numId w:val="10"/>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70" w:type="dxa"/>
            <w:vAlign w:val="center"/>
          </w:tcPr>
          <w:p w14:paraId="08FB27FE">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张晴岚</w:t>
            </w:r>
          </w:p>
        </w:tc>
        <w:tc>
          <w:tcPr>
            <w:tcW w:w="1985" w:type="dxa"/>
            <w:vAlign w:val="center"/>
          </w:tcPr>
          <w:p w14:paraId="263A029B">
            <w:pPr>
              <w:wordWrap w:val="0"/>
              <w:snapToGrid w:val="0"/>
              <w:spacing w:before="156" w:beforeLines="50" w:after="156" w:afterLines="50"/>
              <w:jc w:val="center"/>
              <w:rPr>
                <w:rFonts w:ascii="Times New Roman" w:hAnsi="Times New Roman" w:eastAsia="仿宋" w:cs="Times New Roman"/>
                <w:color w:val="000000"/>
                <w:kern w:val="0"/>
                <w:szCs w:val="21"/>
              </w:rPr>
            </w:pPr>
            <w:r>
              <w:fldChar w:fldCharType="begin"/>
            </w:r>
            <w:r>
              <w:instrText xml:space="preserve"> HYPERLINK "https://www.qcc.com/firm/7e069d27a2ce4aa24c6722655d2c8259.html" \t "https://www.qcc.com/firm/_blank" </w:instrText>
            </w:r>
            <w:r>
              <w:fldChar w:fldCharType="separate"/>
            </w:r>
            <w:r>
              <w:rPr>
                <w:rFonts w:ascii="Times New Roman" w:hAnsi="Times New Roman" w:eastAsia="仿宋" w:cs="Times New Roman"/>
                <w:color w:val="000000"/>
                <w:kern w:val="0"/>
                <w:szCs w:val="21"/>
              </w:rPr>
              <w:t>北京浩龙耀商贸有限责任公司</w:t>
            </w:r>
            <w:r>
              <w:rPr>
                <w:rFonts w:ascii="Times New Roman" w:hAnsi="Times New Roman" w:eastAsia="仿宋" w:cs="Times New Roman"/>
                <w:color w:val="000000"/>
                <w:kern w:val="0"/>
                <w:szCs w:val="21"/>
              </w:rPr>
              <w:fldChar w:fldCharType="end"/>
            </w:r>
            <w:r>
              <w:rPr>
                <w:rFonts w:ascii="Times New Roman" w:hAnsi="Times New Roman" w:eastAsia="仿宋" w:cs="Times New Roman"/>
                <w:color w:val="000000"/>
                <w:kern w:val="0"/>
                <w:szCs w:val="21"/>
              </w:rPr>
              <w:t>管理人</w:t>
            </w:r>
          </w:p>
        </w:tc>
        <w:tc>
          <w:tcPr>
            <w:tcW w:w="1537" w:type="dxa"/>
            <w:vAlign w:val="center"/>
          </w:tcPr>
          <w:p w14:paraId="1A82CB27">
            <w:pPr>
              <w:wordWrap w:val="0"/>
              <w:snapToGrid w:val="0"/>
              <w:spacing w:before="156" w:beforeLines="50" w:after="156" w:afterLines="50"/>
              <w:jc w:val="center"/>
              <w:rPr>
                <w:rFonts w:ascii="Times New Roman" w:hAnsi="Times New Roman" w:eastAsia="仿宋" w:cs="Times New Roman"/>
                <w:color w:val="000000" w:themeColor="text1"/>
                <w:kern w:val="0"/>
                <w:szCs w:val="21"/>
                <w14:textFill>
                  <w14:solidFill>
                    <w14:schemeClr w14:val="tx1"/>
                  </w14:solidFill>
                </w14:textFill>
              </w:rPr>
            </w:pPr>
            <w:r>
              <w:rPr>
                <w:rFonts w:ascii="Times New Roman" w:hAnsi="Times New Roman" w:eastAsia="仿宋" w:cs="Times New Roman"/>
                <w:color w:val="000000" w:themeColor="text1"/>
                <w:kern w:val="0"/>
                <w:szCs w:val="21"/>
                <w14:textFill>
                  <w14:solidFill>
                    <w14:schemeClr w14:val="tx1"/>
                  </w14:solidFill>
                </w14:textFill>
              </w:rPr>
              <w:t>010-85606888</w:t>
            </w:r>
          </w:p>
        </w:tc>
        <w:tc>
          <w:tcPr>
            <w:tcW w:w="2541" w:type="dxa"/>
            <w:vAlign w:val="center"/>
          </w:tcPr>
          <w:p w14:paraId="26B85EA7">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北京市朝阳区东三环中路5号财富金融中心20层</w:t>
            </w:r>
          </w:p>
        </w:tc>
        <w:tc>
          <w:tcPr>
            <w:tcW w:w="1832" w:type="dxa"/>
            <w:vAlign w:val="center"/>
          </w:tcPr>
          <w:p w14:paraId="0A13EB16">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已签收</w:t>
            </w:r>
          </w:p>
        </w:tc>
      </w:tr>
      <w:tr w14:paraId="59CE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14:paraId="44AE3EF6">
            <w:pPr>
              <w:numPr>
                <w:ilvl w:val="0"/>
                <w:numId w:val="10"/>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70" w:type="dxa"/>
            <w:vAlign w:val="center"/>
          </w:tcPr>
          <w:p w14:paraId="6BB241ED">
            <w:pPr>
              <w:wordWrap w:val="0"/>
              <w:snapToGrid w:val="0"/>
              <w:spacing w:before="156" w:beforeLines="50" w:after="156" w:afterLines="50"/>
              <w:jc w:val="center"/>
              <w:rPr>
                <w:rFonts w:ascii="Times New Roman" w:hAnsi="Times New Roman" w:eastAsia="仿宋" w:cs="Times New Roman"/>
                <w:color w:val="000000"/>
                <w:kern w:val="0"/>
                <w:szCs w:val="21"/>
              </w:rPr>
            </w:pPr>
            <w:r>
              <w:fldChar w:fldCharType="begin"/>
            </w:r>
            <w:r>
              <w:instrText xml:space="preserve"> HYPERLINK "https://www.qcc.com/firm/04ed8454acd439ac806e7af5020d0475.html" \t "https://www.qcc.com/firm/_blank" </w:instrText>
            </w:r>
            <w:r>
              <w:fldChar w:fldCharType="separate"/>
            </w:r>
            <w:r>
              <w:rPr>
                <w:rFonts w:ascii="Times New Roman" w:hAnsi="Times New Roman" w:eastAsia="仿宋" w:cs="Times New Roman"/>
                <w:color w:val="000000"/>
                <w:kern w:val="0"/>
                <w:szCs w:val="21"/>
              </w:rPr>
              <w:t>北京立恒房地产开发经营有限公司</w:t>
            </w:r>
            <w:r>
              <w:rPr>
                <w:rFonts w:ascii="Times New Roman" w:hAnsi="Times New Roman" w:eastAsia="仿宋" w:cs="Times New Roman"/>
                <w:color w:val="000000"/>
                <w:kern w:val="0"/>
                <w:szCs w:val="21"/>
              </w:rPr>
              <w:fldChar w:fldCharType="end"/>
            </w:r>
          </w:p>
        </w:tc>
        <w:tc>
          <w:tcPr>
            <w:tcW w:w="1985" w:type="dxa"/>
            <w:vAlign w:val="center"/>
          </w:tcPr>
          <w:p w14:paraId="309803C8">
            <w:p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股东（持股30%）</w:t>
            </w:r>
          </w:p>
        </w:tc>
        <w:tc>
          <w:tcPr>
            <w:tcW w:w="1537" w:type="dxa"/>
            <w:vAlign w:val="center"/>
          </w:tcPr>
          <w:p w14:paraId="52D5CBAC">
            <w:pPr>
              <w:wordWrap w:val="0"/>
              <w:snapToGrid w:val="0"/>
              <w:spacing w:before="156" w:beforeLines="50" w:after="156" w:afterLines="50"/>
              <w:jc w:val="center"/>
              <w:rPr>
                <w:rFonts w:ascii="Times New Roman" w:hAnsi="Times New Roman" w:eastAsia="仿宋" w:cs="Times New Roman"/>
                <w:color w:val="000000" w:themeColor="text1"/>
                <w:kern w:val="0"/>
                <w:szCs w:val="21"/>
                <w14:textFill>
                  <w14:solidFill>
                    <w14:schemeClr w14:val="tx1"/>
                  </w14:solidFill>
                </w14:textFill>
              </w:rPr>
            </w:pPr>
            <w:r>
              <w:rPr>
                <w:rFonts w:ascii="Times New Roman" w:hAnsi="Times New Roman" w:eastAsia="仿宋" w:cs="Times New Roman"/>
                <w:color w:val="000000" w:themeColor="text1"/>
                <w:kern w:val="0"/>
                <w:szCs w:val="21"/>
                <w14:textFill>
                  <w14:solidFill>
                    <w14:schemeClr w14:val="tx1"/>
                  </w14:solidFill>
                </w14:textFill>
              </w:rPr>
              <w:t>010-63430801</w:t>
            </w:r>
          </w:p>
        </w:tc>
        <w:tc>
          <w:tcPr>
            <w:tcW w:w="2541" w:type="dxa"/>
            <w:vAlign w:val="center"/>
          </w:tcPr>
          <w:p w14:paraId="6EF37247">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企查查查询公司地址：北京市朝阳区团结湖北里9号楼院一层101</w:t>
            </w:r>
          </w:p>
        </w:tc>
        <w:tc>
          <w:tcPr>
            <w:tcW w:w="1832" w:type="dxa"/>
            <w:vAlign w:val="center"/>
          </w:tcPr>
          <w:p w14:paraId="0C74041C">
            <w:pPr>
              <w:wordWrap w:val="0"/>
              <w:snapToGrid w:val="0"/>
              <w:spacing w:before="156" w:beforeLines="50" w:after="156" w:afterLines="50"/>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发往公司地址的交接通知已退件。</w:t>
            </w:r>
          </w:p>
        </w:tc>
      </w:tr>
    </w:tbl>
    <w:p w14:paraId="5B3E1364">
      <w:pPr>
        <w:wordWrap w:val="0"/>
        <w:spacing w:before="156" w:beforeLines="50" w:after="156" w:afterLines="50" w:line="578" w:lineRule="exact"/>
        <w:rPr>
          <w:rFonts w:ascii="Times New Roman" w:hAnsi="Times New Roman" w:eastAsia="仿宋" w:cs="Times New Roman"/>
          <w:b/>
          <w:sz w:val="32"/>
          <w:szCs w:val="32"/>
        </w:rPr>
      </w:pPr>
      <w:r>
        <w:rPr>
          <w:rFonts w:ascii="Times New Roman" w:hAnsi="Times New Roman" w:eastAsia="仿宋" w:cs="Times New Roman"/>
          <w:b/>
          <w:sz w:val="32"/>
          <w:szCs w:val="32"/>
        </w:rPr>
        <w:br w:type="page"/>
      </w:r>
    </w:p>
    <w:p w14:paraId="777AC8B4">
      <w:pPr>
        <w:pStyle w:val="11"/>
        <w:wordWrap w:val="0"/>
        <w:spacing w:before="156" w:beforeLines="50" w:after="156" w:afterLines="50" w:line="578" w:lineRule="exact"/>
        <w:ind w:firstLine="0" w:firstLineChars="0"/>
        <w:rPr>
          <w:rFonts w:ascii="Times New Roman" w:hAnsi="Times New Roman" w:eastAsia="仿宋" w:cs="Times New Roman"/>
          <w:b/>
          <w:sz w:val="32"/>
          <w:szCs w:val="32"/>
        </w:rPr>
      </w:pPr>
      <w:r>
        <w:rPr>
          <w:rFonts w:ascii="Times New Roman" w:hAnsi="Times New Roman" w:eastAsia="仿宋" w:cs="Times New Roman"/>
          <w:b/>
          <w:sz w:val="32"/>
          <w:szCs w:val="32"/>
        </w:rPr>
        <w:t>附件2：</w:t>
      </w:r>
      <w:r>
        <w:rPr>
          <w:rFonts w:ascii="Times New Roman" w:hAnsi="Times New Roman" w:eastAsia="仿宋" w:cs="Times New Roman"/>
          <w:b/>
          <w:sz w:val="24"/>
        </w:rPr>
        <w:t>交接通知邮寄退件情况</w:t>
      </w:r>
    </w:p>
    <w:p w14:paraId="3C729861">
      <w:pPr>
        <w:pStyle w:val="11"/>
        <w:wordWrap w:val="0"/>
        <w:spacing w:before="156" w:beforeLines="50" w:after="156" w:afterLines="50" w:line="578" w:lineRule="exact"/>
        <w:ind w:firstLine="0" w:firstLineChars="0"/>
        <w:jc w:val="center"/>
        <w:rPr>
          <w:rFonts w:ascii="Times New Roman" w:hAnsi="Times New Roman" w:eastAsia="仿宋" w:cs="Times New Roman"/>
          <w:b/>
          <w:sz w:val="32"/>
          <w:szCs w:val="32"/>
        </w:rPr>
      </w:pPr>
      <w:r>
        <w:rPr>
          <w:rFonts w:ascii="Times New Roman" w:hAnsi="Times New Roman" w:eastAsia="仿宋" w:cs="Times New Roman"/>
          <w:b/>
          <w:sz w:val="32"/>
          <w:szCs w:val="32"/>
        </w:rPr>
        <w:t>交接通知邮寄退件情况</w:t>
      </w:r>
    </w:p>
    <w:tbl>
      <w:tblPr>
        <w:tblStyle w:val="6"/>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154"/>
        <w:gridCol w:w="1635"/>
        <w:gridCol w:w="2100"/>
        <w:gridCol w:w="2120"/>
      </w:tblGrid>
      <w:tr w14:paraId="1596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17" w:type="pct"/>
            <w:shd w:val="clear" w:color="auto" w:fill="CFCECE" w:themeFill="background2" w:themeFillShade="E5"/>
            <w:vAlign w:val="center"/>
          </w:tcPr>
          <w:p w14:paraId="134C85CD">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序号</w:t>
            </w:r>
          </w:p>
        </w:tc>
        <w:tc>
          <w:tcPr>
            <w:tcW w:w="1232" w:type="pct"/>
            <w:shd w:val="clear" w:color="auto" w:fill="CFCECE" w:themeFill="background2" w:themeFillShade="E5"/>
            <w:vAlign w:val="center"/>
          </w:tcPr>
          <w:p w14:paraId="79B5C4AA">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名称</w:t>
            </w:r>
          </w:p>
        </w:tc>
        <w:tc>
          <w:tcPr>
            <w:tcW w:w="935" w:type="pct"/>
            <w:shd w:val="clear" w:color="auto" w:fill="CFCECE" w:themeFill="background2" w:themeFillShade="E5"/>
            <w:vAlign w:val="center"/>
          </w:tcPr>
          <w:p w14:paraId="4D469AA1">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邮寄时间</w:t>
            </w:r>
          </w:p>
        </w:tc>
        <w:tc>
          <w:tcPr>
            <w:tcW w:w="1201" w:type="pct"/>
            <w:shd w:val="clear" w:color="auto" w:fill="CFCECE" w:themeFill="background2" w:themeFillShade="E5"/>
            <w:vAlign w:val="center"/>
          </w:tcPr>
          <w:p w14:paraId="28A6E97B">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快递单号（EMS）</w:t>
            </w:r>
          </w:p>
        </w:tc>
        <w:tc>
          <w:tcPr>
            <w:tcW w:w="1212" w:type="pct"/>
            <w:shd w:val="clear" w:color="auto" w:fill="CFCECE" w:themeFill="background2" w:themeFillShade="E5"/>
            <w:vAlign w:val="center"/>
          </w:tcPr>
          <w:p w14:paraId="2657E91B">
            <w:pPr>
              <w:wordWrap w:val="0"/>
              <w:snapToGrid w:val="0"/>
              <w:spacing w:before="156" w:beforeLines="50" w:after="156" w:afterLines="50"/>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快递交接情况</w:t>
            </w:r>
          </w:p>
        </w:tc>
      </w:tr>
      <w:tr w14:paraId="0DD6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17" w:type="pct"/>
            <w:vAlign w:val="center"/>
          </w:tcPr>
          <w:p w14:paraId="45F99189">
            <w:pPr>
              <w:numPr>
                <w:ilvl w:val="0"/>
                <w:numId w:val="11"/>
              </w:numPr>
              <w:wordWrap w:val="0"/>
              <w:snapToGrid w:val="0"/>
              <w:spacing w:before="156" w:beforeLines="50" w:after="156" w:afterLines="50"/>
              <w:jc w:val="center"/>
              <w:rPr>
                <w:rFonts w:ascii="Times New Roman" w:hAnsi="Times New Roman" w:eastAsia="仿宋" w:cs="Times New Roman"/>
                <w:color w:val="000000"/>
                <w:kern w:val="0"/>
                <w:szCs w:val="21"/>
              </w:rPr>
            </w:pPr>
          </w:p>
        </w:tc>
        <w:tc>
          <w:tcPr>
            <w:tcW w:w="1232" w:type="pct"/>
            <w:vAlign w:val="center"/>
          </w:tcPr>
          <w:p w14:paraId="12511342">
            <w:pPr>
              <w:numPr>
                <w:ilvl w:val="255"/>
                <w:numId w:val="0"/>
              </w:num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史晓影</w:t>
            </w:r>
          </w:p>
        </w:tc>
        <w:tc>
          <w:tcPr>
            <w:tcW w:w="935" w:type="pct"/>
            <w:vAlign w:val="center"/>
          </w:tcPr>
          <w:p w14:paraId="4B5C8053">
            <w:pPr>
              <w:numPr>
                <w:ilvl w:val="255"/>
                <w:numId w:val="0"/>
              </w:num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2025.10.22</w:t>
            </w:r>
          </w:p>
        </w:tc>
        <w:tc>
          <w:tcPr>
            <w:tcW w:w="1201" w:type="pct"/>
            <w:vAlign w:val="center"/>
          </w:tcPr>
          <w:p w14:paraId="36B3D695">
            <w:pPr>
              <w:numPr>
                <w:ilvl w:val="255"/>
                <w:numId w:val="0"/>
              </w:num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1284696998507</w:t>
            </w:r>
          </w:p>
        </w:tc>
        <w:tc>
          <w:tcPr>
            <w:tcW w:w="1212" w:type="pct"/>
            <w:vAlign w:val="center"/>
          </w:tcPr>
          <w:p w14:paraId="2C3BD138">
            <w:pPr>
              <w:numPr>
                <w:ilvl w:val="255"/>
                <w:numId w:val="0"/>
              </w:numPr>
              <w:wordWrap w:val="0"/>
              <w:snapToGrid w:val="0"/>
              <w:spacing w:before="156" w:beforeLines="50" w:after="156" w:afterLines="50"/>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2025.10.29已退回</w:t>
            </w:r>
          </w:p>
        </w:tc>
      </w:tr>
      <w:tr w14:paraId="031C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17" w:type="pct"/>
            <w:vAlign w:val="center"/>
          </w:tcPr>
          <w:p w14:paraId="6BED3FA0">
            <w:pPr>
              <w:pStyle w:val="11"/>
              <w:numPr>
                <w:ilvl w:val="0"/>
                <w:numId w:val="11"/>
              </w:numPr>
              <w:wordWrap w:val="0"/>
              <w:spacing w:before="156" w:beforeLines="50" w:after="156" w:afterLines="50"/>
              <w:ind w:firstLineChars="0"/>
              <w:jc w:val="center"/>
              <w:rPr>
                <w:rFonts w:ascii="Times New Roman" w:hAnsi="Times New Roman" w:eastAsia="仿宋" w:cs="Times New Roman"/>
                <w:bCs/>
                <w:szCs w:val="21"/>
              </w:rPr>
            </w:pPr>
          </w:p>
        </w:tc>
        <w:tc>
          <w:tcPr>
            <w:tcW w:w="1232" w:type="pct"/>
            <w:vAlign w:val="center"/>
          </w:tcPr>
          <w:p w14:paraId="07AEBF0F">
            <w:pPr>
              <w:pStyle w:val="11"/>
              <w:numPr>
                <w:ilvl w:val="1"/>
                <w:numId w:val="0"/>
              </w:num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color w:val="000000"/>
                <w:kern w:val="0"/>
                <w:szCs w:val="21"/>
              </w:rPr>
              <w:t>邢秀莲</w:t>
            </w:r>
          </w:p>
        </w:tc>
        <w:tc>
          <w:tcPr>
            <w:tcW w:w="935" w:type="pct"/>
            <w:vAlign w:val="center"/>
          </w:tcPr>
          <w:p w14:paraId="55E46582">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2025.10.22</w:t>
            </w:r>
          </w:p>
        </w:tc>
        <w:tc>
          <w:tcPr>
            <w:tcW w:w="1201" w:type="pct"/>
            <w:vAlign w:val="center"/>
          </w:tcPr>
          <w:p w14:paraId="36171BDF">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1284696997707</w:t>
            </w:r>
          </w:p>
        </w:tc>
        <w:tc>
          <w:tcPr>
            <w:tcW w:w="1212" w:type="pct"/>
            <w:vAlign w:val="center"/>
          </w:tcPr>
          <w:p w14:paraId="2F950637">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2025.10.25已退回</w:t>
            </w:r>
          </w:p>
        </w:tc>
      </w:tr>
      <w:tr w14:paraId="223D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17" w:type="pct"/>
            <w:vAlign w:val="center"/>
          </w:tcPr>
          <w:p w14:paraId="6D1FCCEF">
            <w:pPr>
              <w:pStyle w:val="11"/>
              <w:numPr>
                <w:ilvl w:val="0"/>
                <w:numId w:val="11"/>
              </w:numPr>
              <w:wordWrap w:val="0"/>
              <w:spacing w:before="156" w:beforeLines="50" w:after="156" w:afterLines="50"/>
              <w:ind w:firstLineChars="0"/>
              <w:jc w:val="center"/>
              <w:rPr>
                <w:rFonts w:ascii="Times New Roman" w:hAnsi="Times New Roman" w:eastAsia="仿宋" w:cs="Times New Roman"/>
                <w:bCs/>
                <w:szCs w:val="21"/>
              </w:rPr>
            </w:pPr>
          </w:p>
        </w:tc>
        <w:tc>
          <w:tcPr>
            <w:tcW w:w="1232" w:type="pct"/>
            <w:vAlign w:val="center"/>
          </w:tcPr>
          <w:p w14:paraId="7805E9F4">
            <w:pPr>
              <w:pStyle w:val="11"/>
              <w:numPr>
                <w:ilvl w:val="1"/>
                <w:numId w:val="0"/>
              </w:numPr>
              <w:wordWrap w:val="0"/>
              <w:spacing w:before="156" w:beforeLines="50" w:after="156" w:afterLines="50"/>
              <w:jc w:val="center"/>
              <w:rPr>
                <w:rFonts w:ascii="Times New Roman" w:hAnsi="Times New Roman" w:eastAsia="仿宋" w:cs="Times New Roman"/>
                <w:bCs/>
                <w:szCs w:val="21"/>
              </w:rPr>
            </w:pPr>
            <w:r>
              <w:fldChar w:fldCharType="begin"/>
            </w:r>
            <w:r>
              <w:instrText xml:space="preserve"> HYPERLINK "https://www.qcc.com/firm/7e069d27a2ce4aa24c6722655d2c8259.html" \t "https://www.qcc.com/firm/_blank" </w:instrText>
            </w:r>
            <w:r>
              <w:fldChar w:fldCharType="separate"/>
            </w:r>
            <w:r>
              <w:rPr>
                <w:rFonts w:ascii="Times New Roman" w:hAnsi="Times New Roman" w:eastAsia="仿宋" w:cs="Times New Roman"/>
                <w:color w:val="000000"/>
                <w:kern w:val="0"/>
                <w:szCs w:val="21"/>
              </w:rPr>
              <w:t>北京浩龙耀商贸有限责任公司</w:t>
            </w:r>
            <w:r>
              <w:rPr>
                <w:rFonts w:ascii="Times New Roman" w:hAnsi="Times New Roman" w:eastAsia="仿宋" w:cs="Times New Roman"/>
                <w:color w:val="000000"/>
                <w:kern w:val="0"/>
                <w:szCs w:val="21"/>
              </w:rPr>
              <w:fldChar w:fldCharType="end"/>
            </w:r>
          </w:p>
        </w:tc>
        <w:tc>
          <w:tcPr>
            <w:tcW w:w="935" w:type="pct"/>
            <w:vAlign w:val="center"/>
          </w:tcPr>
          <w:p w14:paraId="15ED3399">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2025.10.21</w:t>
            </w:r>
          </w:p>
        </w:tc>
        <w:tc>
          <w:tcPr>
            <w:tcW w:w="1201" w:type="pct"/>
            <w:vAlign w:val="center"/>
          </w:tcPr>
          <w:p w14:paraId="47E13518">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1284696991507</w:t>
            </w:r>
          </w:p>
        </w:tc>
        <w:tc>
          <w:tcPr>
            <w:tcW w:w="1212" w:type="pct"/>
            <w:vAlign w:val="center"/>
          </w:tcPr>
          <w:p w14:paraId="25BEC29F">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2025.10.27已退回</w:t>
            </w:r>
          </w:p>
        </w:tc>
      </w:tr>
      <w:tr w14:paraId="69CC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17" w:type="pct"/>
            <w:vAlign w:val="center"/>
          </w:tcPr>
          <w:p w14:paraId="1B1A3F2D">
            <w:pPr>
              <w:pStyle w:val="11"/>
              <w:numPr>
                <w:ilvl w:val="0"/>
                <w:numId w:val="11"/>
              </w:numPr>
              <w:wordWrap w:val="0"/>
              <w:spacing w:before="156" w:beforeLines="50" w:after="156" w:afterLines="50"/>
              <w:ind w:firstLineChars="0"/>
              <w:jc w:val="center"/>
              <w:rPr>
                <w:rFonts w:ascii="Times New Roman" w:hAnsi="Times New Roman" w:eastAsia="仿宋" w:cs="Times New Roman"/>
                <w:bCs/>
                <w:szCs w:val="21"/>
              </w:rPr>
            </w:pPr>
          </w:p>
        </w:tc>
        <w:tc>
          <w:tcPr>
            <w:tcW w:w="1232" w:type="pct"/>
            <w:vAlign w:val="center"/>
          </w:tcPr>
          <w:p w14:paraId="58F66E26">
            <w:pPr>
              <w:pStyle w:val="11"/>
              <w:numPr>
                <w:ilvl w:val="1"/>
                <w:numId w:val="0"/>
              </w:numPr>
              <w:wordWrap w:val="0"/>
              <w:spacing w:before="156" w:beforeLines="50" w:after="156" w:afterLines="50"/>
              <w:jc w:val="center"/>
              <w:rPr>
                <w:rFonts w:ascii="Times New Roman" w:hAnsi="Times New Roman" w:eastAsia="仿宋" w:cs="Times New Roman"/>
                <w:bCs/>
                <w:szCs w:val="21"/>
              </w:rPr>
            </w:pPr>
            <w:r>
              <w:fldChar w:fldCharType="begin"/>
            </w:r>
            <w:r>
              <w:instrText xml:space="preserve"> HYPERLINK "https://www.qcc.com/firm/04ed8454acd439ac806e7af5020d0475.html" \t "https://www.qcc.com/firm/_blank" </w:instrText>
            </w:r>
            <w:r>
              <w:fldChar w:fldCharType="separate"/>
            </w:r>
            <w:r>
              <w:rPr>
                <w:rFonts w:ascii="Times New Roman" w:hAnsi="Times New Roman" w:eastAsia="仿宋" w:cs="Times New Roman"/>
                <w:color w:val="000000"/>
                <w:kern w:val="0"/>
                <w:szCs w:val="21"/>
              </w:rPr>
              <w:t>北京立恒房地产开发经营有限公司</w:t>
            </w:r>
            <w:r>
              <w:rPr>
                <w:rFonts w:ascii="Times New Roman" w:hAnsi="Times New Roman" w:eastAsia="仿宋" w:cs="Times New Roman"/>
                <w:color w:val="000000"/>
                <w:kern w:val="0"/>
                <w:szCs w:val="21"/>
              </w:rPr>
              <w:fldChar w:fldCharType="end"/>
            </w:r>
          </w:p>
        </w:tc>
        <w:tc>
          <w:tcPr>
            <w:tcW w:w="935" w:type="pct"/>
            <w:vAlign w:val="center"/>
          </w:tcPr>
          <w:p w14:paraId="00EC889E">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2025.10.21</w:t>
            </w:r>
          </w:p>
        </w:tc>
        <w:tc>
          <w:tcPr>
            <w:tcW w:w="1201" w:type="pct"/>
            <w:vAlign w:val="center"/>
          </w:tcPr>
          <w:p w14:paraId="0D41BC97">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1284696992907</w:t>
            </w:r>
          </w:p>
        </w:tc>
        <w:tc>
          <w:tcPr>
            <w:tcW w:w="1212" w:type="pct"/>
            <w:vAlign w:val="center"/>
          </w:tcPr>
          <w:p w14:paraId="2DECA042">
            <w:pPr>
              <w:wordWrap w:val="0"/>
              <w:spacing w:before="156" w:beforeLines="50" w:after="156" w:afterLines="50"/>
              <w:jc w:val="center"/>
              <w:rPr>
                <w:rFonts w:ascii="Times New Roman" w:hAnsi="Times New Roman" w:eastAsia="仿宋" w:cs="Times New Roman"/>
                <w:bCs/>
                <w:szCs w:val="21"/>
              </w:rPr>
            </w:pPr>
            <w:r>
              <w:rPr>
                <w:rFonts w:ascii="Times New Roman" w:hAnsi="Times New Roman" w:eastAsia="仿宋" w:cs="Times New Roman"/>
                <w:bCs/>
                <w:szCs w:val="21"/>
              </w:rPr>
              <w:t>2025.11.1已退回</w:t>
            </w:r>
          </w:p>
        </w:tc>
      </w:tr>
    </w:tbl>
    <w:p w14:paraId="72DB02DE">
      <w:pPr>
        <w:wordWrap w:val="0"/>
        <w:spacing w:before="156" w:beforeLines="50" w:after="780" w:afterLines="250" w:line="578" w:lineRule="exact"/>
        <w:jc w:val="left"/>
        <w:rPr>
          <w:rFonts w:ascii="Times New Roman" w:hAnsi="Times New Roman" w:eastAsia="仿宋" w:cs="Times New Roman"/>
          <w:b/>
          <w:sz w:val="24"/>
        </w:rPr>
      </w:pPr>
      <w:r>
        <w:rPr>
          <w:rFonts w:ascii="Times New Roman" w:hAnsi="Times New Roman" w:eastAsia="仿宋" w:cs="Times New Roman"/>
          <w:b/>
          <w:sz w:val="32"/>
          <w:szCs w:val="32"/>
        </w:rPr>
        <w:br w:type="page"/>
      </w:r>
      <w:r>
        <w:rPr>
          <w:rFonts w:ascii="Times New Roman" w:hAnsi="Times New Roman" w:eastAsia="仿宋" w:cs="Times New Roman"/>
          <w:b/>
          <w:sz w:val="32"/>
          <w:szCs w:val="32"/>
        </w:rPr>
        <w:t>附件3：</w:t>
      </w:r>
      <w:r>
        <w:rPr>
          <w:rFonts w:ascii="Times New Roman" w:hAnsi="Times New Roman" w:eastAsia="仿宋" w:cs="Times New Roman"/>
          <w:b/>
          <w:sz w:val="24"/>
        </w:rPr>
        <w:t>交接通知在全国企业破产重整案件信息网的公告情况</w:t>
      </w:r>
    </w:p>
    <w:p w14:paraId="5709F33C">
      <w:pPr>
        <w:pStyle w:val="11"/>
        <w:wordWrap w:val="0"/>
        <w:spacing w:before="156" w:beforeLines="50" w:after="156" w:afterLines="50"/>
        <w:ind w:firstLine="0" w:firstLineChars="0"/>
        <w:rPr>
          <w:rFonts w:ascii="Times New Roman" w:hAnsi="Times New Roman" w:eastAsia="仿宋" w:cs="Times New Roman"/>
          <w:b/>
          <w:sz w:val="32"/>
          <w:szCs w:val="32"/>
        </w:rPr>
      </w:pPr>
      <w:r>
        <w:rPr>
          <w:rFonts w:hint="eastAsia" w:ascii="Times New Roman" w:hAnsi="Times New Roman" w:eastAsia="仿宋" w:cs="Times New Roman"/>
          <w:b/>
          <w:sz w:val="32"/>
          <w:szCs w:val="32"/>
        </w:rPr>
        <w:drawing>
          <wp:inline distT="0" distB="0" distL="114300" distR="114300">
            <wp:extent cx="5271135" cy="5276850"/>
            <wp:effectExtent l="0" t="0" r="5715" b="0"/>
            <wp:docPr id="4" name="图片 4" descr="小破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破网截图"/>
                    <pic:cNvPicPr>
                      <a:picLocks noChangeAspect="1"/>
                    </pic:cNvPicPr>
                  </pic:nvPicPr>
                  <pic:blipFill>
                    <a:blip r:embed="rId6"/>
                    <a:stretch>
                      <a:fillRect/>
                    </a:stretch>
                  </pic:blipFill>
                  <pic:spPr>
                    <a:xfrm>
                      <a:off x="0" y="0"/>
                      <a:ext cx="5271135" cy="5276850"/>
                    </a:xfrm>
                    <a:prstGeom prst="rect">
                      <a:avLst/>
                    </a:prstGeom>
                  </pic:spPr>
                </pic:pic>
              </a:graphicData>
            </a:graphic>
          </wp:inline>
        </w:drawing>
      </w:r>
    </w:p>
    <w:p w14:paraId="33C536EA">
      <w:pPr>
        <w:wordWrap w:val="0"/>
        <w:spacing w:before="156" w:beforeLines="50" w:after="156" w:afterLines="50" w:line="578" w:lineRule="exact"/>
        <w:rPr>
          <w:rFonts w:ascii="Times New Roman" w:hAnsi="Times New Roman" w:eastAsia="仿宋" w:cs="Times New Roman"/>
          <w:b/>
          <w:sz w:val="32"/>
          <w:szCs w:val="32"/>
        </w:rPr>
      </w:pPr>
      <w:r>
        <w:rPr>
          <w:rFonts w:ascii="Times New Roman" w:hAnsi="Times New Roman" w:eastAsia="仿宋" w:cs="Times New Roman"/>
          <w:b/>
          <w:sz w:val="32"/>
          <w:szCs w:val="32"/>
        </w:rPr>
        <w:br w:type="page"/>
      </w:r>
    </w:p>
    <w:p w14:paraId="2FD87AFD">
      <w:pPr>
        <w:wordWrap w:val="0"/>
        <w:spacing w:before="156" w:beforeLines="50" w:after="156" w:afterLines="50" w:line="578" w:lineRule="exact"/>
        <w:jc w:val="center"/>
        <w:rPr>
          <w:rFonts w:ascii="Times New Roman" w:hAnsi="Times New Roman" w:eastAsia="仿宋" w:cs="Times New Roman"/>
          <w:b/>
          <w:sz w:val="44"/>
          <w:szCs w:val="44"/>
        </w:rPr>
      </w:pPr>
      <w:r>
        <w:rPr>
          <w:rFonts w:ascii="Times New Roman" w:hAnsi="Times New Roman" w:eastAsia="仿宋" w:cs="Times New Roman"/>
          <w:b/>
          <w:sz w:val="44"/>
          <w:szCs w:val="44"/>
        </w:rPr>
        <w:t>北京浩龙耀航空服务有限公司强制清算案</w:t>
      </w:r>
    </w:p>
    <w:p w14:paraId="1EF2F66E">
      <w:pPr>
        <w:wordWrap w:val="0"/>
        <w:spacing w:before="156" w:beforeLines="50" w:after="156" w:afterLines="50" w:line="578" w:lineRule="exact"/>
        <w:jc w:val="center"/>
        <w:rPr>
          <w:rFonts w:ascii="Times New Roman" w:hAnsi="Times New Roman" w:eastAsia="仿宋" w:cs="Times New Roman"/>
          <w:b/>
          <w:sz w:val="44"/>
          <w:szCs w:val="44"/>
        </w:rPr>
      </w:pPr>
      <w:r>
        <w:rPr>
          <w:rFonts w:ascii="Times New Roman" w:hAnsi="Times New Roman" w:eastAsia="仿宋" w:cs="Times New Roman"/>
          <w:b/>
          <w:sz w:val="44"/>
          <w:szCs w:val="44"/>
        </w:rPr>
        <w:t>注册地现场走访情况汇报</w:t>
      </w:r>
    </w:p>
    <w:p w14:paraId="69E4AE7A">
      <w:pPr>
        <w:wordWrap w:val="0"/>
        <w:spacing w:before="780" w:beforeLines="250" w:after="156" w:afterLines="50" w:line="578" w:lineRule="exact"/>
        <w:rPr>
          <w:rFonts w:ascii="Times New Roman" w:hAnsi="Times New Roman" w:eastAsia="仿宋" w:cs="Times New Roman"/>
          <w:b/>
          <w:sz w:val="32"/>
          <w:szCs w:val="32"/>
        </w:rPr>
      </w:pPr>
      <w:r>
        <w:rPr>
          <w:rFonts w:ascii="Times New Roman" w:hAnsi="Times New Roman" w:eastAsia="仿宋" w:cs="Times New Roman"/>
          <w:b/>
          <w:sz w:val="32"/>
          <w:szCs w:val="32"/>
        </w:rPr>
        <w:t>北京市第一中级人民法院：</w:t>
      </w:r>
    </w:p>
    <w:p w14:paraId="05067A55">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2025年8月26日，北京市第一中级人民法院（以下简称“</w:t>
      </w:r>
      <w:r>
        <w:rPr>
          <w:rFonts w:ascii="Times New Roman" w:hAnsi="Times New Roman" w:eastAsia="仿宋" w:cs="Times New Roman"/>
          <w:b/>
          <w:bCs/>
          <w:sz w:val="32"/>
          <w:szCs w:val="32"/>
        </w:rPr>
        <w:t>北京一中院</w:t>
      </w:r>
      <w:r>
        <w:rPr>
          <w:rFonts w:ascii="Times New Roman" w:hAnsi="Times New Roman" w:eastAsia="仿宋" w:cs="Times New Roman"/>
          <w:sz w:val="32"/>
          <w:szCs w:val="32"/>
        </w:rPr>
        <w:t>”）作出（2025）京01清申386号《民事裁定书》，裁定受理北京浩龙耀商贸有限责任公司对北京浩龙耀航空服务有限公司（以下简称“</w:t>
      </w:r>
      <w:r>
        <w:rPr>
          <w:rFonts w:ascii="Times New Roman" w:hAnsi="Times New Roman" w:eastAsia="仿宋" w:cs="Times New Roman"/>
          <w:b/>
          <w:bCs/>
          <w:sz w:val="32"/>
          <w:szCs w:val="32"/>
        </w:rPr>
        <w:t>债务人</w:t>
      </w:r>
      <w:r>
        <w:rPr>
          <w:rFonts w:ascii="Times New Roman" w:hAnsi="Times New Roman" w:eastAsia="仿宋" w:cs="Times New Roman"/>
          <w:sz w:val="32"/>
          <w:szCs w:val="32"/>
        </w:rPr>
        <w:t>”）的强制清算申请（以下简称“</w:t>
      </w:r>
      <w:r>
        <w:rPr>
          <w:rFonts w:ascii="Times New Roman" w:hAnsi="Times New Roman" w:eastAsia="仿宋" w:cs="Times New Roman"/>
          <w:b/>
          <w:bCs/>
          <w:sz w:val="32"/>
          <w:szCs w:val="32"/>
        </w:rPr>
        <w:t>本案</w:t>
      </w:r>
      <w:r>
        <w:rPr>
          <w:rFonts w:ascii="Times New Roman" w:hAnsi="Times New Roman" w:eastAsia="仿宋" w:cs="Times New Roman"/>
          <w:sz w:val="32"/>
          <w:szCs w:val="32"/>
        </w:rPr>
        <w:t>”）。2025年9月10日，北京一中院作出（2025）京01强清214号《决定书》，指定北京市嘉逸田破产事务咨询服务有限公司担任北京浩龙耀航空服务有限公司清算组（以下简称“</w:t>
      </w:r>
      <w:r>
        <w:rPr>
          <w:rFonts w:ascii="Times New Roman" w:hAnsi="Times New Roman" w:eastAsia="仿宋" w:cs="Times New Roman"/>
          <w:b/>
          <w:bCs/>
          <w:sz w:val="32"/>
          <w:szCs w:val="32"/>
        </w:rPr>
        <w:t>清算组</w:t>
      </w:r>
      <w:r>
        <w:rPr>
          <w:rFonts w:ascii="Times New Roman" w:hAnsi="Times New Roman" w:eastAsia="仿宋" w:cs="Times New Roman"/>
          <w:sz w:val="32"/>
          <w:szCs w:val="32"/>
        </w:rPr>
        <w:t>”）。</w:t>
      </w:r>
    </w:p>
    <w:p w14:paraId="648FB398">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2025年10月16日，清算组团队成员前往债务人注册地走访，现将走访情况向</w:t>
      </w:r>
      <w:r>
        <w:rPr>
          <w:rFonts w:hint="eastAsia" w:ascii="Times New Roman" w:hAnsi="Times New Roman" w:eastAsia="仿宋" w:cs="Times New Roman"/>
          <w:sz w:val="32"/>
          <w:szCs w:val="32"/>
        </w:rPr>
        <w:t>北京一中院</w:t>
      </w:r>
      <w:r>
        <w:rPr>
          <w:rFonts w:ascii="Times New Roman" w:hAnsi="Times New Roman" w:eastAsia="仿宋" w:cs="Times New Roman"/>
          <w:sz w:val="32"/>
          <w:szCs w:val="32"/>
        </w:rPr>
        <w:t>报告如下：</w:t>
      </w:r>
    </w:p>
    <w:p w14:paraId="77E9A834">
      <w:pPr>
        <w:wordWrap w:val="0"/>
        <w:spacing w:before="156" w:beforeLines="50" w:after="156" w:afterLines="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根据债务人工商档案及公开信息显示，债务人注册地址为：</w:t>
      </w:r>
      <w:r>
        <w:rPr>
          <w:rFonts w:ascii="Times New Roman" w:hAnsi="Times New Roman" w:eastAsia="仿宋" w:cs="Times New Roman"/>
          <w:b/>
          <w:bCs/>
          <w:sz w:val="32"/>
          <w:szCs w:val="32"/>
          <w:u w:val="single"/>
        </w:rPr>
        <w:t>北京市宣武区南滨河路23号（立恒名苑3号楼首层）</w:t>
      </w:r>
      <w:r>
        <w:rPr>
          <w:rFonts w:ascii="Times New Roman" w:hAnsi="Times New Roman" w:eastAsia="仿宋" w:cs="Times New Roman"/>
          <w:sz w:val="32"/>
          <w:szCs w:val="32"/>
        </w:rPr>
        <w:t>。根据该地址</w:t>
      </w:r>
      <w:r>
        <w:rPr>
          <w:rFonts w:hint="eastAsia" w:ascii="Times New Roman" w:hAnsi="Times New Roman" w:eastAsia="仿宋" w:cs="Times New Roman"/>
          <w:sz w:val="32"/>
          <w:szCs w:val="32"/>
        </w:rPr>
        <w:t>信息</w:t>
      </w:r>
      <w:r>
        <w:rPr>
          <w:rFonts w:ascii="Times New Roman" w:hAnsi="Times New Roman" w:eastAsia="仿宋" w:cs="Times New Roman"/>
          <w:sz w:val="32"/>
          <w:szCs w:val="32"/>
        </w:rPr>
        <w:t>，清算组派遣工作人员前往该地址进行现场走访，了解债务人的现场情况。</w:t>
      </w:r>
    </w:p>
    <w:p w14:paraId="59E6D8DC">
      <w:pPr>
        <w:wordWrap w:val="0"/>
        <w:spacing w:before="156" w:beforeLines="50" w:after="156" w:afterLines="50" w:line="578" w:lineRule="exact"/>
        <w:ind w:firstLine="640" w:firstLineChars="200"/>
        <w:rPr>
          <w:rFonts w:ascii="Times New Roman" w:hAnsi="Times New Roman" w:eastAsia="仿宋" w:cs="Times New Roman"/>
          <w:b/>
          <w:sz w:val="32"/>
          <w:szCs w:val="32"/>
        </w:rPr>
      </w:pPr>
      <w:r>
        <w:rPr>
          <w:rFonts w:ascii="Times New Roman" w:hAnsi="Times New Roman" w:eastAsia="仿宋" w:cs="Times New Roman"/>
          <w:sz w:val="32"/>
          <w:szCs w:val="32"/>
        </w:rPr>
        <w:t>经走访，该注册地现为军事部队大院，未发现与债务人或相关方存在联系，清算组已将现场踏勘情况进行拍照留存（图片见附件）。</w:t>
      </w:r>
    </w:p>
    <w:p w14:paraId="081A6770">
      <w:pPr>
        <w:wordWrap w:val="0"/>
        <w:spacing w:before="156" w:beforeLines="50" w:after="156" w:afterLines="50" w:line="578"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综上所述，</w:t>
      </w:r>
      <w:r>
        <w:rPr>
          <w:rFonts w:ascii="Times New Roman" w:hAnsi="Times New Roman" w:eastAsia="仿宋" w:cs="Times New Roman"/>
          <w:sz w:val="32"/>
          <w:szCs w:val="32"/>
        </w:rPr>
        <w:t>清算组已对债务人注册地址进行现场走访，未发现债务人办公地址。</w:t>
      </w:r>
    </w:p>
    <w:p w14:paraId="77FEDC4C">
      <w:pPr>
        <w:wordWrap w:val="0"/>
        <w:spacing w:before="156" w:beforeLines="50" w:after="780" w:afterLines="250" w:line="578"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特此报告。</w:t>
      </w:r>
    </w:p>
    <w:p w14:paraId="07563AB0">
      <w:pPr>
        <w:pStyle w:val="11"/>
        <w:wordWrap w:val="0"/>
        <w:spacing w:before="156" w:beforeLines="50" w:after="156" w:afterLines="50" w:line="578" w:lineRule="exact"/>
        <w:ind w:firstLine="0" w:firstLineChars="0"/>
        <w:jc w:val="right"/>
        <w:rPr>
          <w:rFonts w:ascii="Times New Roman" w:hAnsi="Times New Roman" w:eastAsia="仿宋" w:cs="Times New Roman"/>
          <w:b/>
          <w:bCs/>
          <w:sz w:val="32"/>
          <w:szCs w:val="32"/>
        </w:rPr>
      </w:pPr>
      <w:r>
        <w:rPr>
          <w:rFonts w:ascii="Times New Roman" w:hAnsi="Times New Roman" w:eastAsia="仿宋" w:cs="Times New Roman"/>
          <w:b/>
          <w:bCs/>
          <w:sz w:val="32"/>
          <w:szCs w:val="32"/>
        </w:rPr>
        <w:t>北京浩龙耀航空服务有限公司清算组</w:t>
      </w:r>
    </w:p>
    <w:p w14:paraId="121614C8">
      <w:pPr>
        <w:pStyle w:val="11"/>
        <w:wordWrap w:val="0"/>
        <w:spacing w:before="156" w:beforeLines="50" w:after="156" w:afterLines="50" w:line="578" w:lineRule="exact"/>
        <w:ind w:firstLine="4480" w:firstLineChars="1400"/>
        <w:rPr>
          <w:rFonts w:ascii="Times New Roman" w:hAnsi="Times New Roman" w:eastAsia="仿宋" w:cs="Times New Roman"/>
          <w:sz w:val="32"/>
          <w:szCs w:val="32"/>
        </w:rPr>
      </w:pPr>
      <w:r>
        <w:rPr>
          <w:rFonts w:ascii="Times New Roman" w:hAnsi="Times New Roman" w:eastAsia="仿宋" w:cs="Times New Roman"/>
          <w:sz w:val="32"/>
          <w:szCs w:val="32"/>
        </w:rPr>
        <w:t>2025年</w:t>
      </w:r>
      <w:r>
        <w:rPr>
          <w:rFonts w:hint="eastAsia" w:ascii="Times New Roman" w:hAnsi="Times New Roman" w:eastAsia="仿宋" w:cs="Times New Roman"/>
          <w:sz w:val="32"/>
          <w:szCs w:val="32"/>
        </w:rPr>
        <w:t>10</w:t>
      </w:r>
      <w:r>
        <w:rPr>
          <w:rFonts w:ascii="Times New Roman" w:hAnsi="Times New Roman" w:eastAsia="仿宋" w:cs="Times New Roman"/>
          <w:sz w:val="32"/>
          <w:szCs w:val="32"/>
        </w:rPr>
        <w:t>月</w:t>
      </w:r>
      <w:r>
        <w:rPr>
          <w:rFonts w:hint="eastAsia" w:ascii="Times New Roman" w:hAnsi="Times New Roman" w:eastAsia="仿宋" w:cs="Times New Roman"/>
          <w:sz w:val="32"/>
          <w:szCs w:val="32"/>
        </w:rPr>
        <w:t>16</w:t>
      </w:r>
      <w:r>
        <w:rPr>
          <w:rFonts w:ascii="Times New Roman" w:hAnsi="Times New Roman" w:eastAsia="仿宋" w:cs="Times New Roman"/>
          <w:sz w:val="32"/>
          <w:szCs w:val="32"/>
        </w:rPr>
        <w:t>日</w:t>
      </w:r>
    </w:p>
    <w:p w14:paraId="742801E3">
      <w:pPr>
        <w:pStyle w:val="11"/>
        <w:wordWrap w:val="0"/>
        <w:spacing w:before="780" w:beforeLines="250" w:after="156" w:afterLines="50" w:line="578" w:lineRule="exact"/>
        <w:ind w:firstLine="0" w:firstLineChars="0"/>
        <w:rPr>
          <w:rFonts w:ascii="Times New Roman" w:hAnsi="Times New Roman" w:eastAsia="仿宋" w:cs="Times New Roman"/>
          <w:bCs/>
          <w:sz w:val="32"/>
          <w:szCs w:val="32"/>
        </w:rPr>
      </w:pPr>
      <w:r>
        <w:rPr>
          <w:rFonts w:ascii="Times New Roman" w:hAnsi="Times New Roman" w:eastAsia="仿宋" w:cs="Times New Roman"/>
          <w:b/>
          <w:sz w:val="32"/>
          <w:szCs w:val="32"/>
        </w:rPr>
        <w:t>附件：</w:t>
      </w:r>
      <w:r>
        <w:rPr>
          <w:rFonts w:ascii="Times New Roman" w:hAnsi="Times New Roman" w:eastAsia="仿宋" w:cs="Times New Roman"/>
          <w:sz w:val="24"/>
        </w:rPr>
        <w:t>债务人</w:t>
      </w:r>
      <w:r>
        <w:rPr>
          <w:rFonts w:ascii="Times New Roman" w:hAnsi="Times New Roman" w:eastAsia="仿宋" w:cs="Times New Roman"/>
          <w:bCs/>
          <w:sz w:val="24"/>
        </w:rPr>
        <w:t>注册地址实地走访照片</w:t>
      </w:r>
    </w:p>
    <w:p w14:paraId="3DDD5B60">
      <w:pPr>
        <w:wordWrap w:val="0"/>
        <w:spacing w:before="156" w:beforeLines="50" w:after="156" w:afterLines="50" w:line="578" w:lineRule="exact"/>
        <w:rPr>
          <w:rFonts w:ascii="Times New Roman" w:hAnsi="Times New Roman" w:eastAsia="仿宋" w:cs="Times New Roman"/>
          <w:bCs/>
          <w:sz w:val="32"/>
          <w:szCs w:val="32"/>
        </w:rPr>
      </w:pPr>
      <w:r>
        <w:rPr>
          <w:rFonts w:ascii="Times New Roman" w:hAnsi="Times New Roman" w:eastAsia="仿宋" w:cs="Times New Roman"/>
          <w:bCs/>
          <w:sz w:val="32"/>
          <w:szCs w:val="32"/>
        </w:rPr>
        <w:br w:type="page"/>
      </w:r>
    </w:p>
    <w:p w14:paraId="700739BB">
      <w:pPr>
        <w:pStyle w:val="11"/>
        <w:wordWrap w:val="0"/>
        <w:spacing w:before="156" w:beforeLines="50" w:after="468" w:afterLines="150" w:line="578" w:lineRule="exact"/>
        <w:ind w:firstLine="0" w:firstLineChars="0"/>
        <w:rPr>
          <w:rFonts w:ascii="Times New Roman" w:hAnsi="Times New Roman" w:eastAsia="仿宋" w:cs="Times New Roman"/>
          <w:b/>
          <w:bCs/>
          <w:sz w:val="32"/>
          <w:szCs w:val="32"/>
        </w:rPr>
      </w:pPr>
      <w:r>
        <w:rPr>
          <w:rFonts w:ascii="Times New Roman" w:hAnsi="Times New Roman" w:eastAsia="仿宋" w:cs="Times New Roman"/>
          <w:b/>
          <w:sz w:val="32"/>
          <w:szCs w:val="32"/>
        </w:rPr>
        <w:t>附件：</w:t>
      </w:r>
      <w:r>
        <w:rPr>
          <w:rFonts w:ascii="Times New Roman" w:hAnsi="Times New Roman" w:eastAsia="仿宋" w:cs="Times New Roman"/>
          <w:b/>
          <w:sz w:val="24"/>
        </w:rPr>
        <w:t>债务人注册地址实地走访照片</w:t>
      </w:r>
    </w:p>
    <w:p w14:paraId="603E9C30">
      <w:pPr>
        <w:wordWrap w:val="0"/>
        <w:spacing w:before="156" w:beforeLines="50" w:after="156" w:afterLines="50"/>
        <w:rPr>
          <w:rFonts w:ascii="Times New Roman" w:hAnsi="Times New Roman" w:eastAsia="仿宋" w:cs="Times New Roman"/>
          <w:sz w:val="32"/>
          <w:szCs w:val="32"/>
        </w:rPr>
      </w:pPr>
      <w:r>
        <w:rPr>
          <w:rFonts w:hint="eastAsia" w:ascii="Times New Roman" w:hAnsi="Times New Roman" w:eastAsia="仿宋" w:cs="Times New Roman"/>
          <w:sz w:val="32"/>
          <w:szCs w:val="32"/>
        </w:rPr>
        <w:drawing>
          <wp:inline distT="0" distB="0" distL="114300" distR="114300">
            <wp:extent cx="5267325" cy="3952875"/>
            <wp:effectExtent l="0" t="0" r="9525" b="9525"/>
            <wp:docPr id="6" name="图片 6" descr="实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实地1"/>
                    <pic:cNvPicPr>
                      <a:picLocks noChangeAspect="1"/>
                    </pic:cNvPicPr>
                  </pic:nvPicPr>
                  <pic:blipFill>
                    <a:blip r:embed="rId7"/>
                    <a:stretch>
                      <a:fillRect/>
                    </a:stretch>
                  </pic:blipFill>
                  <pic:spPr>
                    <a:xfrm>
                      <a:off x="0" y="0"/>
                      <a:ext cx="5267325" cy="3952875"/>
                    </a:xfrm>
                    <a:prstGeom prst="rect">
                      <a:avLst/>
                    </a:prstGeom>
                  </pic:spPr>
                </pic:pic>
              </a:graphicData>
            </a:graphic>
          </wp:inline>
        </w:drawing>
      </w:r>
      <w:r>
        <w:rPr>
          <w:rFonts w:hint="eastAsia" w:ascii="Times New Roman" w:hAnsi="Times New Roman" w:eastAsia="仿宋" w:cs="Times New Roman"/>
          <w:sz w:val="32"/>
          <w:szCs w:val="32"/>
        </w:rPr>
        <w:drawing>
          <wp:inline distT="0" distB="0" distL="114300" distR="114300">
            <wp:extent cx="5267325" cy="3952875"/>
            <wp:effectExtent l="0" t="0" r="9525" b="9525"/>
            <wp:docPr id="5" name="图片 5" descr="实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实地2"/>
                    <pic:cNvPicPr>
                      <a:picLocks noChangeAspect="1"/>
                    </pic:cNvPicPr>
                  </pic:nvPicPr>
                  <pic:blipFill>
                    <a:blip r:embed="rId8"/>
                    <a:stretch>
                      <a:fillRect/>
                    </a:stretch>
                  </pic:blipFill>
                  <pic:spPr>
                    <a:xfrm>
                      <a:off x="0" y="0"/>
                      <a:ext cx="5267325" cy="3952875"/>
                    </a:xfrm>
                    <a:prstGeom prst="rect">
                      <a:avLst/>
                    </a:prstGeom>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9C06">
    <w:pPr>
      <w:pStyle w:val="3"/>
      <w:jc w:val="center"/>
      <w:rPr>
        <w:rFonts w:hint="eastAsia" w:ascii="仿宋" w:hAnsi="仿宋" w:eastAsia="仿宋"/>
        <w:sz w:val="21"/>
        <w:szCs w:val="21"/>
      </w:rPr>
    </w:pPr>
    <w:r>
      <w:rPr>
        <w:rFonts w:hint="eastAsia" w:ascii="仿宋" w:hAnsi="仿宋" w:eastAsia="仿宋"/>
        <w:sz w:val="21"/>
        <w:szCs w:val="21"/>
      </w:rPr>
      <w:fldChar w:fldCharType="begin"/>
    </w:r>
    <w:r>
      <w:rPr>
        <w:rFonts w:hint="eastAsia" w:ascii="仿宋" w:hAnsi="仿宋" w:eastAsia="仿宋"/>
        <w:sz w:val="21"/>
        <w:szCs w:val="21"/>
      </w:rPr>
      <w:instrText xml:space="preserve"> </w:instrText>
    </w:r>
    <w:r>
      <w:rPr>
        <w:rFonts w:ascii="仿宋" w:hAnsi="仿宋" w:eastAsia="仿宋"/>
        <w:sz w:val="21"/>
        <w:szCs w:val="21"/>
      </w:rPr>
      <w:instrText xml:space="preserve">PAGE  \* Arabic  \* MERGEFORMAT</w:instrText>
    </w:r>
    <w:r>
      <w:rPr>
        <w:rFonts w:hint="eastAsia" w:ascii="仿宋" w:hAnsi="仿宋" w:eastAsia="仿宋"/>
        <w:sz w:val="21"/>
        <w:szCs w:val="21"/>
      </w:rPr>
      <w:instrText xml:space="preserve"> </w:instrText>
    </w:r>
    <w:r>
      <w:rPr>
        <w:rFonts w:hint="eastAsia" w:ascii="仿宋" w:hAnsi="仿宋" w:eastAsia="仿宋"/>
        <w:sz w:val="21"/>
        <w:szCs w:val="21"/>
      </w:rPr>
      <w:fldChar w:fldCharType="separate"/>
    </w:r>
    <w:r>
      <w:rPr>
        <w:rFonts w:hint="eastAsia" w:ascii="仿宋" w:hAnsi="仿宋" w:eastAsia="仿宋"/>
        <w:sz w:val="21"/>
        <w:szCs w:val="21"/>
      </w:rPr>
      <w:t>10</w:t>
    </w:r>
    <w:r>
      <w:rPr>
        <w:rFonts w:hint="eastAsia" w:ascii="仿宋" w:hAnsi="仿宋" w:eastAsia="仿宋"/>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FE3A">
    <w:pPr>
      <w:pStyle w:val="3"/>
      <w:rPr>
        <w:rFonts w:hint="eastAsia" w:ascii="仿宋" w:hAnsi="仿宋" w:eastAsia="仿宋"/>
        <w:sz w:val="21"/>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EB685"/>
    <w:multiLevelType w:val="multilevel"/>
    <w:tmpl w:val="818EB685"/>
    <w:lvl w:ilvl="0" w:tentative="0">
      <w:start w:val="1"/>
      <w:numFmt w:val="decimal"/>
      <w:suff w:val="space"/>
      <w:lvlText w:val="%1."/>
      <w:lvlJc w:val="left"/>
      <w:pPr>
        <w:ind w:left="0" w:firstLine="0"/>
      </w:pPr>
      <w:rPr>
        <w:rFonts w:hint="default"/>
        <w:sz w:val="32"/>
        <w:szCs w:val="32"/>
      </w:rPr>
    </w:lvl>
    <w:lvl w:ilvl="1" w:tentative="0">
      <w:start w:val="1"/>
      <w:numFmt w:val="decimal"/>
      <w:suff w:val="space"/>
      <w:lvlText w:val="(%2)"/>
      <w:lvlJc w:val="left"/>
      <w:pPr>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A88178AE"/>
    <w:multiLevelType w:val="singleLevel"/>
    <w:tmpl w:val="A88178AE"/>
    <w:lvl w:ilvl="0" w:tentative="0">
      <w:start w:val="1"/>
      <w:numFmt w:val="decimal"/>
      <w:suff w:val="space"/>
      <w:lvlText w:val="%1."/>
      <w:lvlJc w:val="left"/>
      <w:pPr>
        <w:ind w:left="425" w:hanging="425"/>
      </w:pPr>
      <w:rPr>
        <w:rFonts w:hint="default"/>
      </w:rPr>
    </w:lvl>
  </w:abstractNum>
  <w:abstractNum w:abstractNumId="2">
    <w:nsid w:val="AE90E630"/>
    <w:multiLevelType w:val="singleLevel"/>
    <w:tmpl w:val="AE90E630"/>
    <w:lvl w:ilvl="0" w:tentative="0">
      <w:start w:val="1"/>
      <w:numFmt w:val="decimal"/>
      <w:suff w:val="space"/>
      <w:lvlText w:val="%1."/>
      <w:lvlJc w:val="left"/>
      <w:pPr>
        <w:ind w:left="425" w:hanging="425"/>
      </w:pPr>
      <w:rPr>
        <w:rFonts w:hint="default"/>
      </w:rPr>
    </w:lvl>
  </w:abstractNum>
  <w:abstractNum w:abstractNumId="3">
    <w:nsid w:val="BC300AEE"/>
    <w:multiLevelType w:val="singleLevel"/>
    <w:tmpl w:val="BC300AEE"/>
    <w:lvl w:ilvl="0" w:tentative="0">
      <w:start w:val="1"/>
      <w:numFmt w:val="decimal"/>
      <w:suff w:val="space"/>
      <w:lvlText w:val="%1."/>
      <w:lvlJc w:val="left"/>
      <w:pPr>
        <w:ind w:left="425" w:hanging="425"/>
      </w:pPr>
      <w:rPr>
        <w:rFonts w:hint="default"/>
      </w:rPr>
    </w:lvl>
  </w:abstractNum>
  <w:abstractNum w:abstractNumId="4">
    <w:nsid w:val="D5E450B3"/>
    <w:multiLevelType w:val="singleLevel"/>
    <w:tmpl w:val="D5E450B3"/>
    <w:lvl w:ilvl="0" w:tentative="0">
      <w:start w:val="1"/>
      <w:numFmt w:val="decimal"/>
      <w:suff w:val="space"/>
      <w:lvlText w:val="%1."/>
      <w:lvlJc w:val="left"/>
      <w:pPr>
        <w:ind w:left="425" w:hanging="425"/>
      </w:pPr>
      <w:rPr>
        <w:rFonts w:hint="default"/>
      </w:rPr>
    </w:lvl>
  </w:abstractNum>
  <w:abstractNum w:abstractNumId="5">
    <w:nsid w:val="1B4509B6"/>
    <w:multiLevelType w:val="multilevel"/>
    <w:tmpl w:val="1B4509B6"/>
    <w:lvl w:ilvl="0" w:tentative="0">
      <w:start w:val="1"/>
      <w:numFmt w:val="decimal"/>
      <w:suff w:val="space"/>
      <w:lvlText w:val="%1."/>
      <w:lvlJc w:val="left"/>
      <w:pPr>
        <w:ind w:left="0" w:firstLine="0"/>
      </w:pPr>
      <w:rPr>
        <w:rFonts w:hint="default"/>
        <w:sz w:val="32"/>
        <w:szCs w:val="32"/>
      </w:rPr>
    </w:lvl>
    <w:lvl w:ilvl="1" w:tentative="0">
      <w:start w:val="1"/>
      <w:numFmt w:val="decimal"/>
      <w:suff w:val="space"/>
      <w:lvlText w:val="(%2)"/>
      <w:lvlJc w:val="left"/>
      <w:pPr>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2994FAC3"/>
    <w:multiLevelType w:val="singleLevel"/>
    <w:tmpl w:val="2994FAC3"/>
    <w:lvl w:ilvl="0" w:tentative="0">
      <w:start w:val="1"/>
      <w:numFmt w:val="decimal"/>
      <w:suff w:val="space"/>
      <w:lvlText w:val="%1."/>
      <w:lvlJc w:val="left"/>
      <w:pPr>
        <w:ind w:left="425" w:hanging="425"/>
      </w:pPr>
      <w:rPr>
        <w:rFonts w:hint="default"/>
      </w:rPr>
    </w:lvl>
  </w:abstractNum>
  <w:abstractNum w:abstractNumId="7">
    <w:nsid w:val="2A17181E"/>
    <w:multiLevelType w:val="singleLevel"/>
    <w:tmpl w:val="2A17181E"/>
    <w:lvl w:ilvl="0" w:tentative="0">
      <w:start w:val="1"/>
      <w:numFmt w:val="chineseCounting"/>
      <w:suff w:val="space"/>
      <w:lvlText w:val="%1、"/>
      <w:lvlJc w:val="left"/>
      <w:pPr>
        <w:ind w:left="0" w:firstLine="420"/>
      </w:pPr>
      <w:rPr>
        <w:rFonts w:hint="eastAsia"/>
      </w:rPr>
    </w:lvl>
  </w:abstractNum>
  <w:abstractNum w:abstractNumId="8">
    <w:nsid w:val="34F131DB"/>
    <w:multiLevelType w:val="singleLevel"/>
    <w:tmpl w:val="34F131DB"/>
    <w:lvl w:ilvl="0" w:tentative="0">
      <w:start w:val="1"/>
      <w:numFmt w:val="chineseCountingThousand"/>
      <w:suff w:val="space"/>
      <w:lvlText w:val="(%1)"/>
      <w:lvlJc w:val="left"/>
      <w:pPr>
        <w:ind w:left="0" w:firstLine="0"/>
      </w:pPr>
      <w:rPr>
        <w:rFonts w:hint="default"/>
        <w:b/>
        <w:bCs/>
      </w:rPr>
    </w:lvl>
  </w:abstractNum>
  <w:abstractNum w:abstractNumId="9">
    <w:nsid w:val="52155586"/>
    <w:multiLevelType w:val="singleLevel"/>
    <w:tmpl w:val="52155586"/>
    <w:lvl w:ilvl="0" w:tentative="0">
      <w:start w:val="1"/>
      <w:numFmt w:val="chineseCountingThousand"/>
      <w:suff w:val="space"/>
      <w:lvlText w:val="(%1)"/>
      <w:lvlJc w:val="left"/>
      <w:pPr>
        <w:ind w:left="0" w:firstLine="0"/>
      </w:pPr>
      <w:rPr>
        <w:rFonts w:hint="default"/>
        <w:b/>
        <w:bCs/>
      </w:rPr>
    </w:lvl>
  </w:abstractNum>
  <w:abstractNum w:abstractNumId="10">
    <w:nsid w:val="54DF0D99"/>
    <w:multiLevelType w:val="singleLevel"/>
    <w:tmpl w:val="54DF0D99"/>
    <w:lvl w:ilvl="0" w:tentative="0">
      <w:start w:val="1"/>
      <w:numFmt w:val="decimal"/>
      <w:suff w:val="space"/>
      <w:lvlText w:val="%1."/>
      <w:lvlJc w:val="left"/>
      <w:pPr>
        <w:ind w:left="425" w:hanging="425"/>
      </w:pPr>
      <w:rPr>
        <w:rFonts w:hint="default"/>
        <w:b w:val="0"/>
        <w:bCs w:val="0"/>
        <w:sz w:val="32"/>
        <w:szCs w:val="32"/>
      </w:rPr>
    </w:lvl>
  </w:abstractNum>
  <w:num w:numId="1">
    <w:abstractNumId w:val="7"/>
  </w:num>
  <w:num w:numId="2">
    <w:abstractNumId w:val="8"/>
  </w:num>
  <w:num w:numId="3">
    <w:abstractNumId w:val="10"/>
  </w:num>
  <w:num w:numId="4">
    <w:abstractNumId w:val="3"/>
  </w:num>
  <w:num w:numId="5">
    <w:abstractNumId w:val="5"/>
  </w:num>
  <w:num w:numId="6">
    <w:abstractNumId w:val="9"/>
  </w:num>
  <w:num w:numId="7">
    <w:abstractNumId w:val="0"/>
  </w:num>
  <w:num w:numId="8">
    <w:abstractNumId w:val="6"/>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9A1C89"/>
    <w:rsid w:val="00033F1A"/>
    <w:rsid w:val="0006235C"/>
    <w:rsid w:val="00160B6E"/>
    <w:rsid w:val="00217BB1"/>
    <w:rsid w:val="002A3D52"/>
    <w:rsid w:val="002F0CD7"/>
    <w:rsid w:val="00375F96"/>
    <w:rsid w:val="00484AA6"/>
    <w:rsid w:val="004E27DD"/>
    <w:rsid w:val="005944DF"/>
    <w:rsid w:val="00616E0F"/>
    <w:rsid w:val="00740856"/>
    <w:rsid w:val="0081482B"/>
    <w:rsid w:val="00A009B4"/>
    <w:rsid w:val="00B811BB"/>
    <w:rsid w:val="00C239A9"/>
    <w:rsid w:val="00D34543"/>
    <w:rsid w:val="00E32BE3"/>
    <w:rsid w:val="01C26103"/>
    <w:rsid w:val="021F0BF0"/>
    <w:rsid w:val="06363EB3"/>
    <w:rsid w:val="07AA21B7"/>
    <w:rsid w:val="09B94817"/>
    <w:rsid w:val="0BC24D12"/>
    <w:rsid w:val="0BF57DE5"/>
    <w:rsid w:val="0D095F96"/>
    <w:rsid w:val="0DB77A48"/>
    <w:rsid w:val="0F982790"/>
    <w:rsid w:val="0FE64614"/>
    <w:rsid w:val="11EB4164"/>
    <w:rsid w:val="11F72B09"/>
    <w:rsid w:val="164019E1"/>
    <w:rsid w:val="17171557"/>
    <w:rsid w:val="17737F1D"/>
    <w:rsid w:val="19B80DD0"/>
    <w:rsid w:val="1A473F02"/>
    <w:rsid w:val="1F4E04CB"/>
    <w:rsid w:val="1F5C78FC"/>
    <w:rsid w:val="1FCC528C"/>
    <w:rsid w:val="20511636"/>
    <w:rsid w:val="22CF718A"/>
    <w:rsid w:val="231D6147"/>
    <w:rsid w:val="27841BA6"/>
    <w:rsid w:val="27BA5FF6"/>
    <w:rsid w:val="29D556E0"/>
    <w:rsid w:val="2C7138C2"/>
    <w:rsid w:val="2C841D63"/>
    <w:rsid w:val="2C923702"/>
    <w:rsid w:val="33383665"/>
    <w:rsid w:val="33E24DE4"/>
    <w:rsid w:val="340D3C52"/>
    <w:rsid w:val="34270BD4"/>
    <w:rsid w:val="34AB35B3"/>
    <w:rsid w:val="357468C3"/>
    <w:rsid w:val="36AB673F"/>
    <w:rsid w:val="380134EA"/>
    <w:rsid w:val="380354B4"/>
    <w:rsid w:val="398202E6"/>
    <w:rsid w:val="3AAA7E69"/>
    <w:rsid w:val="3B7830AC"/>
    <w:rsid w:val="3D402C13"/>
    <w:rsid w:val="3D785566"/>
    <w:rsid w:val="3D9A1C89"/>
    <w:rsid w:val="3E8F1850"/>
    <w:rsid w:val="3EC7292B"/>
    <w:rsid w:val="40650B2D"/>
    <w:rsid w:val="421B164C"/>
    <w:rsid w:val="45D70CB0"/>
    <w:rsid w:val="4642189D"/>
    <w:rsid w:val="46700C41"/>
    <w:rsid w:val="4C013E32"/>
    <w:rsid w:val="52956EB4"/>
    <w:rsid w:val="558B219B"/>
    <w:rsid w:val="562532E3"/>
    <w:rsid w:val="58D36385"/>
    <w:rsid w:val="5DC52C14"/>
    <w:rsid w:val="60247E3E"/>
    <w:rsid w:val="6445282D"/>
    <w:rsid w:val="652F64F3"/>
    <w:rsid w:val="672C2AC9"/>
    <w:rsid w:val="677F7E04"/>
    <w:rsid w:val="69363473"/>
    <w:rsid w:val="6B120F8F"/>
    <w:rsid w:val="6C501004"/>
    <w:rsid w:val="6DCF555D"/>
    <w:rsid w:val="71CB1E97"/>
    <w:rsid w:val="72734A09"/>
    <w:rsid w:val="72B16265"/>
    <w:rsid w:val="764A44E8"/>
    <w:rsid w:val="7F791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ind w:firstLine="420" w:firstLineChars="200"/>
      <w:jc w:val="left"/>
    </w:pPr>
    <w:rPr>
      <w:rFonts w:ascii="Times New Roman" w:hAnsi="Times New Roman" w:cs="Times New Roman"/>
      <w:kern w:val="0"/>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qFormat/>
    <w:uiPriority w:val="0"/>
    <w:rPr>
      <w:color w:val="800080"/>
      <w:u w:val="single"/>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14320960-254c-4e25-b4ec-0150b76e12b0</errorID>
      <errorWord>；共</errorWord>
      <group>L1_Word</group>
      <groupName>字词问题</groupName>
      <ability>L2_Typo</ability>
      <abilityName>字词错误</abilityName>
      <candidateList>
        <item>；</item>
      </candidateList>
      <explain/>
      <paraID>57EA2C94</paraID>
      <start>1094</start>
      <end>1096</end>
      <status>unmodified</status>
      <modifiedWord/>
      <trackRevisions>false</trackRevisions>
    </reviewItem>
    <reviewItem>
      <errorID>35b754be-b0ec-4e71-bd11-b49b4e2ad874</errorID>
      <errorWord>；共</errorWord>
      <group>L1_Word</group>
      <groupName>字词问题</groupName>
      <ability>L2_Typo</ability>
      <abilityName>字词错误</abilityName>
      <candidateList>
        <item>；</item>
      </candidateList>
      <explain/>
      <paraID>57EA2C94</paraID>
      <start>1167</start>
      <end>1169</end>
      <status>unmodified</status>
      <modifiedWord/>
      <trackRevisions>false</trackRevisions>
    </reviewItem>
    <reviewItem>
      <errorID>cdedc393-b407-41a2-ba38-971fa53f0673</errorID>
      <errorWord>“</errorWord>
      <group>L1_Punc</group>
      <groupName>标点问题</groupName>
      <ability>L2_Punc</ability>
      <abilityName>标点符号检查</abilityName>
      <candidateList/>
      <explain/>
      <paraID>28286C26</paraID>
      <start>38</start>
      <end>39</end>
      <status>unmodified</status>
      <modifiedWord/>
      <trackRevisions>false</trackRevisions>
    </reviewItem>
    <reviewItem>
      <errorID>a5c424c5-ab20-47cb-8b33-9de45d68c201</errorID>
      <errorWord>;</errorWord>
      <group>L1_Format</group>
      <groupName>格式问题</groupName>
      <ability>L2_HalfPunc</ability>
      <abilityName>全半角检查</abilityName>
      <candidateList>
        <item>；</item>
      </candidateList>
      <explain>文本全半角错误。</explain>
      <paraID>65849F79</paraID>
      <start>34</start>
      <end>35</end>
      <status>unmodified</status>
      <modifiedWord/>
      <trackRevisions>false</trackRevisions>
    </reviewItem>
    <reviewItem>
      <errorID>926f770b-8f54-4cba-b6dc-ba6ac4a799b7</errorID>
      <errorWord>根据工商档案中注册资金交存凭证显示</errorWord>
      <group>L1_Word</group>
      <groupName>字词问题</groupName>
      <ability>L2_Typo</ability>
      <abilityName>字词错误</abilityName>
      <candidateList>
        <item>根据工商档案中注册资金交存凭证</item>
      </candidateList>
      <explain/>
      <paraID>25C37141</paraID>
      <start>0</start>
      <end>15</end>
      <status>modified</status>
      <modifiedWord>根据工商档案中注册资金交存凭证</modifiedWord>
      <trackRevisions>false</trackRevisions>
    </reviewItem>
    <reviewItem>
      <errorID>e6e360ac-fd1e-4aef-b53b-d36b17d6bfc5</errorID>
      <errorWord>清算组</errorWord>
      <group>L1_Word</group>
      <groupName>字词问题</groupName>
      <ability>L2_Typo</ability>
      <abilityName>字词错误</abilityName>
      <candidateList>
        <item>清算</item>
      </candidateList>
      <explain/>
      <paraID>3F6DD8DA</paraID>
      <start>0</start>
      <end>3</end>
      <status>unmodified</status>
      <modifiedWord/>
      <trackRevisions>false</trackRevisions>
    </reviewItem>
    <reviewItem>
      <errorID>fed2c7f0-aa6b-47fc-885a-71de4c309a6f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1B12776A</paraID>
      <start>337</start>
      <end>340</end>
      <status>unmodified</status>
      <modifiedWord/>
      <trackRevisions>false</trackRevisions>
    </reviewItem>
    <reviewItem>
      <errorID>af26596b-5549-4b3c-a483-f88614c592e2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1B12776A</paraID>
      <start>343</start>
      <end>346</end>
      <status>unmodified</status>
      <modifiedWord/>
      <trackRevisions>false</trackRevisions>
    </reviewItem>
    <reviewItem>
      <errorID>aa85df2d-3854-4fda-a0a8-821a8db28061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1B12776A</paraID>
      <start>348</start>
      <end>351</end>
      <status>unmodified</status>
      <modifiedWord/>
      <trackRevisions>false</trackRevisions>
    </reviewItem>
    <reviewItem>
      <errorID>bddfb09b-c09d-4aa6-8e45-0170129036c6</errorID>
      <errorWord>根据妥投记录显示</errorWord>
      <group>L1_Word</group>
      <groupName>字词问题</groupName>
      <ability>L2_Typo</ability>
      <abilityName>字词错误</abilityName>
      <candidateList>
        <item>根据妥投记录</item>
      </candidateList>
      <explain/>
      <paraID>1B12776A</paraID>
      <start>374</start>
      <end>382</end>
      <status>unmodified</status>
      <modifiedWord/>
      <trackRevisions>false</trackRevisions>
    </reviewItem>
    <reviewItem>
      <errorID>cb67a323-b1ea-4513-9d0a-9c20f45ee9c0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3EC3C21A</paraID>
      <start>184</start>
      <end>187</end>
      <status>unmodified</status>
      <modifiedWord/>
      <trackRevisions>false</trackRevisions>
    </reviewItem>
    <reviewItem>
      <errorID>110293bb-4f2c-4557-88cd-84e79a90667f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3EC3C21A</paraID>
      <start>190</start>
      <end>193</end>
      <status>unmodified</status>
      <modifiedWord/>
      <trackRevisions>false</trackRevisions>
    </reviewItem>
    <reviewItem>
      <errorID>c64a66de-8959-4328-a0ec-a08817246c86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3EC3C21A</paraID>
      <start>195</start>
      <end>198</end>
      <status>unmodified</status>
      <modifiedWord/>
      <trackRevisions>false</trackRevisions>
    </reviewItem>
    <reviewItem>
      <errorID>470d5c24-5b11-4ffa-bdc0-1a5ed5cf6a03</errorID>
      <errorWord>根据妥投记录显示</errorWord>
      <group>L1_Word</group>
      <groupName>字词问题</groupName>
      <ability>L2_Typo</ability>
      <abilityName>字词错误</abilityName>
      <candidateList>
        <item>根据妥投记录</item>
      </candidateList>
      <explain/>
      <paraID>3EC3C21A</paraID>
      <start>221</start>
      <end>229</end>
      <status>unmodified</status>
      <modifiedWord/>
      <trackRevisions>false</trackRevisions>
    </reviewItem>
    <reviewItem>
      <errorID>ba3881c5-5dde-4946-9947-7df1c4e35f4c</errorID>
      <errorWord>公司公司</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22854FB9</paraID>
      <start>68</start>
      <end>72</end>
      <status>unmodified</status>
      <modifiedWord/>
      <trackRevisions>false</trackRevisions>
    </reviewItem>
    <reviewItem>
      <errorID>9b37641c-fd95-4cca-be99-2cb11595dc3b</errorID>
      <errorWord>(</errorWord>
      <group>L1_Format</group>
      <groupName>格式问题</groupName>
      <ability>L2_HalfPunc</ability>
      <abilityName>全半角检查</abilityName>
      <candidateList>
        <item>（</item>
      </candidateList>
      <explain>文本全半角错误。</explain>
      <paraID>3DD0465B</paraID>
      <start>13</start>
      <end>14</end>
      <status>unmodified</status>
      <modifiedWord/>
      <trackRevisions>false</trackRevisions>
    </reviewItem>
    <reviewItem>
      <errorID>13f52a59-901b-4d56-8566-5781fcf111e7</errorID>
      <errorWord>截止</errorWord>
      <group>L1_Word</group>
      <groupName>字词问题</groupName>
      <ability>L2_Typo</ability>
      <abilityName>字词错误</abilityName>
      <candidateList>
        <item>截至</item>
      </candidateList>
      <explain>存在发音相同字词的误用。</explain>
      <paraID>6A1CC4EE</paraID>
      <start>50</start>
      <end>52</end>
      <status>unmodified</status>
      <modifiedWord/>
      <trackRevisions>false</trackRevisions>
    </reviewItem>
    <reviewItem>
      <errorID>bb57b300-c983-45a0-9bd1-dac9913836db</errorID>
      <errorWord>&lt;</errorWord>
      <group>L1_Format</group>
      <groupName>格式问题</groupName>
      <ability>L2_HalfPunc</ability>
      <abilityName>全半角检查</abilityName>
      <candidateList>
        <item>〈</item>
      </candidateList>
      <explain>文本全半角错误。</explain>
      <paraID>216F9A71</paraID>
      <start>11</start>
      <end>12</end>
      <status>unmodified</status>
      <modifiedWord/>
      <trackRevisions>false</trackRevisions>
    </reviewItem>
    <reviewItem>
      <errorID>a39ddb9f-50ad-4132-abb3-5842f6bca2ea</errorID>
      <errorWord>&gt;的通知》</errorWord>
      <group>L1_Punc</group>
      <groupName>标点问题</groupName>
      <ability>L2_Punc</ability>
      <abilityName>标点符号检查</abilityName>
      <candidateList>
        <item>〉的通知》</item>
      </candidateList>
      <explain/>
      <paraID>216F9A71</paraID>
      <start>31</start>
      <end>36</end>
      <status>unmodified</status>
      <modifiedWord/>
      <trackRevisions>false</trackRevisions>
    </reviewItem>
    <reviewItem>
      <errorID>d46bbf82-4112-499c-bb97-fbf01994d30e</errorID>
      <errorWord>&lt;</errorWord>
      <group>L1_Format</group>
      <groupName>格式问题</groupName>
      <ability>L2_HalfPunc</ability>
      <abilityName>全半角检查</abilityName>
      <candidateList>
        <item>〈</item>
      </candidateList>
      <explain>文本全半角错误。</explain>
      <paraID>216F9A71</paraID>
      <start>52</start>
      <end>53</end>
      <status>unmodified</status>
      <modifiedWord/>
      <trackRevisions>false</trackRevisions>
    </reviewItem>
    <reviewItem>
      <errorID>f7de50d6-e47c-404f-918d-7b35d24209f6</errorID>
      <errorWord>&gt;</errorWord>
      <group>L1_Format</group>
      <groupName>格式问题</groupName>
      <ability>L2_HalfPunc</ability>
      <abilityName>全半角检查</abilityName>
      <candidateList>
        <item>〉</item>
      </candidateList>
      <explain>文本全半角错误。</explain>
      <paraID>216F9A71</paraID>
      <start>69</start>
      <end>70</end>
      <status>unmodified</status>
      <modifiedWord/>
      <trackRevisions>false</trackRevisions>
    </reviewItem>
    <reviewItem>
      <errorID>dbaa1969-464b-4385-a098-f9e078291d26</errorID>
      <errorWord>&lt;</errorWord>
      <group>L1_Format</group>
      <groupName>格式问题</groupName>
      <ability>L2_HalfPunc</ability>
      <abilityName>全半角检查</abilityName>
      <candidateList>
        <item>〈</item>
      </candidateList>
      <explain>文本全半角错误。</explain>
      <paraID>6E3A348A</paraID>
      <start>15</start>
      <end>16</end>
      <status>unmodified</status>
      <modifiedWord/>
      <trackRevisions>false</trackRevisions>
    </reviewItem>
    <reviewItem>
      <errorID>2b7466a1-9a24-4126-b47d-ef90fbd3d6b9</errorID>
      <errorWord>&gt;的通知》</errorWord>
      <group>L1_Punc</group>
      <groupName>标点问题</groupName>
      <ability>L2_Punc</ability>
      <abilityName>标点符号检查</abilityName>
      <candidateList>
        <item>〉的通知》</item>
      </candidateList>
      <explain/>
      <paraID>6E3A348A</paraID>
      <start>35</start>
      <end>40</end>
      <status>unmodified</status>
      <modifiedWord/>
      <trackRevisions>false</trackRevisions>
    </reviewItem>
    <reviewItem>
      <errorID>e17db0c7-322a-4151-a2a9-414dcaa27c9a</errorID>
      <errorWord>&lt;</errorWord>
      <group>L1_Format</group>
      <groupName>格式问题</groupName>
      <ability>L2_HalfPunc</ability>
      <abilityName>全半角检查</abilityName>
      <candidateList>
        <item>〈</item>
      </candidateList>
      <explain>文本全半角错误。</explain>
      <paraID>6E3A348A</paraID>
      <start>56</start>
      <end>57</end>
      <status>unmodified</status>
      <modifiedWord/>
      <trackRevisions>false</trackRevisions>
    </reviewItem>
    <reviewItem>
      <errorID>1fb9896d-ff35-4ee0-b8cd-114ad7d2fb6d</errorID>
      <errorWord>&gt;</errorWord>
      <group>L1_Format</group>
      <groupName>格式问题</groupName>
      <ability>L2_HalfPunc</ability>
      <abilityName>全半角检查</abilityName>
      <candidateList>
        <item>〉</item>
      </candidateList>
      <explain>文本全半角错误。</explain>
      <paraID>6E3A348A</paraID>
      <start>73</start>
      <end>74</end>
      <status>unmodified</status>
      <modifiedWord/>
      <trackRevisions>false</trackRevisions>
    </reviewItem>
    <reviewItem>
      <errorID>6eb15089-8e7e-43e6-b2fb-290f010b4ed4</errorID>
      <errorWord>根据浩龙耀航空公司工商档案及公开信息显示</errorWord>
      <group>L1_Word</group>
      <groupName>字词问题</groupName>
      <ability>L2_Typo</ability>
      <abilityName>字词错误</abilityName>
      <candidateList>
        <item>根据浩龙耀航空公司工商档案及公开信息</item>
      </candidateList>
      <explain/>
      <paraID>3F209AEA</paraID>
      <start>0</start>
      <end>26</end>
      <status>ignored</status>
      <modifiedWord/>
      <trackRevisions>false</trackRevisions>
    </reviewItem>
  </reviewItems>
  <config/>
</contractReview>
</file>

<file path=customXml/itemProps1.xml><?xml version="1.0" encoding="utf-8"?>
<ds:datastoreItem xmlns:ds="http://schemas.openxmlformats.org/officeDocument/2006/customXml" ds:itemID="{3701DE8B-9A08-498E-9C01-CC5BE02A0EEA}">
  <ds:schemaRefs/>
</ds:datastoreItem>
</file>

<file path=docProps/app.xml><?xml version="1.0" encoding="utf-8"?>
<Properties xmlns="http://schemas.openxmlformats.org/officeDocument/2006/extended-properties" xmlns:vt="http://schemas.openxmlformats.org/officeDocument/2006/docPropsVTypes">
  <Template>Normal</Template>
  <Pages>16</Pages>
  <Words>4964</Words>
  <Characters>5645</Characters>
  <Lines>250</Lines>
  <Paragraphs>234</Paragraphs>
  <TotalTime>12</TotalTime>
  <ScaleCrop>false</ScaleCrop>
  <LinksUpToDate>false</LinksUpToDate>
  <CharactersWithSpaces>5647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2025-06-06T07:44:00Z</dcterms:created>
  <dc:creator>WPS_1686117760</dc:creator>
  <cp:lastModifiedBy>忽然东风</cp:lastModifiedBy>
  <cp:lastPrinted>2025-12-22T09:41:57Z</cp:lastPrinted>
  <dcterms:modified xsi:type="dcterms:W3CDTF">2025-12-22T09:48:31Z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CACCC9E110F54C3DA5F0D19F4A47525A_13</vt:lpwstr>
  </property>
  <property fmtid="{D5CDD505-2E9C-101B-9397-08002B2CF9AE}" pid="4" name="KSOTemplateDocerSaveRecord">
    <vt:lpwstr>eyJoZGlkIjoiZThmNjAzMWJlZjFkMmQwODUwMTJkYzE2ODFiYmFmYTciLCJ1c2VySWQiOiIyNzkyMDU0ODEifQ==</vt:lpwstr>
  </property>
</Properties>
</file>