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5EF22B">
      <w:pPr>
        <w:widowControl/>
        <w:jc w:val="left"/>
        <w:rPr>
          <w:rFonts w:ascii="Helvetica" w:hAnsi="Helvetica" w:eastAsia="宋体" w:cs="Helvetica"/>
          <w:color w:val="000000"/>
          <w:kern w:val="0"/>
          <w:sz w:val="27"/>
          <w:szCs w:val="27"/>
        </w:rPr>
      </w:pPr>
      <w:bookmarkStart w:id="0" w:name="_GoBack"/>
      <w:bookmarkEnd w:id="0"/>
      <w:r>
        <w:rPr>
          <w:rFonts w:ascii="Helvetica" w:hAnsi="Helvetica" w:eastAsia="宋体" w:cs="Helvetica"/>
          <w:color w:val="000000"/>
          <w:kern w:val="0"/>
          <w:sz w:val="27"/>
          <w:szCs w:val="27"/>
        </w:rPr>
        <w:br w:type="textWrapping"/>
      </w:r>
      <w:r>
        <w:rPr>
          <w:rFonts w:ascii="Helvetica" w:hAnsi="Helvetica" w:eastAsia="宋体" w:cs="Helvetica"/>
          <w:color w:val="000000"/>
          <w:kern w:val="0"/>
          <w:sz w:val="27"/>
          <w:szCs w:val="27"/>
        </w:rPr>
        <w:drawing>
          <wp:inline distT="0" distB="0" distL="0" distR="0">
            <wp:extent cx="228600" cy="114300"/>
            <wp:effectExtent l="0" t="0" r="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28600" cy="114300"/>
                    </a:xfrm>
                    <a:prstGeom prst="rect">
                      <a:avLst/>
                    </a:prstGeom>
                    <a:noFill/>
                    <a:ln>
                      <a:noFill/>
                    </a:ln>
                  </pic:spPr>
                </pic:pic>
              </a:graphicData>
            </a:graphic>
          </wp:inline>
        </w:drawing>
      </w:r>
    </w:p>
    <w:p w14:paraId="757D1E9B">
      <w:pPr>
        <w:widowControl/>
        <w:spacing w:line="342" w:lineRule="atLeast"/>
        <w:jc w:val="left"/>
        <w:rPr>
          <w:rFonts w:ascii="Segoe UI" w:hAnsi="Segoe UI" w:eastAsia="宋体" w:cs="Segoe UI"/>
          <w:color w:val="1A1A1A"/>
          <w:kern w:val="0"/>
          <w:sz w:val="29"/>
          <w:szCs w:val="29"/>
        </w:rPr>
      </w:pPr>
      <w:r>
        <w:rPr>
          <w:rFonts w:ascii="Segoe UI" w:hAnsi="Segoe UI" w:eastAsia="宋体" w:cs="Segoe UI"/>
          <w:color w:val="1A1A1A"/>
          <w:kern w:val="0"/>
          <w:sz w:val="29"/>
          <w:szCs w:val="29"/>
        </w:rPr>
        <w:t>竞买公告</w:t>
      </w:r>
    </w:p>
    <w:p w14:paraId="5C0C08FB">
      <w:pPr>
        <w:widowControl/>
        <w:jc w:val="left"/>
        <w:rPr>
          <w:rFonts w:ascii="Helvetica" w:hAnsi="Helvetica" w:eastAsia="宋体" w:cs="Helvetica"/>
          <w:color w:val="000000"/>
          <w:kern w:val="0"/>
          <w:sz w:val="27"/>
          <w:szCs w:val="27"/>
        </w:rPr>
      </w:pPr>
      <w:r>
        <w:rPr>
          <w:rFonts w:ascii="Helvetica" w:hAnsi="Helvetica" w:eastAsia="宋体" w:cs="Helvetica"/>
          <w:color w:val="000000"/>
          <w:kern w:val="0"/>
          <w:sz w:val="27"/>
          <w:szCs w:val="27"/>
        </w:rPr>
        <w:drawing>
          <wp:inline distT="0" distB="0" distL="0" distR="0">
            <wp:extent cx="228600" cy="1143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28600" cy="114300"/>
                    </a:xfrm>
                    <a:prstGeom prst="rect">
                      <a:avLst/>
                    </a:prstGeom>
                    <a:noFill/>
                    <a:ln>
                      <a:noFill/>
                    </a:ln>
                  </pic:spPr>
                </pic:pic>
              </a:graphicData>
            </a:graphic>
          </wp:inline>
        </w:drawing>
      </w:r>
    </w:p>
    <w:p w14:paraId="54C17BF2">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河北金棕榈工程技术有限公司破产管理人将于</w:t>
      </w:r>
      <w:r>
        <w:rPr>
          <w:rFonts w:hint="eastAsia" w:ascii="仿宋" w:hAnsi="仿宋" w:eastAsia="仿宋" w:cs="Helvetica"/>
          <w:b/>
          <w:bCs/>
          <w:color w:val="FF0000"/>
          <w:kern w:val="0"/>
          <w:sz w:val="24"/>
          <w:szCs w:val="24"/>
        </w:rPr>
        <w:t>2025年</w:t>
      </w:r>
      <w:r>
        <w:rPr>
          <w:rFonts w:hint="eastAsia" w:ascii="仿宋" w:hAnsi="仿宋" w:eastAsia="仿宋" w:cs="Helvetica"/>
          <w:b/>
          <w:bCs/>
          <w:color w:val="FF0000"/>
          <w:kern w:val="0"/>
          <w:sz w:val="24"/>
          <w:szCs w:val="24"/>
          <w:lang w:val="en-US" w:eastAsia="zh-CN"/>
        </w:rPr>
        <w:t>12</w:t>
      </w:r>
      <w:r>
        <w:rPr>
          <w:rFonts w:hint="eastAsia" w:ascii="仿宋" w:hAnsi="仿宋" w:eastAsia="仿宋" w:cs="Helvetica"/>
          <w:b/>
          <w:bCs/>
          <w:color w:val="FF0000"/>
          <w:kern w:val="0"/>
          <w:sz w:val="24"/>
          <w:szCs w:val="24"/>
        </w:rPr>
        <w:t>月1</w:t>
      </w:r>
      <w:r>
        <w:rPr>
          <w:rFonts w:hint="eastAsia" w:ascii="仿宋" w:hAnsi="仿宋" w:eastAsia="仿宋" w:cs="Helvetica"/>
          <w:b/>
          <w:bCs/>
          <w:color w:val="FF0000"/>
          <w:kern w:val="0"/>
          <w:sz w:val="24"/>
          <w:szCs w:val="24"/>
          <w:lang w:val="en-US" w:eastAsia="zh-CN"/>
        </w:rPr>
        <w:t>5</w:t>
      </w:r>
      <w:r>
        <w:rPr>
          <w:rFonts w:hint="eastAsia" w:ascii="仿宋" w:hAnsi="仿宋" w:eastAsia="仿宋" w:cs="Helvetica"/>
          <w:b/>
          <w:bCs/>
          <w:color w:val="FF0000"/>
          <w:kern w:val="0"/>
          <w:sz w:val="24"/>
          <w:szCs w:val="24"/>
        </w:rPr>
        <w:t>日10时至2025年</w:t>
      </w:r>
      <w:r>
        <w:rPr>
          <w:rFonts w:hint="eastAsia" w:ascii="仿宋" w:hAnsi="仿宋" w:eastAsia="仿宋" w:cs="Helvetica"/>
          <w:b/>
          <w:bCs/>
          <w:color w:val="FF0000"/>
          <w:kern w:val="0"/>
          <w:sz w:val="24"/>
          <w:szCs w:val="24"/>
          <w:lang w:val="en-US" w:eastAsia="zh-CN"/>
        </w:rPr>
        <w:t>12</w:t>
      </w:r>
      <w:r>
        <w:rPr>
          <w:rFonts w:hint="eastAsia" w:ascii="仿宋" w:hAnsi="仿宋" w:eastAsia="仿宋" w:cs="Helvetica"/>
          <w:b/>
          <w:bCs/>
          <w:color w:val="FF0000"/>
          <w:kern w:val="0"/>
          <w:sz w:val="24"/>
          <w:szCs w:val="24"/>
        </w:rPr>
        <w:t>月1</w:t>
      </w:r>
      <w:r>
        <w:rPr>
          <w:rFonts w:hint="eastAsia" w:ascii="仿宋" w:hAnsi="仿宋" w:eastAsia="仿宋" w:cs="Helvetica"/>
          <w:b/>
          <w:bCs/>
          <w:color w:val="FF0000"/>
          <w:kern w:val="0"/>
          <w:sz w:val="24"/>
          <w:szCs w:val="24"/>
          <w:lang w:val="en-US" w:eastAsia="zh-CN"/>
        </w:rPr>
        <w:t>6</w:t>
      </w:r>
      <w:r>
        <w:rPr>
          <w:rFonts w:hint="eastAsia" w:ascii="仿宋" w:hAnsi="仿宋" w:eastAsia="仿宋" w:cs="Helvetica"/>
          <w:b/>
          <w:bCs/>
          <w:color w:val="FF0000"/>
          <w:kern w:val="0"/>
          <w:sz w:val="24"/>
          <w:szCs w:val="24"/>
        </w:rPr>
        <w:t>日10时止</w:t>
      </w:r>
      <w:r>
        <w:rPr>
          <w:rFonts w:hint="eastAsia" w:ascii="仿宋" w:hAnsi="仿宋" w:eastAsia="仿宋" w:cs="Helvetica"/>
          <w:color w:val="000000"/>
          <w:kern w:val="0"/>
          <w:sz w:val="24"/>
          <w:szCs w:val="24"/>
        </w:rPr>
        <w:t>（延时除外）在京东拍卖破产强清平台（处置单位：河北金棕榈工程技术有限公司破产管理人，监督单位：河北省衡水市桃城区人民法院，网址：https://auction.jd.com/bankrupt.html）进行公开拍卖活动，现公告如下：</w:t>
      </w:r>
    </w:p>
    <w:p w14:paraId="1DBCC8EF">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一、拍卖标的</w:t>
      </w:r>
      <w:r>
        <w:rPr>
          <w:rFonts w:hint="eastAsia" w:ascii="仿宋" w:hAnsi="仿宋" w:eastAsia="仿宋" w:cs="Helvetica"/>
          <w:color w:val="000000"/>
          <w:kern w:val="0"/>
          <w:sz w:val="24"/>
          <w:szCs w:val="24"/>
        </w:rPr>
        <w:br w:type="textWrapping"/>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拍卖标的：河北金棕榈工程技术有限公司及其分公司河北金棕榈工程技术有限公司北人电器商城应收债权</w:t>
      </w:r>
    </w:p>
    <w:p w14:paraId="6E754061">
      <w:pPr>
        <w:widowControl/>
        <w:shd w:val="clear" w:color="auto" w:fill="FFFFFF"/>
        <w:spacing w:after="75" w:line="420" w:lineRule="atLeast"/>
        <w:ind w:firstLine="480" w:firstLineChars="200"/>
        <w:jc w:val="left"/>
        <w:rPr>
          <w:rFonts w:hint="eastAsia" w:ascii="仿宋" w:hAnsi="仿宋" w:eastAsia="仿宋" w:cs="Helvetica"/>
          <w:color w:val="000000"/>
          <w:kern w:val="0"/>
          <w:sz w:val="24"/>
          <w:szCs w:val="24"/>
        </w:rPr>
      </w:pPr>
      <w:r>
        <w:rPr>
          <w:rFonts w:hint="eastAsia" w:ascii="仿宋" w:hAnsi="仿宋" w:eastAsia="仿宋" w:cs="Helvetica"/>
          <w:color w:val="000000"/>
          <w:kern w:val="0"/>
          <w:sz w:val="24"/>
          <w:szCs w:val="24"/>
        </w:rPr>
        <w:t>起拍价为：1元，保证金为:1000元，增价幅度为：</w:t>
      </w:r>
      <w:r>
        <w:rPr>
          <w:rFonts w:hint="eastAsia" w:ascii="仿宋" w:hAnsi="仿宋" w:eastAsia="仿宋" w:cs="Helvetica"/>
          <w:color w:val="000000"/>
          <w:kern w:val="0"/>
          <w:sz w:val="24"/>
          <w:szCs w:val="24"/>
          <w:lang w:val="en-US" w:eastAsia="zh-CN"/>
        </w:rPr>
        <w:t>5</w:t>
      </w:r>
      <w:r>
        <w:rPr>
          <w:rFonts w:hint="eastAsia" w:ascii="仿宋" w:hAnsi="仿宋" w:eastAsia="仿宋" w:cs="Helvetica"/>
          <w:color w:val="000000"/>
          <w:kern w:val="0"/>
          <w:sz w:val="24"/>
          <w:szCs w:val="24"/>
        </w:rPr>
        <w:t>00元及其整数倍。</w:t>
      </w:r>
    </w:p>
    <w:p w14:paraId="2333B4FD">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拍卖标的的评估价值来源于衡水光辉资产评估有限公司出具的衡光辉评报字[2025]第009号资产价值评估报告，竞买人可联系管理人咨询相关评估信息。管理人依法独立履行《中华人民共和国企业破产法》规定的职责在京东拍卖平台处分债务人财产。</w:t>
      </w:r>
    </w:p>
    <w:p w14:paraId="11B3092E">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对上述标的物权属有异议者，请于</w:t>
      </w:r>
      <w:r>
        <w:rPr>
          <w:rFonts w:hint="eastAsia" w:ascii="仿宋" w:hAnsi="仿宋" w:eastAsia="仿宋" w:cs="Helvetica"/>
          <w:b/>
          <w:bCs/>
          <w:color w:val="FF0000"/>
          <w:kern w:val="0"/>
          <w:sz w:val="24"/>
          <w:szCs w:val="24"/>
        </w:rPr>
        <w:t>2025年</w:t>
      </w:r>
      <w:r>
        <w:rPr>
          <w:rFonts w:hint="eastAsia" w:ascii="仿宋" w:hAnsi="仿宋" w:eastAsia="仿宋" w:cs="Helvetica"/>
          <w:b/>
          <w:bCs/>
          <w:color w:val="FF0000"/>
          <w:kern w:val="0"/>
          <w:sz w:val="24"/>
          <w:szCs w:val="24"/>
          <w:lang w:val="en-US" w:eastAsia="zh-CN"/>
        </w:rPr>
        <w:t>12</w:t>
      </w:r>
      <w:r>
        <w:rPr>
          <w:rFonts w:hint="eastAsia" w:ascii="仿宋" w:hAnsi="仿宋" w:eastAsia="仿宋" w:cs="Helvetica"/>
          <w:b/>
          <w:bCs/>
          <w:color w:val="FF0000"/>
          <w:kern w:val="0"/>
          <w:sz w:val="24"/>
          <w:szCs w:val="24"/>
        </w:rPr>
        <w:t>月</w:t>
      </w:r>
      <w:r>
        <w:rPr>
          <w:rFonts w:hint="eastAsia" w:ascii="仿宋" w:hAnsi="仿宋" w:eastAsia="仿宋" w:cs="Helvetica"/>
          <w:b/>
          <w:bCs/>
          <w:color w:val="FF0000"/>
          <w:kern w:val="0"/>
          <w:sz w:val="24"/>
          <w:szCs w:val="24"/>
          <w:lang w:val="en-US" w:eastAsia="zh-CN"/>
        </w:rPr>
        <w:t>12</w:t>
      </w:r>
      <w:r>
        <w:rPr>
          <w:rFonts w:hint="eastAsia" w:ascii="仿宋" w:hAnsi="仿宋" w:eastAsia="仿宋" w:cs="Helvetica"/>
          <w:b/>
          <w:bCs/>
          <w:color w:val="FF0000"/>
          <w:kern w:val="0"/>
          <w:sz w:val="24"/>
          <w:szCs w:val="24"/>
        </w:rPr>
        <w:t>日前</w:t>
      </w:r>
      <w:r>
        <w:rPr>
          <w:rFonts w:hint="eastAsia" w:ascii="仿宋" w:hAnsi="仿宋" w:eastAsia="仿宋" w:cs="Helvetica"/>
          <w:color w:val="000000"/>
          <w:kern w:val="0"/>
          <w:sz w:val="24"/>
          <w:szCs w:val="24"/>
        </w:rPr>
        <w:t>与管理人联系，逾期视为无异议(联系人:付律师18031885979)。</w:t>
      </w:r>
    </w:p>
    <w:p w14:paraId="1C73F730">
      <w:pPr>
        <w:widowControl/>
        <w:shd w:val="clear" w:color="auto" w:fill="FFFFFF"/>
        <w:spacing w:after="75"/>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二、咨询、展示看样的时间与方式：</w:t>
      </w:r>
    </w:p>
    <w:p w14:paraId="27DEBF3C">
      <w:pPr>
        <w:widowControl/>
        <w:shd w:val="clear" w:color="auto" w:fill="FFFFFF"/>
        <w:spacing w:after="75" w:line="495"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1.公告期间（节假日休息）接受咨询，咨询时间为工作日9:00-16:30，有意者请与管理人（付律师18031885979）联系具体事宜。</w:t>
      </w:r>
    </w:p>
    <w:p w14:paraId="275B2FA0">
      <w:pPr>
        <w:widowControl/>
        <w:shd w:val="clear" w:color="auto" w:fill="FFFFFF"/>
        <w:spacing w:after="75"/>
        <w:ind w:left="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2.因拍卖标的为债权类资产，故本标的不安排现场看样。</w:t>
      </w:r>
    </w:p>
    <w:p w14:paraId="703EC3E5">
      <w:pPr>
        <w:widowControl/>
        <w:shd w:val="clear" w:color="auto" w:fill="FFFFFF"/>
        <w:spacing w:after="75" w:line="495"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3.管理人及法院不承担拍卖标的瑕疵保证。竞买人决定参与竞买的，视为对拍卖财产完全了解，并接受拍卖财产一切已知和未知瑕疵。</w:t>
      </w:r>
    </w:p>
    <w:p w14:paraId="32EE1FEE">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三、标的已知优先购买权人：无</w:t>
      </w:r>
    </w:p>
    <w:p w14:paraId="744BAB20">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四、拍卖方式：设有保留价的增价拍卖方式，保留价等于起拍价，至少一人报名且出价不低于起拍价，方可成交。</w:t>
      </w:r>
    </w:p>
    <w:p w14:paraId="15F0D746">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五、竞价方式</w:t>
      </w:r>
    </w:p>
    <w:p w14:paraId="537F5A97">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（一）竞价从起拍价开始以递增出价方式竞价，增价幅度为</w:t>
      </w:r>
      <w:r>
        <w:rPr>
          <w:rFonts w:hint="eastAsia" w:ascii="仿宋" w:hAnsi="仿宋" w:eastAsia="仿宋" w:cs="Helvetica"/>
          <w:color w:val="000000"/>
          <w:kern w:val="0"/>
          <w:sz w:val="24"/>
          <w:szCs w:val="24"/>
          <w:lang w:val="en-US" w:eastAsia="zh-CN"/>
        </w:rPr>
        <w:t>5</w:t>
      </w:r>
      <w:r>
        <w:rPr>
          <w:rFonts w:hint="eastAsia" w:ascii="仿宋" w:hAnsi="仿宋" w:eastAsia="仿宋" w:cs="Helvetica"/>
          <w:color w:val="000000"/>
          <w:kern w:val="0"/>
          <w:sz w:val="24"/>
          <w:szCs w:val="24"/>
        </w:rPr>
        <w:t>00元及其整数倍，竞买人以低于起拍价出价的无效。</w:t>
      </w:r>
    </w:p>
    <w:p w14:paraId="57C33B9B">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（二）本次竞价活动设置延时出价功能，在竞价活动结束前，每最后5分钟如果有竞买人出价，就自动延迟5分钟。</w:t>
      </w:r>
    </w:p>
    <w:p w14:paraId="77D28099">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（三）本次拍卖保留价为起拍价。</w:t>
      </w:r>
    </w:p>
    <w:p w14:paraId="619C5EDF">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六、保证金与余款交纳</w:t>
      </w:r>
    </w:p>
    <w:p w14:paraId="46F0836D">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13EED474">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竞价成交后，标的物竞得者原锁定的保证金自动转入管理人指定账户。买受人应于拍卖成交后15日内将竞价成交价余款（扣除保证金后的余款）缴入管理人指定账户（</w:t>
      </w:r>
      <w:r>
        <w:rPr>
          <w:rFonts w:ascii="Helvetica" w:hAnsi="Helvetica" w:eastAsia="宋体" w:cs="Helvetica"/>
          <w:color w:val="FF0000"/>
          <w:kern w:val="0"/>
          <w:sz w:val="27"/>
          <w:szCs w:val="27"/>
        </w:rPr>
        <w:t>账户名：河北金棕榈工程技术有限公司破产管理人，开户行：中国民生银行股份有限公司衡水永兴路支行，账号：630576392</w:t>
      </w:r>
      <w:r>
        <w:rPr>
          <w:rFonts w:hint="eastAsia" w:ascii="仿宋" w:hAnsi="仿宋" w:eastAsia="仿宋" w:cs="Helvetica"/>
          <w:color w:val="000000"/>
          <w:kern w:val="0"/>
          <w:sz w:val="24"/>
          <w:szCs w:val="24"/>
        </w:rPr>
        <w:t>），并注明“竞拍余款”。逾期则视为买受人违约，竞买保证金不予退还。</w:t>
      </w:r>
    </w:p>
    <w:p w14:paraId="4C59102D">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本次拍卖买受人须承担拍卖成交价款，同时需要向京东平台另行支付标的成交价0.5％技术服务费(最高50万元)。</w:t>
      </w:r>
    </w:p>
    <w:p w14:paraId="0FCE645E">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技术服务费由京东拍卖平台收取，付费方式及技术服务费金额等请详见京东网络破产拍卖平台收费规则。京东拍卖平台将向竞价成交买受人收取技术服务费，以京东拍卖平台的规定为准，详细情况请自行查阅京东拍卖平台《用户竞买服务协议》。</w:t>
      </w:r>
    </w:p>
    <w:p w14:paraId="7BED31B4">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技术服务费，买受人逾期未全额缴纳的，京东拍卖平台可对其进行依法追缴。买受人缴纳技术服务费后如需索取发票的，由买受人联系京东拍卖平台开具。</w:t>
      </w:r>
    </w:p>
    <w:p w14:paraId="5598B223">
      <w:pPr>
        <w:widowControl/>
        <w:shd w:val="clear" w:color="auto" w:fill="FFFFFF"/>
        <w:spacing w:after="75" w:line="420" w:lineRule="atLeast"/>
        <w:ind w:firstLine="600"/>
        <w:rPr>
          <w:rFonts w:ascii="Helvetica" w:hAnsi="Helvetica" w:eastAsia="宋体" w:cs="Helvetica"/>
          <w:color w:val="000000"/>
          <w:kern w:val="0"/>
          <w:sz w:val="27"/>
          <w:szCs w:val="27"/>
        </w:rPr>
      </w:pPr>
      <w:r>
        <w:rPr>
          <w:rFonts w:ascii="Helvetica" w:hAnsi="Helvetica" w:eastAsia="宋体" w:cs="Helvetica"/>
          <w:b/>
          <w:bCs/>
          <w:color w:val="FF0000"/>
          <w:kern w:val="0"/>
          <w:sz w:val="27"/>
          <w:szCs w:val="27"/>
        </w:rPr>
        <w:t>综合服务费由拍卖辅助机构收取（按照成交价格的2%计算）</w:t>
      </w:r>
    </w:p>
    <w:p w14:paraId="5DF6CA58">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竞价成交后，标的物竞得者原锁定的保证金自动转入管理人指定账户。请及时与管理人联系。</w:t>
      </w:r>
    </w:p>
    <w:p w14:paraId="5FBD85CE">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七、移交与过户</w:t>
      </w:r>
    </w:p>
    <w:p w14:paraId="04C32900">
      <w:pPr>
        <w:widowControl/>
        <w:shd w:val="clear" w:color="auto" w:fill="FFFFFF"/>
        <w:spacing w:after="75" w:line="420" w:lineRule="atLeast"/>
        <w:ind w:firstLine="600"/>
        <w:jc w:val="left"/>
        <w:rPr>
          <w:rFonts w:ascii="仿宋" w:hAnsi="仿宋" w:eastAsia="仿宋" w:cs="Helvetica"/>
          <w:color w:val="000000"/>
          <w:kern w:val="0"/>
          <w:sz w:val="24"/>
          <w:szCs w:val="24"/>
        </w:rPr>
      </w:pPr>
      <w:r>
        <w:rPr>
          <w:rFonts w:hint="eastAsia" w:ascii="仿宋" w:hAnsi="仿宋" w:eastAsia="仿宋" w:cs="Helvetica"/>
          <w:color w:val="000000"/>
          <w:kern w:val="0"/>
          <w:sz w:val="24"/>
          <w:szCs w:val="24"/>
        </w:rPr>
        <w:t>（一）买受人应于付清全部拍卖成交价款后5个工作日内（遇节假日或不可抗力顺延）凭付款凭证及相关身份材料至管理人处（地址：衡水市桃城区前进大街紫金大厦5栋6楼河北仁浩律师事务所）签署拍卖成交确认文件。</w:t>
      </w:r>
    </w:p>
    <w:p w14:paraId="4E088D76">
      <w:pPr>
        <w:widowControl/>
        <w:shd w:val="clear" w:color="auto" w:fill="FFFFFF"/>
        <w:spacing w:after="75"/>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二）买受人付清全部拍卖成交价款之日，拍卖标的的所有权由买受人享有，并视为管理人已将拍卖标的所有权移交买受人，买受人自行承担全部的责任和风险。破产案件受理法院不提供拍卖标的确权、转移登记等与拍卖标的相关的裁定书和协助执行文书。</w:t>
      </w:r>
    </w:p>
    <w:p w14:paraId="3927C501">
      <w:pPr>
        <w:widowControl/>
        <w:shd w:val="clear" w:color="auto" w:fill="FFFFFF"/>
        <w:spacing w:after="75"/>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三）本次竞价活动计价货币为人民币，竞价时的起拍价、成交价均不含买受人在竞价标的物转让时双方的一切税、费。本次交易所产生的一切税、费、金以及所需补缴的欠税、欠费等费用，均由买受人承担。具体金额由买受人自行向相关主管部门核定。买受人在承担后不得据此主张竞价无效或向管理人、上拍机构索偿。</w:t>
      </w:r>
    </w:p>
    <w:p w14:paraId="45BD88BC">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八、风险提示</w:t>
      </w:r>
    </w:p>
    <w:p w14:paraId="1333782E">
      <w:pPr>
        <w:widowControl/>
        <w:shd w:val="clear" w:color="auto" w:fill="FFFFFF"/>
        <w:spacing w:after="75" w:line="420" w:lineRule="atLeast"/>
        <w:ind w:firstLine="240"/>
        <w:rPr>
          <w:rFonts w:ascii="Helvetica" w:hAnsi="Helvetica" w:eastAsia="宋体" w:cs="Helvetica"/>
          <w:color w:val="000000"/>
          <w:kern w:val="0"/>
          <w:sz w:val="27"/>
          <w:szCs w:val="27"/>
        </w:rPr>
      </w:pPr>
      <w:r>
        <w:rPr>
          <w:rFonts w:hint="eastAsia" w:ascii="仿宋" w:hAnsi="仿宋" w:eastAsia="仿宋" w:cs="Helvetica"/>
          <w:b/>
          <w:bCs/>
          <w:color w:val="FF0000"/>
          <w:kern w:val="0"/>
          <w:sz w:val="24"/>
          <w:szCs w:val="24"/>
        </w:rPr>
        <w:t>特别提醒：管理人对上述列示出的对外债权的真实性、数额是否一致、是否超出诉讼时效、合同等证据材料及权利凭证的完整性以及全额回收的可能性等不做任何承诺担保，拍卖标的资产的一切事实及法律风险均由买受人自行承担。</w:t>
      </w:r>
    </w:p>
    <w:p w14:paraId="3896350F">
      <w:pPr>
        <w:widowControl/>
        <w:shd w:val="clear" w:color="auto" w:fill="FFFFFF"/>
        <w:spacing w:after="75" w:line="420" w:lineRule="atLeast"/>
        <w:jc w:val="left"/>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(一)标的物特殊情况说明：</w:t>
      </w:r>
    </w:p>
    <w:p w14:paraId="757E4AB3">
      <w:pPr>
        <w:widowControl/>
        <w:shd w:val="clear" w:color="auto" w:fill="FFFFFF"/>
        <w:spacing w:after="75"/>
        <w:ind w:firstLine="24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应收款债权的具体情况可向管理人进行咨询了解。本次拍卖标的的相关诉讼、权利、义务风险由竞拍人自行评估，包括但不限于竞拍成交人能否对相关义务人提起诉讼以及提起诉讼后能否取得胜诉以及胜诉后能否执行到款项等。</w:t>
      </w:r>
      <w:r>
        <w:rPr>
          <w:rFonts w:hint="eastAsia" w:ascii="仿宋" w:hAnsi="仿宋" w:eastAsia="仿宋" w:cs="Helvetica"/>
          <w:b/>
          <w:bCs/>
          <w:color w:val="EE0000"/>
          <w:kern w:val="0"/>
          <w:sz w:val="24"/>
          <w:szCs w:val="24"/>
        </w:rPr>
        <w:t>管理人仅能提供对外债权的明细和审计、评估相关资料。</w:t>
      </w:r>
      <w:r>
        <w:rPr>
          <w:rFonts w:hint="eastAsia" w:ascii="仿宋" w:hAnsi="仿宋" w:eastAsia="仿宋" w:cs="Helvetica"/>
          <w:color w:val="000000"/>
          <w:kern w:val="0"/>
          <w:sz w:val="24"/>
          <w:szCs w:val="24"/>
        </w:rPr>
        <w:t>本次拍卖标的可能存在瑕疵或尚未发现的缺陷（该瑕疵和缺陷将导致对外应收债权部分或者全部无法收回等风险），包括但不限于以下情况：</w:t>
      </w:r>
    </w:p>
    <w:p w14:paraId="0904B575">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1.</w:t>
      </w:r>
      <w:r>
        <w:rPr>
          <w:rFonts w:hint="eastAsia" w:ascii="仿宋" w:hAnsi="仿宋" w:eastAsia="仿宋" w:cs="Helvetica"/>
          <w:color w:val="EE0000"/>
          <w:kern w:val="0"/>
          <w:sz w:val="24"/>
          <w:szCs w:val="24"/>
        </w:rPr>
        <w:t>管理人接管的记载拍卖标的形成的相关账簿和会计凭证不完整，且没有对方签字等材料，管理人不向买受人提供与拍卖标的相关的账簿和会计凭证。</w:t>
      </w:r>
      <w:r>
        <w:rPr>
          <w:rFonts w:hint="eastAsia" w:ascii="仿宋" w:hAnsi="仿宋" w:eastAsia="仿宋" w:cs="Helvetica"/>
          <w:color w:val="000000"/>
          <w:kern w:val="0"/>
          <w:sz w:val="24"/>
          <w:szCs w:val="24"/>
        </w:rPr>
        <w:t>对外债权可能全部或部分无效、不存在、无法追回、真实性存在瑕疵等；</w:t>
      </w:r>
    </w:p>
    <w:p w14:paraId="14B209DF">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2.拍卖标的记载的债权户数、金额可能存在全部或部分不准确，可能存在与原权利人财务记载的信息不一致的情形；</w:t>
      </w:r>
    </w:p>
    <w:p w14:paraId="0D31649D">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3.债权可能存在因已超过诉讼时效、执行时效及其他相关的法定期间或其他原因已部分消灭或成为自然债导致无法收回，或因合同约定、债务人实际已履行、发票未开、被抵销、撤销以及其他原因或纠纷导致无法收回、产生损失等风险；</w:t>
      </w:r>
    </w:p>
    <w:p w14:paraId="3AEDA225">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4.债权可能存在因不符合约定的付款条件、被质押及存在产品质量问题、迟延交货等违约情形导致债权存在争议、无法收回、产生损失等风险；</w:t>
      </w:r>
      <w:r>
        <w:rPr>
          <w:rFonts w:ascii="Helvetica" w:hAnsi="Helvetica" w:eastAsia="宋体" w:cs="Helvetica"/>
          <w:color w:val="000000"/>
          <w:kern w:val="0"/>
          <w:sz w:val="27"/>
          <w:szCs w:val="27"/>
        </w:rPr>
        <w:t xml:space="preserve"> </w:t>
      </w:r>
    </w:p>
    <w:p w14:paraId="49722761">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5.与债权相关的债务人或担保人或第三方可能存在破产、被解散、被注销、被撤销、被关闭、被吊销、歇业、下落不明以及其他主体存续性瑕疵的情形；</w:t>
      </w:r>
    </w:p>
    <w:p w14:paraId="3B5D8815">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6.债权文件可能存在不真实、不完整，债权凭证原件缺失、不存在或内容冲突等导致债权存在争议、无法收回、产生损失等相关情形。</w:t>
      </w:r>
    </w:p>
    <w:p w14:paraId="0E3A7149">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7.债权文件可能存在因与债权文件清单记载不一致导致债权存在争议、无法收回、产生损失等风险；</w:t>
      </w:r>
    </w:p>
    <w:p w14:paraId="7318C752">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8.就债权提起诉讼可能存在反诉要求赔偿违约金等债权存在争议、无法收回、产生损失的风险，若因反诉等给破产企业造成损失，由买受人承担相应损失；</w:t>
      </w:r>
    </w:p>
    <w:p w14:paraId="18A391C6">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9.涉诉债权项目可能存在败诉、不能变更诉讼主体、执行主体等诉讼风险；</w:t>
      </w:r>
    </w:p>
    <w:p w14:paraId="561C0B81">
      <w:pPr>
        <w:widowControl/>
        <w:shd w:val="clear" w:color="auto" w:fill="FFFFFF"/>
        <w:spacing w:after="75"/>
        <w:ind w:firstLine="240"/>
        <w:rPr>
          <w:rFonts w:ascii="Helvetica" w:hAnsi="Helvetica" w:eastAsia="宋体" w:cs="Helvetica"/>
          <w:color w:val="EE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10.债权项目可能存在已经被其他债权人或第三人收取的情形；</w:t>
      </w:r>
      <w:r>
        <w:rPr>
          <w:rFonts w:ascii="Helvetica" w:hAnsi="Helvetica" w:eastAsia="宋体" w:cs="Helvetica"/>
          <w:color w:val="EE0000"/>
          <w:kern w:val="0"/>
          <w:sz w:val="27"/>
          <w:szCs w:val="27"/>
        </w:rPr>
        <w:t xml:space="preserve"> </w:t>
      </w:r>
    </w:p>
    <w:p w14:paraId="0CF24502">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11.其他已经/或尚未发现的可能导致债权存在争议、不存在、无法收回、产生损失等风险；</w:t>
      </w:r>
    </w:p>
    <w:p w14:paraId="454E1BD8">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12.本次拍卖标的物未经生效的司法文书予以确认，涉及与股东的司法诉讼风险由买受人自行承担。</w:t>
      </w:r>
    </w:p>
    <w:p w14:paraId="608EF732">
      <w:pPr>
        <w:widowControl/>
        <w:shd w:val="clear" w:color="auto" w:fill="FFFFFF"/>
        <w:spacing w:after="75"/>
        <w:ind w:firstLine="480" w:firstLineChars="2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上述存在着瑕疵或尚未发现的缺陷，由买受人自行承担风险。</w:t>
      </w:r>
    </w:p>
    <w:p w14:paraId="67AE2F2D">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二)竞买人在拍卖成交后所获得的应收款项权益以出让人所享有的权益为准，如出让人的权益存在瑕疵或附随义务，受让人将同样受到该瑕疵或附随义务的约束。上述存在的瑕疵或附随义务或尚未发现的缺陷，由竞买人自行调查核实并承担相应风险。</w:t>
      </w:r>
    </w:p>
    <w:p w14:paraId="2054AE69">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(三)管理人不对应收款是否可以收回作出任何承诺担保，不承担本标的物瑕疵保证，相关风险均由买受人自行承担。</w:t>
      </w:r>
    </w:p>
    <w:p w14:paraId="6BB3BC8C">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(四)因该标的物拍卖产生的任何费用，如有相关税、费用产生，按国家法规和政策规定由买卖双方分别承担，无明确规定的由买受人承担。</w:t>
      </w:r>
    </w:p>
    <w:p w14:paraId="69552EDC">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五)竞买人务必在拍卖前仔细审查拍卖标的，调查标的是否存在瑕疵，认真研究其现实状况。请竞买人慎重决定竞买行为，竞买人一旦作出竞买决定，即表明已完全了解，并接受标的物的现状和一切已知及未知的瑕疵。</w:t>
      </w:r>
    </w:p>
    <w:p w14:paraId="03F38C43">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(六)竞买人应当具备完全民事行为能力。竞买人也可根据《竞买须知》相关规定委托代理人（具备完全民事行为能力的自然人）进行竞买。因不符合条件参加竞买的，由竞买人自行承担相应的法律责任。</w:t>
      </w:r>
    </w:p>
    <w:p w14:paraId="31588DC1">
      <w:pPr>
        <w:widowControl/>
        <w:shd w:val="clear" w:color="auto" w:fill="FFFFFF"/>
        <w:spacing w:after="75"/>
        <w:rPr>
          <w:rFonts w:ascii="Helvetica" w:hAnsi="Helvetica" w:eastAsia="宋体" w:cs="Helvetica"/>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(七)本次拍卖标的物的数量、金额及能否实际催收，以交付时的现状为准，管理人</w:t>
      </w:r>
      <w:r>
        <w:rPr>
          <w:rFonts w:hint="eastAsia" w:ascii="仿宋" w:hAnsi="仿宋" w:eastAsia="仿宋" w:cs="Helvetica"/>
          <w:kern w:val="0"/>
          <w:sz w:val="24"/>
          <w:szCs w:val="24"/>
        </w:rPr>
        <w:t>仅能提供拍卖标的明细，相关的审计、评估报告资料，管理人未获取也不能提供与拍卖标的有关的合同、法律文书、票据等资料，记载拍卖标的相关账簿、会计凭证不完整且没有对方签字，管理人不向买受人提供。</w:t>
      </w:r>
    </w:p>
    <w:p w14:paraId="2D42ED6C">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八)管理人、上拍机构对此次竞价标的物所作的说明和提供的图片、文字资料等，仅供竞买人参考，不构成对标的物的任何担保，不作为对竞买人参与此次竞价的建议，仅提供竞买人参考。（特别提醒：有意者请提前与管理人联系，未提前联系管理人，视为对本标的现状的确认。竞买人一旦作出竞买决定，即表明已完全了解，并接受标的物的现状和一切已知及未知的瑕疵，责任自负。）</w:t>
      </w:r>
    </w:p>
    <w:p w14:paraId="7B9B0692">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(九)因标的物评估价值较高，可能存在起拍价、保证金、竞价成交数额较大的情形。为避免在在线支付的过程中，因银行限额而导致无法支付的问题，请根据《竞买须知》相关规定进行充分准备。</w:t>
      </w:r>
    </w:p>
    <w:p w14:paraId="0558140A">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(十)其他未尽事宜由买受人自行了解。</w:t>
      </w:r>
    </w:p>
    <w:p w14:paraId="1747CB0E">
      <w:pPr>
        <w:widowControl/>
        <w:shd w:val="clear" w:color="auto" w:fill="FFFFFF"/>
        <w:spacing w:after="75"/>
        <w:ind w:firstLine="600"/>
        <w:rPr>
          <w:rFonts w:ascii="仿宋" w:hAnsi="仿宋" w:eastAsia="仿宋" w:cs="Helvetica"/>
          <w:color w:val="000000"/>
          <w:kern w:val="0"/>
          <w:sz w:val="24"/>
          <w:szCs w:val="24"/>
        </w:rPr>
      </w:pPr>
      <w:r>
        <w:rPr>
          <w:rFonts w:hint="eastAsia" w:ascii="仿宋" w:hAnsi="仿宋" w:eastAsia="仿宋" w:cs="Helvetica"/>
          <w:color w:val="000000"/>
          <w:kern w:val="0"/>
          <w:sz w:val="24"/>
          <w:szCs w:val="24"/>
        </w:rPr>
        <w:t>九、本次网上公开竞价《竞买公告》《竞买须知》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平台双方不存在任何歧异和误认，竞买人承诺不再对前述文件的条款提出任何异议。</w:t>
      </w:r>
    </w:p>
    <w:p w14:paraId="1F0586FF">
      <w:pPr>
        <w:widowControl/>
        <w:shd w:val="clear" w:color="auto" w:fill="FFFFFF"/>
        <w:spacing w:after="75"/>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竞买人可从管理人处取得拍卖标的具体明细。</w:t>
      </w:r>
    </w:p>
    <w:p w14:paraId="3218A36E">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十、竞买人在竞价前请务必仔细阅读相应标的竞买公告、竞买须知、标的物详情。本公告其他未尽事宜，请向管理人咨询。</w:t>
      </w:r>
    </w:p>
    <w:p w14:paraId="76426EAD">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咨询电话：</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付律师 18031885979</w:t>
      </w:r>
    </w:p>
    <w:p w14:paraId="6D9CDA22">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辅拍机构联系电话：辛先生</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18831889063</w:t>
      </w:r>
    </w:p>
    <w:p w14:paraId="35692AC9">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京东技术咨询电话：</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4006229586</w:t>
      </w:r>
    </w:p>
    <w:p w14:paraId="1E9B322B">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凡发现竞价中有违规行为，可如实举报。</w:t>
      </w:r>
    </w:p>
    <w:p w14:paraId="42E06A98">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本次拍卖活动最终解释权归</w:t>
      </w:r>
      <w:r>
        <w:rPr>
          <w:rFonts w:hint="eastAsia" w:ascii="仿宋" w:hAnsi="仿宋" w:eastAsia="仿宋" w:cs="Helvetica"/>
          <w:color w:val="000000"/>
          <w:kern w:val="0"/>
          <w:sz w:val="24"/>
          <w:szCs w:val="24"/>
          <w:shd w:val="clear" w:color="auto" w:fill="FFFFFF"/>
        </w:rPr>
        <w:t>河北金棕榈工程技术有限公司破产管理人</w:t>
      </w:r>
      <w:r>
        <w:rPr>
          <w:rFonts w:hint="eastAsia" w:ascii="仿宋" w:hAnsi="仿宋" w:eastAsia="仿宋" w:cs="Helvetica"/>
          <w:color w:val="000000"/>
          <w:kern w:val="0"/>
          <w:sz w:val="24"/>
          <w:szCs w:val="24"/>
        </w:rPr>
        <w:t>所有。</w:t>
      </w:r>
    </w:p>
    <w:p w14:paraId="3666344B">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ascii="Calibri" w:hAnsi="Calibri" w:eastAsia="仿宋" w:cs="Calibri"/>
          <w:color w:val="000000"/>
          <w:kern w:val="0"/>
          <w:sz w:val="24"/>
          <w:szCs w:val="24"/>
        </w:rPr>
        <w:t> </w:t>
      </w:r>
    </w:p>
    <w:p w14:paraId="09F0EA61">
      <w:pPr>
        <w:widowControl/>
        <w:shd w:val="clear" w:color="auto" w:fill="FFFFFF"/>
        <w:spacing w:after="75" w:line="420" w:lineRule="atLeast"/>
        <w:ind w:firstLine="600"/>
        <w:jc w:val="righ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河北金棕榈工程技术有限公司破产管理人</w:t>
      </w:r>
    </w:p>
    <w:p w14:paraId="7A5C4980">
      <w:pPr>
        <w:widowControl/>
        <w:shd w:val="clear" w:color="auto" w:fill="FFFFFF"/>
        <w:spacing w:after="75" w:line="420" w:lineRule="atLeast"/>
        <w:ind w:firstLine="600"/>
        <w:jc w:val="right"/>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二〇二五年</w:t>
      </w:r>
      <w:r>
        <w:rPr>
          <w:rFonts w:hint="eastAsia" w:ascii="仿宋" w:hAnsi="仿宋" w:eastAsia="仿宋" w:cs="Helvetica"/>
          <w:color w:val="000000"/>
          <w:kern w:val="0"/>
          <w:sz w:val="24"/>
          <w:szCs w:val="24"/>
          <w:lang w:val="en-US" w:eastAsia="zh-CN"/>
        </w:rPr>
        <w:t>十二月七</w:t>
      </w:r>
      <w:r>
        <w:rPr>
          <w:rFonts w:hint="eastAsia" w:ascii="仿宋" w:hAnsi="仿宋" w:eastAsia="仿宋" w:cs="Helvetica"/>
          <w:color w:val="000000"/>
          <w:kern w:val="0"/>
          <w:sz w:val="24"/>
          <w:szCs w:val="24"/>
        </w:rPr>
        <w:t>日</w:t>
      </w:r>
    </w:p>
    <w:p w14:paraId="6AC4F6BC">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C44"/>
    <w:rsid w:val="001247DE"/>
    <w:rsid w:val="00350865"/>
    <w:rsid w:val="003A5C44"/>
    <w:rsid w:val="003C5D3D"/>
    <w:rsid w:val="00512ED5"/>
    <w:rsid w:val="00586153"/>
    <w:rsid w:val="005F02C7"/>
    <w:rsid w:val="006764E6"/>
    <w:rsid w:val="0073697A"/>
    <w:rsid w:val="008B3A23"/>
    <w:rsid w:val="00A23261"/>
    <w:rsid w:val="00AC07A1"/>
    <w:rsid w:val="00D83FBF"/>
    <w:rsid w:val="2E9372BE"/>
    <w:rsid w:val="3D3A7941"/>
    <w:rsid w:val="3EB05C6A"/>
    <w:rsid w:val="3FE71582"/>
    <w:rsid w:val="5C0815DF"/>
    <w:rsid w:val="69F83F56"/>
    <w:rsid w:val="6B044411"/>
    <w:rsid w:val="6FA74B6E"/>
    <w:rsid w:val="71845079"/>
    <w:rsid w:val="7BED0CAB"/>
    <w:rsid w:val="7F496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0"/>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1"/>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3"/>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5"/>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4"/>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qFormat/>
    <w:uiPriority w:val="9"/>
    <w:rPr>
      <w:rFonts w:asciiTheme="majorHAnsi" w:hAnsiTheme="majorHAnsi" w:eastAsiaTheme="majorEastAsia" w:cstheme="majorBidi"/>
      <w:color w:val="104862" w:themeColor="accent1" w:themeShade="BF"/>
      <w:sz w:val="48"/>
      <w:szCs w:val="48"/>
    </w:rPr>
  </w:style>
  <w:style w:type="character" w:customStyle="1" w:styleId="16">
    <w:name w:val="标题 2 字符"/>
    <w:basedOn w:val="14"/>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7">
    <w:name w:val="标题 3 字符"/>
    <w:basedOn w:val="14"/>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8">
    <w:name w:val="标题 4 字符"/>
    <w:basedOn w:val="14"/>
    <w:link w:val="5"/>
    <w:semiHidden/>
    <w:qFormat/>
    <w:uiPriority w:val="9"/>
    <w:rPr>
      <w:rFonts w:cstheme="majorBidi"/>
      <w:color w:val="104862" w:themeColor="accent1" w:themeShade="BF"/>
      <w:sz w:val="28"/>
      <w:szCs w:val="28"/>
    </w:rPr>
  </w:style>
  <w:style w:type="character" w:customStyle="1" w:styleId="19">
    <w:name w:val="标题 5 字符"/>
    <w:basedOn w:val="14"/>
    <w:link w:val="6"/>
    <w:semiHidden/>
    <w:qFormat/>
    <w:uiPriority w:val="9"/>
    <w:rPr>
      <w:rFonts w:cstheme="majorBidi"/>
      <w:color w:val="104862" w:themeColor="accent1" w:themeShade="BF"/>
      <w:sz w:val="24"/>
      <w:szCs w:val="24"/>
    </w:rPr>
  </w:style>
  <w:style w:type="character" w:customStyle="1" w:styleId="20">
    <w:name w:val="标题 6 字符"/>
    <w:basedOn w:val="14"/>
    <w:link w:val="7"/>
    <w:semiHidden/>
    <w:qFormat/>
    <w:uiPriority w:val="9"/>
    <w:rPr>
      <w:rFonts w:cstheme="majorBidi"/>
      <w:b/>
      <w:bCs/>
      <w:color w:val="104862" w:themeColor="accent1" w:themeShade="BF"/>
    </w:rPr>
  </w:style>
  <w:style w:type="character" w:customStyle="1" w:styleId="21">
    <w:name w:val="标题 7 字符"/>
    <w:basedOn w:val="14"/>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2">
    <w:name w:val="标题 8 字符"/>
    <w:basedOn w:val="14"/>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3">
    <w:name w:val="标题 9 字符"/>
    <w:basedOn w:val="14"/>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引用 字符"/>
    <w:basedOn w:val="14"/>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4"/>
    <w:qFormat/>
    <w:uiPriority w:val="21"/>
    <w:rPr>
      <w:i/>
      <w:iCs/>
      <w:color w:val="104862"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1">
    <w:name w:val="明显引用 字符"/>
    <w:basedOn w:val="14"/>
    <w:link w:val="30"/>
    <w:qFormat/>
    <w:uiPriority w:val="30"/>
    <w:rPr>
      <w:i/>
      <w:iCs/>
      <w:color w:val="104862" w:themeColor="accent1" w:themeShade="BF"/>
    </w:rPr>
  </w:style>
  <w:style w:type="character" w:customStyle="1" w:styleId="32">
    <w:name w:val="Intense Reference"/>
    <w:basedOn w:val="14"/>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3886</Words>
  <Characters>4043</Characters>
  <Lines>82</Lines>
  <Paragraphs>60</Paragraphs>
  <TotalTime>69</TotalTime>
  <ScaleCrop>false</ScaleCrop>
  <LinksUpToDate>false</LinksUpToDate>
  <CharactersWithSpaces>4126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2025-09-08T03:24:00Z</dcterms:created>
  <dc:creator>wu zhang</dc:creator>
  <cp:lastModifiedBy>片片～</cp:lastModifiedBy>
  <dcterms:modified xsi:type="dcterms:W3CDTF">2025-12-07T03:14:27Z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eyJoZGlkIjoiYThlOTk0M2E4ZmI5NTUyN2E4YjBiZjQzNmE2MDZkNDIiLCJ1c2VySWQiOiI0MDg4OTU1NTAifQ==</vt:lpwstr>
  </property>
  <property fmtid="{D5CDD505-2E9C-101B-9397-08002B2CF9AE}" pid="3" name="KSOProductBuildVer">
    <vt:lpwstr>2052-12.1.0.23542</vt:lpwstr>
  </property>
  <property fmtid="{D5CDD505-2E9C-101B-9397-08002B2CF9AE}" pid="4" name="ICV">
    <vt:lpwstr>2BA4F99F41264A4AB2EDA6978D5FD554_13</vt:lpwstr>
  </property>
</Properties>
</file>