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27FE77E">
      <w:pPr>
        <w:jc w:val="center"/>
        <w:rPr>
          <w:b/>
          <w:bCs/>
          <w:sz w:val="32"/>
          <w:szCs w:val="32"/>
        </w:rPr>
      </w:pPr>
      <w:r>
        <w:rPr>
          <w:rFonts w:hint="eastAsia"/>
          <w:b/>
          <w:bCs/>
          <w:sz w:val="32"/>
          <w:szCs w:val="32"/>
          <w:lang w:val="en-US" w:eastAsia="zh-CN"/>
        </w:rPr>
        <w:t>新松机器人（南通）有限公司</w:t>
      </w:r>
      <w:r>
        <w:rPr>
          <w:rFonts w:hint="eastAsia"/>
          <w:b/>
          <w:bCs/>
          <w:sz w:val="32"/>
          <w:szCs w:val="32"/>
        </w:rPr>
        <w:t>管理人</w:t>
      </w:r>
    </w:p>
    <w:p w14:paraId="024922E1">
      <w:pPr>
        <w:jc w:val="center"/>
        <w:rPr>
          <w:rFonts w:ascii="楷体" w:hAnsi="楷体" w:eastAsia="楷体" w:cs="楷体"/>
        </w:rPr>
      </w:pPr>
      <w:r>
        <w:rPr>
          <w:rFonts w:hint="eastAsia"/>
          <w:b/>
          <w:bCs/>
          <w:sz w:val="32"/>
          <w:szCs w:val="32"/>
        </w:rPr>
        <w:t>关于公开招募重整投资人的公告</w:t>
      </w:r>
    </w:p>
    <w:p w14:paraId="02F18A6D">
      <w:pPr>
        <w:spacing w:before="93" w:beforeLines="30" w:after="93" w:afterLines="30" w:line="500" w:lineRule="exact"/>
        <w:ind w:firstLine="481"/>
        <w:rPr>
          <w:rFonts w:hint="default" w:ascii="仿宋" w:hAnsi="仿宋" w:eastAsia="仿宋" w:cs="仿宋"/>
          <w:sz w:val="24"/>
          <w:lang w:val="en-US" w:eastAsia="zh-CN"/>
        </w:rPr>
      </w:pPr>
      <w:r>
        <w:rPr>
          <w:rFonts w:hint="eastAsia" w:ascii="仿宋" w:hAnsi="仿宋" w:eastAsia="仿宋" w:cs="仿宋"/>
          <w:sz w:val="24"/>
          <w:szCs w:val="24"/>
        </w:rPr>
        <w:t>南通经济技术开发区人民法院根据债权人华新建工集团有限公司申请，于2022年12月15日作出（2022）苏0691破申46号裁定书，裁定受理新松机器人（南通）有限公司（以下简称“南通新松公司”或“债务人”）破产清算一案</w:t>
      </w:r>
      <w:r>
        <w:rPr>
          <w:rFonts w:hint="eastAsia" w:ascii="仿宋" w:hAnsi="仿宋" w:eastAsia="仿宋" w:cs="仿宋"/>
          <w:sz w:val="24"/>
        </w:rPr>
        <w:t>。</w:t>
      </w:r>
      <w:r>
        <w:rPr>
          <w:rFonts w:hint="eastAsia" w:ascii="仿宋" w:hAnsi="仿宋" w:eastAsia="仿宋" w:cs="仿宋"/>
          <w:sz w:val="24"/>
          <w:lang w:val="en-US" w:eastAsia="zh-CN"/>
        </w:rPr>
        <w:t>因主要债权人提出申请，管理人于2025年11月25日报请人民法院裁定对</w:t>
      </w:r>
      <w:r>
        <w:rPr>
          <w:rFonts w:hint="eastAsia" w:ascii="仿宋" w:hAnsi="仿宋" w:eastAsia="仿宋" w:cs="仿宋"/>
          <w:sz w:val="24"/>
          <w:szCs w:val="24"/>
        </w:rPr>
        <w:t>南通新松公司</w:t>
      </w:r>
      <w:r>
        <w:rPr>
          <w:rFonts w:hint="eastAsia" w:ascii="仿宋" w:hAnsi="仿宋" w:eastAsia="仿宋" w:cs="仿宋"/>
          <w:sz w:val="24"/>
          <w:lang w:val="en-US" w:eastAsia="zh-CN"/>
        </w:rPr>
        <w:t>重整。</w:t>
      </w:r>
      <w:r>
        <w:rPr>
          <w:rFonts w:hint="eastAsia" w:ascii="仿宋" w:hAnsi="仿宋" w:eastAsia="仿宋" w:cs="仿宋"/>
          <w:sz w:val="24"/>
          <w:szCs w:val="24"/>
          <w:lang w:val="en-US" w:eastAsia="zh-CN"/>
        </w:rPr>
        <w:t>2025年12月4日，</w:t>
      </w:r>
      <w:r>
        <w:rPr>
          <w:rFonts w:hint="eastAsia" w:ascii="仿宋" w:hAnsi="仿宋" w:eastAsia="仿宋" w:cs="仿宋"/>
          <w:sz w:val="24"/>
          <w:szCs w:val="24"/>
        </w:rPr>
        <w:t>南通经济技术开发区人民法院</w:t>
      </w:r>
      <w:r>
        <w:rPr>
          <w:rFonts w:hint="eastAsia" w:ascii="仿宋" w:hAnsi="仿宋" w:eastAsia="仿宋" w:cs="仿宋"/>
          <w:sz w:val="24"/>
          <w:szCs w:val="24"/>
          <w:lang w:val="en-US" w:eastAsia="zh-CN"/>
        </w:rPr>
        <w:t>依法裁定对债务人进行重整。</w:t>
      </w:r>
    </w:p>
    <w:p w14:paraId="5CC59918">
      <w:pPr>
        <w:spacing w:before="93" w:beforeLines="30" w:after="93" w:afterLines="30" w:line="500" w:lineRule="exact"/>
        <w:ind w:firstLine="481"/>
        <w:rPr>
          <w:rFonts w:ascii="仿宋" w:hAnsi="仿宋" w:eastAsia="仿宋" w:cs="仿宋"/>
          <w:sz w:val="24"/>
        </w:rPr>
      </w:pPr>
      <w:r>
        <w:rPr>
          <w:rFonts w:hint="eastAsia" w:ascii="仿宋" w:hAnsi="仿宋" w:eastAsia="仿宋" w:cs="仿宋"/>
          <w:sz w:val="24"/>
          <w:lang w:val="en-US" w:eastAsia="zh-CN"/>
        </w:rPr>
        <w:t>现</w:t>
      </w:r>
      <w:r>
        <w:rPr>
          <w:rFonts w:hint="eastAsia" w:ascii="仿宋" w:hAnsi="仿宋" w:eastAsia="仿宋" w:cs="仿宋"/>
          <w:sz w:val="24"/>
        </w:rPr>
        <w:t>管理人依据《中华人民共和国企业破产法》的有关规定，决定面向社会公开招募重整投资人，现将相关事宜公告如下：</w:t>
      </w:r>
    </w:p>
    <w:p w14:paraId="0C73474C">
      <w:pPr>
        <w:numPr>
          <w:ilvl w:val="0"/>
          <w:numId w:val="1"/>
        </w:numPr>
        <w:spacing w:before="93" w:beforeLines="30" w:after="93" w:afterLines="30" w:line="500" w:lineRule="exact"/>
        <w:rPr>
          <w:rFonts w:ascii="仿宋" w:hAnsi="仿宋" w:eastAsia="仿宋" w:cs="仿宋"/>
          <w:b/>
          <w:bCs/>
          <w:sz w:val="24"/>
          <w:szCs w:val="24"/>
        </w:rPr>
      </w:pPr>
      <w:r>
        <w:rPr>
          <w:rFonts w:hint="eastAsia" w:ascii="仿宋" w:hAnsi="仿宋" w:eastAsia="仿宋" w:cs="仿宋"/>
          <w:b/>
          <w:bCs/>
          <w:sz w:val="24"/>
          <w:szCs w:val="24"/>
        </w:rPr>
        <w:t>债务人基本情况</w:t>
      </w:r>
    </w:p>
    <w:p w14:paraId="71D7A9C3">
      <w:pPr>
        <w:spacing w:before="93" w:beforeLines="30" w:after="93" w:afterLines="30" w:line="500" w:lineRule="exact"/>
        <w:ind w:firstLine="481" w:firstLineChars="0"/>
        <w:rPr>
          <w:rFonts w:hint="eastAsia" w:ascii="仿宋" w:hAnsi="仿宋" w:eastAsia="仿宋" w:cs="仿宋"/>
          <w:sz w:val="24"/>
          <w:szCs w:val="24"/>
        </w:rPr>
      </w:pPr>
      <w:r>
        <w:rPr>
          <w:rFonts w:hint="eastAsia" w:ascii="仿宋" w:hAnsi="仿宋" w:eastAsia="仿宋" w:cs="仿宋"/>
          <w:sz w:val="24"/>
          <w:szCs w:val="24"/>
        </w:rPr>
        <w:t>南通新松公司于2020年9月16日注册成立，注册资本为：40,000万元。南通新松公司是南通经济技术开发区重点招商引资项目，被列入江苏省2021年重大产业（高端装备）项目名录。项目建设用地约316亩，分为A、B区域，其中：A区为年产8000台新松机器人产业基地项目用地，总建筑面积约108,271.33</w:t>
      </w:r>
      <w:r>
        <w:rPr>
          <w:rFonts w:hint="eastAsia" w:ascii="仿宋" w:hAnsi="仿宋" w:eastAsia="仿宋" w:cs="仿宋"/>
          <w:sz w:val="24"/>
          <w:szCs w:val="24"/>
          <w:lang w:val="en-US" w:eastAsia="zh-CN"/>
        </w:rPr>
        <w:t>平方米</w:t>
      </w:r>
      <w:r>
        <w:rPr>
          <w:rFonts w:hint="eastAsia" w:ascii="仿宋" w:hAnsi="仿宋" w:eastAsia="仿宋" w:cs="仿宋"/>
          <w:sz w:val="24"/>
          <w:szCs w:val="24"/>
        </w:rPr>
        <w:t>;B区为智能制造产业基地用地，总建筑面积约83,730.1</w:t>
      </w:r>
      <w:r>
        <w:rPr>
          <w:rFonts w:hint="eastAsia" w:ascii="仿宋" w:hAnsi="仿宋" w:eastAsia="仿宋" w:cs="仿宋"/>
          <w:sz w:val="24"/>
          <w:szCs w:val="24"/>
          <w:lang w:val="en-US" w:eastAsia="zh-CN"/>
        </w:rPr>
        <w:t>平方米</w:t>
      </w:r>
      <w:r>
        <w:rPr>
          <w:rFonts w:hint="eastAsia" w:ascii="仿宋" w:hAnsi="仿宋" w:eastAsia="仿宋" w:cs="仿宋"/>
          <w:sz w:val="24"/>
          <w:szCs w:val="24"/>
        </w:rPr>
        <w:t>。合计建筑面积192,001.43</w:t>
      </w:r>
      <w:r>
        <w:rPr>
          <w:rFonts w:hint="eastAsia" w:ascii="仿宋" w:hAnsi="仿宋" w:eastAsia="仿宋" w:cs="仿宋"/>
          <w:sz w:val="24"/>
          <w:szCs w:val="24"/>
          <w:lang w:val="en-US" w:eastAsia="zh-CN"/>
        </w:rPr>
        <w:t>平方米。</w:t>
      </w:r>
      <w:r>
        <w:rPr>
          <w:rFonts w:hint="eastAsia" w:ascii="仿宋" w:hAnsi="仿宋" w:eastAsia="仿宋" w:cs="仿宋"/>
          <w:sz w:val="24"/>
          <w:szCs w:val="24"/>
        </w:rPr>
        <w:t>目前建筑已经封顶，现场处于停工状态。</w:t>
      </w:r>
    </w:p>
    <w:p w14:paraId="79989D24">
      <w:pPr>
        <w:spacing w:before="93" w:beforeLines="30" w:after="93" w:afterLines="30" w:line="500" w:lineRule="exact"/>
        <w:ind w:firstLine="481" w:firstLineChars="0"/>
        <w:rPr>
          <w:rFonts w:hint="eastAsia" w:ascii="仿宋" w:hAnsi="仿宋" w:eastAsia="仿宋" w:cs="仿宋"/>
          <w:sz w:val="24"/>
          <w:szCs w:val="24"/>
        </w:rPr>
      </w:pPr>
      <w:r>
        <w:rPr>
          <w:rFonts w:hint="eastAsia" w:ascii="仿宋" w:hAnsi="仿宋" w:eastAsia="仿宋" w:cs="仿宋"/>
          <w:sz w:val="24"/>
          <w:szCs w:val="24"/>
        </w:rPr>
        <w:t>南通经济技术开发区人民法院于2022年12月15日作出（2022）苏0691破申46号裁定书，裁定新松机器人（南通）有限公司破产清算，并指定江苏洲际英杰律师事务所担任管理人。</w:t>
      </w:r>
    </w:p>
    <w:p w14:paraId="448DA6DC">
      <w:pPr>
        <w:numPr>
          <w:ilvl w:val="0"/>
          <w:numId w:val="1"/>
        </w:numPr>
        <w:spacing w:before="93" w:beforeLines="30" w:after="93" w:afterLines="30" w:line="500" w:lineRule="exact"/>
        <w:rPr>
          <w:rFonts w:ascii="仿宋" w:hAnsi="仿宋" w:eastAsia="仿宋" w:cs="仿宋"/>
          <w:b/>
          <w:bCs/>
          <w:sz w:val="24"/>
          <w:szCs w:val="24"/>
        </w:rPr>
      </w:pPr>
      <w:r>
        <w:rPr>
          <w:rFonts w:hint="eastAsia" w:ascii="仿宋" w:hAnsi="仿宋" w:eastAsia="仿宋" w:cs="仿宋"/>
          <w:b/>
          <w:bCs/>
          <w:sz w:val="24"/>
          <w:szCs w:val="24"/>
        </w:rPr>
        <w:t>债务人主要资产</w:t>
      </w:r>
    </w:p>
    <w:p w14:paraId="1439ECDD">
      <w:pPr>
        <w:spacing w:before="93" w:beforeLines="30" w:after="93" w:afterLines="30" w:line="500" w:lineRule="exact"/>
        <w:ind w:firstLine="481"/>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债务人名下有一处不动产，坐落于南通经济技术开发区星宇路东、长兴路北的国有建设用地使用权及在建工程，宗地面积210828.43㎡。经查，该土地使用权及在建工程均抵押于南通众和融资担保集团有限公司，抵押债权范围为本金不超过9850万元及其相关的利息。</w:t>
      </w:r>
    </w:p>
    <w:p w14:paraId="7F7DEBED">
      <w:pPr>
        <w:spacing w:before="93" w:beforeLines="30" w:after="93" w:afterLines="30" w:line="500" w:lineRule="exact"/>
        <w:ind w:firstLine="481"/>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根据江苏中莲土地房地产资产评估造价有限公司于2023年9月22日出具的《资产评估报告》，债务人名下的国有建设用地使用权、在建工程、固定资产、低值易耗品等资产的市场价值总计553344710元。（评估基准日自2023年2月6日起至2024年2月5日）</w:t>
      </w:r>
    </w:p>
    <w:p w14:paraId="5D5767DC">
      <w:pPr>
        <w:numPr>
          <w:ilvl w:val="-1"/>
          <w:numId w:val="0"/>
        </w:numPr>
        <w:spacing w:before="93" w:beforeLines="30" w:after="93" w:afterLines="30" w:line="500" w:lineRule="exact"/>
        <w:rPr>
          <w:rFonts w:ascii="仿宋" w:hAnsi="仿宋" w:eastAsia="仿宋" w:cs="仿宋"/>
          <w:sz w:val="24"/>
          <w:szCs w:val="24"/>
        </w:rPr>
      </w:pPr>
      <w:r>
        <w:rPr>
          <w:rFonts w:hint="eastAsia" w:ascii="仿宋" w:hAnsi="仿宋" w:eastAsia="仿宋" w:cs="仿宋"/>
          <w:b/>
          <w:bCs/>
          <w:sz w:val="24"/>
          <w:szCs w:val="24"/>
          <w:lang w:val="en-US" w:eastAsia="zh-CN"/>
        </w:rPr>
        <w:t>三、</w:t>
      </w:r>
      <w:r>
        <w:rPr>
          <w:rFonts w:hint="eastAsia" w:ascii="仿宋" w:hAnsi="仿宋" w:eastAsia="仿宋" w:cs="仿宋"/>
          <w:b/>
          <w:bCs/>
          <w:sz w:val="24"/>
          <w:szCs w:val="24"/>
        </w:rPr>
        <w:t>债务人负债情况</w:t>
      </w:r>
    </w:p>
    <w:p w14:paraId="44189B5B">
      <w:pPr>
        <w:spacing w:before="93" w:beforeLines="30" w:after="93" w:afterLines="30" w:line="500" w:lineRule="exact"/>
        <w:ind w:firstLine="480"/>
        <w:rPr>
          <w:rFonts w:ascii="仿宋" w:hAnsi="仿宋" w:eastAsia="仿宋" w:cs="仿宋"/>
          <w:sz w:val="24"/>
          <w:szCs w:val="24"/>
        </w:rPr>
      </w:pPr>
      <w:r>
        <w:rPr>
          <w:rFonts w:hint="eastAsia" w:ascii="仿宋" w:hAnsi="仿宋" w:eastAsia="仿宋" w:cs="仿宋"/>
          <w:sz w:val="24"/>
          <w:szCs w:val="24"/>
        </w:rPr>
        <w:t>新松机器人项目面临严重的债务问题，</w:t>
      </w:r>
      <w:r>
        <w:rPr>
          <w:rFonts w:hint="eastAsia" w:ascii="仿宋" w:hAnsi="仿宋" w:eastAsia="仿宋" w:cs="仿宋"/>
          <w:sz w:val="24"/>
          <w:szCs w:val="24"/>
          <w:lang w:val="en-US" w:eastAsia="zh-CN" w:bidi="ar"/>
        </w:rPr>
        <w:t>申报总债务额达到806,826,913.48元。截至2025年11月底，管理人经初步核查确认债权666282798.96元，包括：1.优先债权135,858,011.7元，其中：职工债权438,281.03元，抵押债权95,446,062.75元，税收债权574,140.93元，工程款优先39,399,526.99元。2.普通债权530424787.26元。</w:t>
      </w:r>
    </w:p>
    <w:p w14:paraId="79B1FCA0">
      <w:pPr>
        <w:numPr>
          <w:ilvl w:val="-1"/>
          <w:numId w:val="0"/>
        </w:numPr>
        <w:spacing w:before="93" w:beforeLines="30" w:after="93" w:afterLines="30" w:line="500" w:lineRule="exact"/>
        <w:rPr>
          <w:rFonts w:ascii="仿宋" w:hAnsi="仿宋" w:eastAsia="仿宋" w:cs="仿宋"/>
          <w:b/>
          <w:bCs/>
          <w:sz w:val="24"/>
          <w:szCs w:val="24"/>
        </w:rPr>
      </w:pPr>
      <w:r>
        <w:rPr>
          <w:rFonts w:hint="eastAsia" w:ascii="仿宋" w:hAnsi="仿宋" w:eastAsia="仿宋" w:cs="仿宋"/>
          <w:b/>
          <w:bCs/>
          <w:sz w:val="24"/>
          <w:szCs w:val="24"/>
          <w:lang w:val="en-US" w:eastAsia="zh-CN"/>
        </w:rPr>
        <w:t>四、</w:t>
      </w:r>
      <w:r>
        <w:rPr>
          <w:rFonts w:hint="eastAsia" w:ascii="仿宋" w:hAnsi="仿宋" w:eastAsia="仿宋" w:cs="仿宋"/>
          <w:b/>
          <w:bCs/>
          <w:sz w:val="24"/>
          <w:szCs w:val="24"/>
        </w:rPr>
        <w:t>投资人招募方案</w:t>
      </w:r>
    </w:p>
    <w:p w14:paraId="1CC8A3FD">
      <w:pPr>
        <w:spacing w:before="93" w:beforeLines="30" w:after="93" w:afterLines="30" w:line="500" w:lineRule="exact"/>
        <w:ind w:left="465"/>
        <w:rPr>
          <w:rFonts w:hint="eastAsia" w:ascii="仿宋" w:hAnsi="仿宋" w:eastAsia="仿宋" w:cs="仿宋"/>
          <w:b/>
          <w:bCs/>
          <w:sz w:val="24"/>
          <w:szCs w:val="24"/>
        </w:rPr>
      </w:pPr>
      <w:r>
        <w:rPr>
          <w:rFonts w:hint="eastAsia" w:ascii="仿宋" w:hAnsi="仿宋" w:eastAsia="仿宋" w:cs="仿宋"/>
          <w:b/>
          <w:bCs/>
          <w:sz w:val="24"/>
          <w:szCs w:val="24"/>
        </w:rPr>
        <w:t>（一）重整投资人基本要求</w:t>
      </w:r>
    </w:p>
    <w:p w14:paraId="1A6A8BC8">
      <w:pPr>
        <w:keepNext w:val="0"/>
        <w:keepLines w:val="0"/>
        <w:pageBreakBefore w:val="0"/>
        <w:widowControl w:val="0"/>
        <w:numPr>
          <w:ilvl w:val="0"/>
          <w:numId w:val="2"/>
        </w:numPr>
        <w:kinsoku/>
        <w:wordWrap/>
        <w:overflowPunct/>
        <w:topLinePunct w:val="0"/>
        <w:autoSpaceDE/>
        <w:autoSpaceDN/>
        <w:bidi w:val="0"/>
        <w:adjustRightInd/>
        <w:snapToGrid/>
        <w:spacing w:line="500" w:lineRule="exact"/>
        <w:ind w:firstLine="480" w:firstLineChars="200"/>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重整投资人应当是依照中华人民共和国法律设立并有效存续的企业法人或非法人组织，且应具有良好的商业信誉，同时近三年无重大违法行为，未被列入失信被执行人名单。</w:t>
      </w:r>
    </w:p>
    <w:p w14:paraId="5DC55C2E">
      <w:pPr>
        <w:keepNext w:val="0"/>
        <w:keepLines w:val="0"/>
        <w:pageBreakBefore w:val="0"/>
        <w:widowControl w:val="0"/>
        <w:numPr>
          <w:ilvl w:val="0"/>
          <w:numId w:val="2"/>
        </w:numPr>
        <w:kinsoku/>
        <w:wordWrap/>
        <w:overflowPunct/>
        <w:topLinePunct w:val="0"/>
        <w:autoSpaceDE/>
        <w:autoSpaceDN/>
        <w:bidi w:val="0"/>
        <w:adjustRightInd/>
        <w:snapToGrid/>
        <w:spacing w:line="500" w:lineRule="exact"/>
        <w:ind w:firstLine="480" w:firstLineChars="200"/>
        <w:textAlignment w:val="auto"/>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投资人或出资人应保证其资金来源合法合规。</w:t>
      </w:r>
    </w:p>
    <w:p w14:paraId="3BD3A954">
      <w:pPr>
        <w:keepNext w:val="0"/>
        <w:keepLines w:val="0"/>
        <w:pageBreakBefore w:val="0"/>
        <w:widowControl w:val="0"/>
        <w:numPr>
          <w:ilvl w:val="0"/>
          <w:numId w:val="2"/>
        </w:numPr>
        <w:kinsoku/>
        <w:wordWrap/>
        <w:overflowPunct/>
        <w:topLinePunct w:val="0"/>
        <w:autoSpaceDE/>
        <w:autoSpaceDN/>
        <w:bidi w:val="0"/>
        <w:adjustRightInd/>
        <w:snapToGrid/>
        <w:spacing w:line="500" w:lineRule="exact"/>
        <w:ind w:firstLine="480" w:firstLineChars="200"/>
        <w:textAlignment w:val="auto"/>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本次招募投资人不限行业。</w:t>
      </w:r>
      <w:r>
        <w:rPr>
          <w:rFonts w:hint="default" w:ascii="仿宋" w:hAnsi="仿宋" w:eastAsia="仿宋" w:cs="仿宋"/>
          <w:sz w:val="24"/>
          <w:szCs w:val="24"/>
          <w:lang w:val="en-US" w:eastAsia="zh-CN"/>
        </w:rPr>
        <w:t>为保证</w:t>
      </w:r>
      <w:r>
        <w:rPr>
          <w:rFonts w:hint="eastAsia" w:ascii="仿宋" w:hAnsi="仿宋" w:eastAsia="仿宋" w:cs="仿宋"/>
          <w:sz w:val="24"/>
          <w:szCs w:val="24"/>
          <w:lang w:val="en-US" w:eastAsia="zh-CN"/>
        </w:rPr>
        <w:t>重整后的</w:t>
      </w:r>
      <w:r>
        <w:rPr>
          <w:rFonts w:hint="default" w:ascii="仿宋" w:hAnsi="仿宋" w:eastAsia="仿宋" w:cs="仿宋"/>
          <w:sz w:val="24"/>
          <w:szCs w:val="24"/>
          <w:lang w:val="en-US" w:eastAsia="zh-CN"/>
        </w:rPr>
        <w:t>经营，能够为公司提供</w:t>
      </w:r>
      <w:r>
        <w:rPr>
          <w:rFonts w:hint="eastAsia" w:ascii="仿宋" w:hAnsi="仿宋" w:eastAsia="仿宋" w:cs="仿宋"/>
          <w:sz w:val="24"/>
          <w:szCs w:val="24"/>
          <w:lang w:val="en-US" w:eastAsia="zh-CN"/>
        </w:rPr>
        <w:t>资金、资质、渠道、品牌支持</w:t>
      </w:r>
      <w:r>
        <w:rPr>
          <w:rFonts w:hint="default" w:ascii="仿宋" w:hAnsi="仿宋" w:eastAsia="仿宋" w:cs="仿宋"/>
          <w:sz w:val="24"/>
          <w:szCs w:val="24"/>
          <w:lang w:val="en-US" w:eastAsia="zh-CN"/>
        </w:rPr>
        <w:t>的重整投资人在同等条件下优先考虑。</w:t>
      </w:r>
    </w:p>
    <w:p w14:paraId="00107443">
      <w:pPr>
        <w:keepNext w:val="0"/>
        <w:keepLines w:val="0"/>
        <w:pageBreakBefore w:val="0"/>
        <w:widowControl w:val="0"/>
        <w:numPr>
          <w:ilvl w:val="0"/>
          <w:numId w:val="2"/>
        </w:numPr>
        <w:kinsoku/>
        <w:wordWrap/>
        <w:overflowPunct/>
        <w:topLinePunct w:val="0"/>
        <w:autoSpaceDE/>
        <w:autoSpaceDN/>
        <w:bidi w:val="0"/>
        <w:adjustRightInd/>
        <w:snapToGrid/>
        <w:spacing w:line="500" w:lineRule="exact"/>
        <w:ind w:firstLine="480" w:firstLineChars="200"/>
        <w:textAlignment w:val="auto"/>
        <w:rPr>
          <w:rFonts w:hint="default" w:ascii="仿宋" w:hAnsi="仿宋" w:eastAsia="仿宋" w:cs="仿宋"/>
          <w:sz w:val="24"/>
          <w:szCs w:val="24"/>
          <w:lang w:val="en-US" w:eastAsia="zh-CN"/>
        </w:rPr>
      </w:pPr>
      <w:r>
        <w:rPr>
          <w:rFonts w:hint="default" w:ascii="仿宋" w:hAnsi="仿宋" w:eastAsia="仿宋" w:cs="仿宋"/>
          <w:sz w:val="24"/>
          <w:szCs w:val="24"/>
          <w:lang w:val="en-US" w:eastAsia="zh-CN"/>
        </w:rPr>
        <w:t>管理人根据重整工作需要认为应符合的其他条件。</w:t>
      </w:r>
    </w:p>
    <w:p w14:paraId="3C9AA71C">
      <w:pPr>
        <w:keepNext w:val="0"/>
        <w:keepLines w:val="0"/>
        <w:pageBreakBefore w:val="0"/>
        <w:widowControl w:val="0"/>
        <w:numPr>
          <w:ilvl w:val="0"/>
          <w:numId w:val="2"/>
        </w:numPr>
        <w:kinsoku/>
        <w:wordWrap/>
        <w:overflowPunct/>
        <w:topLinePunct w:val="0"/>
        <w:autoSpaceDE/>
        <w:autoSpaceDN/>
        <w:bidi w:val="0"/>
        <w:adjustRightInd/>
        <w:snapToGrid/>
        <w:spacing w:line="500" w:lineRule="exact"/>
        <w:ind w:firstLine="480" w:firstLineChars="200"/>
        <w:textAlignment w:val="auto"/>
        <w:rPr>
          <w:rFonts w:hint="default" w:ascii="仿宋" w:hAnsi="仿宋" w:eastAsia="仿宋" w:cs="仿宋"/>
          <w:sz w:val="24"/>
          <w:szCs w:val="24"/>
          <w:lang w:val="en-US" w:eastAsia="zh-CN"/>
        </w:rPr>
      </w:pPr>
      <w:r>
        <w:rPr>
          <w:rFonts w:hint="default" w:ascii="仿宋" w:hAnsi="仿宋" w:eastAsia="仿宋" w:cs="仿宋"/>
          <w:sz w:val="24"/>
          <w:szCs w:val="24"/>
          <w:lang w:val="en-US" w:eastAsia="zh-CN"/>
        </w:rPr>
        <w:t>投资人可以根据本项目需求设立特殊目的载体，专项投资本项目。两个或两个以上的投资人联合参与投资的，全部投资人应符合上述第1条要求，至少有一个投资人应符合上述第</w:t>
      </w:r>
      <w:r>
        <w:rPr>
          <w:rFonts w:hint="eastAsia" w:ascii="仿宋" w:hAnsi="仿宋" w:eastAsia="仿宋" w:cs="仿宋"/>
          <w:sz w:val="24"/>
          <w:szCs w:val="24"/>
          <w:lang w:val="en-US" w:eastAsia="zh-CN"/>
        </w:rPr>
        <w:t>4</w:t>
      </w:r>
      <w:r>
        <w:rPr>
          <w:rFonts w:hint="default" w:ascii="仿宋" w:hAnsi="仿宋" w:eastAsia="仿宋" w:cs="仿宋"/>
          <w:sz w:val="24"/>
          <w:szCs w:val="24"/>
          <w:lang w:val="en-US" w:eastAsia="zh-CN"/>
        </w:rPr>
        <w:t>条要求；联合投资体中至少有一个投资人应具备公司后续运营管理能力。</w:t>
      </w:r>
    </w:p>
    <w:p w14:paraId="7CF75EA5">
      <w:pPr>
        <w:keepNext w:val="0"/>
        <w:keepLines w:val="0"/>
        <w:pageBreakBefore w:val="0"/>
        <w:widowControl w:val="0"/>
        <w:numPr>
          <w:ilvl w:val="0"/>
          <w:numId w:val="2"/>
        </w:numPr>
        <w:kinsoku/>
        <w:wordWrap/>
        <w:overflowPunct/>
        <w:topLinePunct w:val="0"/>
        <w:autoSpaceDE/>
        <w:autoSpaceDN/>
        <w:bidi w:val="0"/>
        <w:adjustRightInd/>
        <w:snapToGrid/>
        <w:spacing w:line="500" w:lineRule="exact"/>
        <w:ind w:firstLine="480" w:firstLineChars="200"/>
        <w:textAlignment w:val="auto"/>
        <w:rPr>
          <w:rFonts w:hint="default" w:ascii="仿宋" w:hAnsi="仿宋" w:eastAsia="仿宋" w:cs="仿宋"/>
          <w:sz w:val="24"/>
          <w:szCs w:val="24"/>
          <w:lang w:val="en-US" w:eastAsia="zh-CN"/>
        </w:rPr>
      </w:pPr>
      <w:r>
        <w:rPr>
          <w:rFonts w:hint="default" w:ascii="仿宋" w:hAnsi="仿宋" w:eastAsia="仿宋" w:cs="仿宋"/>
          <w:sz w:val="24"/>
          <w:szCs w:val="24"/>
          <w:lang w:val="en-US" w:eastAsia="zh-CN"/>
        </w:rPr>
        <w:t>投资人不符合上述第1条、第2条要求的，或投资人及/或其控股股东、实际控制人财务状况或信用记录不良的，管理人有权认定其不具有投资人资格。</w:t>
      </w:r>
    </w:p>
    <w:p w14:paraId="78463677">
      <w:pPr>
        <w:numPr>
          <w:ilvl w:val="0"/>
          <w:numId w:val="0"/>
        </w:numPr>
        <w:spacing w:line="500" w:lineRule="exact"/>
        <w:ind w:firstLine="482" w:firstLineChars="200"/>
        <w:rPr>
          <w:rFonts w:hint="default" w:ascii="仿宋" w:hAnsi="仿宋" w:eastAsia="仿宋" w:cs="仿宋"/>
          <w:b/>
          <w:bCs/>
          <w:sz w:val="24"/>
          <w:szCs w:val="24"/>
          <w:lang w:val="en-US" w:eastAsia="zh-CN"/>
        </w:rPr>
      </w:pPr>
      <w:r>
        <w:rPr>
          <w:rFonts w:hint="default" w:ascii="仿宋" w:hAnsi="仿宋" w:eastAsia="仿宋" w:cs="仿宋"/>
          <w:b/>
          <w:bCs/>
          <w:sz w:val="24"/>
          <w:szCs w:val="24"/>
          <w:lang w:val="en-US" w:eastAsia="zh-CN"/>
        </w:rPr>
        <w:t>（二）意向投资人报名时需提交的资料</w:t>
      </w:r>
    </w:p>
    <w:p w14:paraId="0CDF4898">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480" w:firstLineChars="200"/>
        <w:textAlignment w:val="auto"/>
        <w:rPr>
          <w:rFonts w:hint="default" w:ascii="仿宋" w:hAnsi="仿宋" w:eastAsia="仿宋" w:cs="仿宋"/>
          <w:sz w:val="24"/>
          <w:szCs w:val="24"/>
          <w:lang w:val="en-US" w:eastAsia="zh-CN"/>
        </w:rPr>
      </w:pPr>
      <w:r>
        <w:rPr>
          <w:rFonts w:hint="default" w:ascii="仿宋" w:hAnsi="仿宋" w:eastAsia="仿宋" w:cs="仿宋"/>
          <w:sz w:val="24"/>
          <w:szCs w:val="24"/>
          <w:lang w:val="en-US" w:eastAsia="zh-CN"/>
        </w:rPr>
        <w:t>1、投资意向书（详见附件1）。</w:t>
      </w:r>
    </w:p>
    <w:p w14:paraId="450AAB92">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480" w:firstLineChars="200"/>
        <w:textAlignment w:val="auto"/>
        <w:rPr>
          <w:rFonts w:hint="default" w:ascii="仿宋" w:hAnsi="仿宋" w:eastAsia="仿宋" w:cs="仿宋"/>
          <w:sz w:val="24"/>
          <w:szCs w:val="24"/>
          <w:lang w:val="en-US" w:eastAsia="zh-CN"/>
        </w:rPr>
      </w:pPr>
      <w:r>
        <w:rPr>
          <w:rFonts w:hint="default" w:ascii="仿宋" w:hAnsi="仿宋" w:eastAsia="仿宋" w:cs="仿宋"/>
          <w:sz w:val="24"/>
          <w:szCs w:val="24"/>
          <w:lang w:val="en-US" w:eastAsia="zh-CN"/>
        </w:rPr>
        <w:t>2、身份证明材料（企业法人营业执照副本复印件或其他身份证明材料）。</w:t>
      </w:r>
    </w:p>
    <w:p w14:paraId="3DD64B43">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480" w:firstLineChars="200"/>
        <w:textAlignment w:val="auto"/>
        <w:rPr>
          <w:rFonts w:hint="default" w:ascii="仿宋" w:hAnsi="仿宋" w:eastAsia="仿宋" w:cs="仿宋"/>
          <w:sz w:val="24"/>
          <w:szCs w:val="24"/>
          <w:lang w:val="en-US" w:eastAsia="zh-CN"/>
        </w:rPr>
      </w:pPr>
      <w:r>
        <w:rPr>
          <w:rFonts w:hint="default" w:ascii="仿宋" w:hAnsi="仿宋" w:eastAsia="仿宋" w:cs="仿宋"/>
          <w:sz w:val="24"/>
          <w:szCs w:val="24"/>
          <w:lang w:val="en-US" w:eastAsia="zh-CN"/>
        </w:rPr>
        <w:t>3、投资人简介（含股权结构、资产负债等信息）。</w:t>
      </w:r>
    </w:p>
    <w:p w14:paraId="3192B62F">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480" w:firstLineChars="200"/>
        <w:textAlignment w:val="auto"/>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4</w:t>
      </w:r>
      <w:r>
        <w:rPr>
          <w:rFonts w:hint="default" w:ascii="仿宋" w:hAnsi="仿宋" w:eastAsia="仿宋" w:cs="仿宋"/>
          <w:sz w:val="24"/>
          <w:szCs w:val="24"/>
          <w:lang w:val="en-US" w:eastAsia="zh-CN"/>
        </w:rPr>
        <w:t>、其他管理人认为应当提供的资料。</w:t>
      </w:r>
    </w:p>
    <w:p w14:paraId="4AC768D3">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480" w:firstLineChars="200"/>
        <w:textAlignment w:val="auto"/>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5、</w:t>
      </w:r>
      <w:r>
        <w:rPr>
          <w:rFonts w:hint="default" w:ascii="仿宋" w:hAnsi="仿宋" w:eastAsia="仿宋" w:cs="仿宋"/>
          <w:sz w:val="24"/>
          <w:szCs w:val="24"/>
          <w:lang w:val="en-US" w:eastAsia="zh-CN"/>
        </w:rPr>
        <w:t>上述报名材料每份均应加盖意向重整投资人公章和骑缝章。意向重整投资人未按本公告要求提交完整报名材料的，管理人有权不予接收。</w:t>
      </w:r>
      <w:r>
        <w:rPr>
          <w:rFonts w:hint="eastAsia" w:ascii="仿宋" w:hAnsi="仿宋" w:eastAsia="仿宋" w:cs="仿宋"/>
          <w:sz w:val="24"/>
          <w:szCs w:val="24"/>
          <w:lang w:val="en-US" w:eastAsia="zh-CN"/>
        </w:rPr>
        <w:t>意向</w:t>
      </w:r>
      <w:r>
        <w:rPr>
          <w:rFonts w:hint="default" w:ascii="仿宋" w:hAnsi="仿宋" w:eastAsia="仿宋" w:cs="仿宋"/>
          <w:sz w:val="24"/>
          <w:szCs w:val="24"/>
          <w:lang w:val="en-US" w:eastAsia="zh-CN"/>
        </w:rPr>
        <w:t>重整投资人应确保提交的报名材料和相关信息真实准确，不得提供虚假材料。意向重整投资人报名参与遴选的，视为已经获得内部有权机关的决策批准。意向重整投资人提交的报名材料存在虚假情况，导致重整失败的，管理人有权取消其参与投资资格并依法追究其对重整工作造成的实际损失责任。</w:t>
      </w:r>
    </w:p>
    <w:p w14:paraId="5393153E">
      <w:pPr>
        <w:numPr>
          <w:ilvl w:val="0"/>
          <w:numId w:val="0"/>
        </w:numPr>
        <w:spacing w:line="500" w:lineRule="exact"/>
        <w:ind w:firstLine="482" w:firstLineChars="200"/>
        <w:rPr>
          <w:rFonts w:hint="default" w:ascii="仿宋" w:hAnsi="仿宋" w:eastAsia="仿宋" w:cs="仿宋"/>
          <w:b/>
          <w:bCs/>
          <w:sz w:val="24"/>
          <w:szCs w:val="24"/>
          <w:lang w:val="en-US" w:eastAsia="zh-CN"/>
        </w:rPr>
      </w:pPr>
      <w:r>
        <w:rPr>
          <w:rFonts w:hint="default" w:ascii="仿宋" w:hAnsi="仿宋" w:eastAsia="仿宋" w:cs="仿宋"/>
          <w:b/>
          <w:bCs/>
          <w:sz w:val="24"/>
          <w:szCs w:val="24"/>
          <w:lang w:val="en-US" w:eastAsia="zh-CN"/>
        </w:rPr>
        <w:t>（三）招募流程</w:t>
      </w:r>
    </w:p>
    <w:p w14:paraId="52CB2B63">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480" w:firstLineChars="200"/>
        <w:textAlignment w:val="auto"/>
        <w:rPr>
          <w:rFonts w:hint="default" w:ascii="仿宋" w:hAnsi="仿宋" w:eastAsia="仿宋" w:cs="仿宋"/>
          <w:sz w:val="24"/>
          <w:szCs w:val="24"/>
          <w:lang w:val="en-US" w:eastAsia="zh-CN"/>
        </w:rPr>
      </w:pPr>
      <w:r>
        <w:rPr>
          <w:rFonts w:hint="default" w:ascii="仿宋" w:hAnsi="仿宋" w:eastAsia="仿宋" w:cs="仿宋"/>
          <w:sz w:val="24"/>
          <w:szCs w:val="24"/>
          <w:lang w:val="en-US" w:eastAsia="zh-CN"/>
        </w:rPr>
        <w:t>1、报名阶段</w:t>
      </w:r>
    </w:p>
    <w:p w14:paraId="230F90D1">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480" w:firstLineChars="200"/>
        <w:textAlignment w:val="auto"/>
        <w:rPr>
          <w:rFonts w:hint="default" w:ascii="仿宋" w:hAnsi="仿宋" w:eastAsia="仿宋" w:cs="仿宋"/>
          <w:sz w:val="24"/>
          <w:szCs w:val="24"/>
          <w:lang w:val="en-US" w:eastAsia="zh-CN"/>
        </w:rPr>
      </w:pPr>
      <w:r>
        <w:rPr>
          <w:rFonts w:hint="default" w:ascii="仿宋" w:hAnsi="仿宋" w:eastAsia="仿宋" w:cs="仿宋"/>
          <w:sz w:val="24"/>
          <w:szCs w:val="24"/>
          <w:lang w:val="en-US" w:eastAsia="zh-CN"/>
        </w:rPr>
        <w:t>管理人在全国企业破产重整案件信息网等媒介平台发布《招募公告》，意向</w:t>
      </w:r>
      <w:r>
        <w:rPr>
          <w:rFonts w:hint="eastAsia" w:ascii="仿宋" w:hAnsi="仿宋" w:eastAsia="仿宋" w:cs="仿宋"/>
          <w:sz w:val="24"/>
          <w:szCs w:val="24"/>
          <w:lang w:val="en-US" w:eastAsia="zh-CN"/>
        </w:rPr>
        <w:t>重整</w:t>
      </w:r>
      <w:r>
        <w:rPr>
          <w:rFonts w:hint="default" w:ascii="仿宋" w:hAnsi="仿宋" w:eastAsia="仿宋" w:cs="仿宋"/>
          <w:sz w:val="24"/>
          <w:szCs w:val="24"/>
          <w:lang w:val="en-US" w:eastAsia="zh-CN"/>
        </w:rPr>
        <w:t>投资人应在本公告发布之日至202</w:t>
      </w:r>
      <w:r>
        <w:rPr>
          <w:rFonts w:hint="eastAsia" w:ascii="仿宋" w:hAnsi="仿宋" w:eastAsia="仿宋" w:cs="仿宋"/>
          <w:sz w:val="24"/>
          <w:szCs w:val="24"/>
          <w:lang w:val="en-US" w:eastAsia="zh-CN"/>
        </w:rPr>
        <w:t>5</w:t>
      </w:r>
      <w:r>
        <w:rPr>
          <w:rFonts w:hint="default" w:ascii="仿宋" w:hAnsi="仿宋" w:eastAsia="仿宋" w:cs="仿宋"/>
          <w:sz w:val="24"/>
          <w:szCs w:val="24"/>
          <w:lang w:val="en-US" w:eastAsia="zh-CN"/>
        </w:rPr>
        <w:t>年</w:t>
      </w:r>
      <w:r>
        <w:rPr>
          <w:rFonts w:hint="eastAsia" w:ascii="仿宋" w:hAnsi="仿宋" w:eastAsia="仿宋" w:cs="仿宋"/>
          <w:sz w:val="24"/>
          <w:szCs w:val="24"/>
          <w:lang w:val="en-US" w:eastAsia="zh-CN"/>
        </w:rPr>
        <w:t>12</w:t>
      </w:r>
      <w:r>
        <w:rPr>
          <w:rFonts w:hint="default" w:ascii="仿宋" w:hAnsi="仿宋" w:eastAsia="仿宋" w:cs="仿宋"/>
          <w:sz w:val="24"/>
          <w:szCs w:val="24"/>
          <w:lang w:val="en-US" w:eastAsia="zh-CN"/>
        </w:rPr>
        <w:t>月</w:t>
      </w:r>
      <w:r>
        <w:rPr>
          <w:rFonts w:hint="eastAsia" w:ascii="仿宋" w:hAnsi="仿宋" w:eastAsia="仿宋" w:cs="仿宋"/>
          <w:sz w:val="24"/>
          <w:szCs w:val="24"/>
          <w:lang w:val="en-US" w:eastAsia="zh-CN"/>
        </w:rPr>
        <w:t>13</w:t>
      </w:r>
      <w:r>
        <w:rPr>
          <w:rFonts w:hint="default" w:ascii="仿宋" w:hAnsi="仿宋" w:eastAsia="仿宋" w:cs="仿宋"/>
          <w:sz w:val="24"/>
          <w:szCs w:val="24"/>
          <w:lang w:val="en-US" w:eastAsia="zh-CN"/>
        </w:rPr>
        <w:t>日前向管理人提交本公告</w:t>
      </w:r>
      <w:r>
        <w:rPr>
          <w:rFonts w:hint="eastAsia" w:ascii="仿宋" w:hAnsi="仿宋" w:eastAsia="仿宋" w:cs="仿宋"/>
          <w:sz w:val="24"/>
          <w:szCs w:val="24"/>
          <w:lang w:val="en-US" w:eastAsia="zh-CN"/>
        </w:rPr>
        <w:t>第</w:t>
      </w:r>
      <w:r>
        <w:rPr>
          <w:rFonts w:hint="default" w:ascii="仿宋" w:hAnsi="仿宋" w:eastAsia="仿宋" w:cs="仿宋"/>
          <w:sz w:val="24"/>
          <w:szCs w:val="24"/>
          <w:lang w:val="en-US" w:eastAsia="zh-CN"/>
        </w:rPr>
        <w:t>（二）</w:t>
      </w:r>
      <w:r>
        <w:rPr>
          <w:rFonts w:hint="eastAsia" w:ascii="仿宋" w:hAnsi="仿宋" w:eastAsia="仿宋" w:cs="仿宋"/>
          <w:sz w:val="24"/>
          <w:szCs w:val="24"/>
          <w:lang w:val="en-US" w:eastAsia="zh-CN"/>
        </w:rPr>
        <w:t>项</w:t>
      </w:r>
      <w:r>
        <w:rPr>
          <w:rFonts w:hint="default" w:ascii="仿宋" w:hAnsi="仿宋" w:eastAsia="仿宋" w:cs="仿宋"/>
          <w:sz w:val="24"/>
          <w:szCs w:val="24"/>
          <w:lang w:val="en-US" w:eastAsia="zh-CN"/>
        </w:rPr>
        <w:t>所述材料。管理人对意向</w:t>
      </w:r>
      <w:r>
        <w:rPr>
          <w:rFonts w:hint="eastAsia" w:ascii="仿宋" w:hAnsi="仿宋" w:eastAsia="仿宋" w:cs="仿宋"/>
          <w:sz w:val="24"/>
          <w:szCs w:val="24"/>
          <w:lang w:val="en-US" w:eastAsia="zh-CN"/>
        </w:rPr>
        <w:t>重整</w:t>
      </w:r>
      <w:r>
        <w:rPr>
          <w:rFonts w:hint="default" w:ascii="仿宋" w:hAnsi="仿宋" w:eastAsia="仿宋" w:cs="仿宋"/>
          <w:sz w:val="24"/>
          <w:szCs w:val="24"/>
          <w:lang w:val="en-US" w:eastAsia="zh-CN"/>
        </w:rPr>
        <w:t>投资人所提交资料进行形式审查，形式审查通过的，即为通过初步筛选。报名材料通过形式审查的，管理人将以电子邮件形式向意向</w:t>
      </w:r>
      <w:r>
        <w:rPr>
          <w:rFonts w:hint="eastAsia" w:ascii="仿宋" w:hAnsi="仿宋" w:eastAsia="仿宋" w:cs="仿宋"/>
          <w:sz w:val="24"/>
          <w:szCs w:val="24"/>
          <w:lang w:val="en-US" w:eastAsia="zh-CN"/>
        </w:rPr>
        <w:t>重整</w:t>
      </w:r>
      <w:r>
        <w:rPr>
          <w:rFonts w:hint="default" w:ascii="仿宋" w:hAnsi="仿宋" w:eastAsia="仿宋" w:cs="仿宋"/>
          <w:sz w:val="24"/>
          <w:szCs w:val="24"/>
          <w:lang w:val="en-US" w:eastAsia="zh-CN"/>
        </w:rPr>
        <w:t>投资人提交资料</w:t>
      </w:r>
      <w:r>
        <w:rPr>
          <w:rFonts w:hint="eastAsia" w:ascii="仿宋" w:hAnsi="仿宋" w:eastAsia="仿宋" w:cs="仿宋"/>
          <w:sz w:val="24"/>
          <w:szCs w:val="24"/>
          <w:lang w:val="en-US" w:eastAsia="zh-CN"/>
        </w:rPr>
        <w:t>中</w:t>
      </w:r>
      <w:r>
        <w:rPr>
          <w:rFonts w:hint="default" w:ascii="仿宋" w:hAnsi="仿宋" w:eastAsia="仿宋" w:cs="仿宋"/>
          <w:sz w:val="24"/>
          <w:szCs w:val="24"/>
          <w:lang w:val="en-US" w:eastAsia="zh-CN"/>
        </w:rPr>
        <w:t>所确定的电子邮箱地址发送通知，通知其通过初步筛选。意向</w:t>
      </w:r>
      <w:r>
        <w:rPr>
          <w:rFonts w:hint="eastAsia" w:ascii="仿宋" w:hAnsi="仿宋" w:eastAsia="仿宋" w:cs="仿宋"/>
          <w:sz w:val="24"/>
          <w:szCs w:val="24"/>
          <w:lang w:val="en-US" w:eastAsia="zh-CN"/>
        </w:rPr>
        <w:t>重整</w:t>
      </w:r>
      <w:r>
        <w:rPr>
          <w:rFonts w:hint="default" w:ascii="仿宋" w:hAnsi="仿宋" w:eastAsia="仿宋" w:cs="仿宋"/>
          <w:sz w:val="24"/>
          <w:szCs w:val="24"/>
          <w:lang w:val="en-US" w:eastAsia="zh-CN"/>
        </w:rPr>
        <w:t>投资人应当自收到通知之日起3个</w:t>
      </w:r>
      <w:r>
        <w:rPr>
          <w:rFonts w:hint="eastAsia" w:ascii="仿宋" w:hAnsi="仿宋" w:eastAsia="仿宋" w:cs="仿宋"/>
          <w:sz w:val="24"/>
          <w:szCs w:val="24"/>
          <w:lang w:val="en-US" w:eastAsia="zh-CN"/>
        </w:rPr>
        <w:t>工作</w:t>
      </w:r>
      <w:r>
        <w:rPr>
          <w:rFonts w:hint="default" w:ascii="仿宋" w:hAnsi="仿宋" w:eastAsia="仿宋" w:cs="仿宋"/>
          <w:sz w:val="24"/>
          <w:szCs w:val="24"/>
          <w:lang w:val="en-US" w:eastAsia="zh-CN"/>
        </w:rPr>
        <w:t>日内缴纳保证金人民币</w:t>
      </w:r>
      <w:r>
        <w:rPr>
          <w:rFonts w:hint="eastAsia" w:ascii="仿宋" w:hAnsi="仿宋" w:eastAsia="仿宋" w:cs="仿宋"/>
          <w:sz w:val="24"/>
          <w:szCs w:val="24"/>
          <w:highlight w:val="none"/>
          <w:lang w:val="en-US" w:eastAsia="zh-CN"/>
        </w:rPr>
        <w:t>5</w:t>
      </w:r>
      <w:r>
        <w:rPr>
          <w:rFonts w:hint="default" w:ascii="仿宋" w:hAnsi="仿宋" w:eastAsia="仿宋" w:cs="仿宋"/>
          <w:sz w:val="24"/>
          <w:szCs w:val="24"/>
          <w:highlight w:val="none"/>
          <w:lang w:val="en-US" w:eastAsia="zh-CN"/>
        </w:rPr>
        <w:t>00万元</w:t>
      </w:r>
      <w:r>
        <w:rPr>
          <w:rFonts w:hint="default" w:ascii="仿宋" w:hAnsi="仿宋" w:eastAsia="仿宋" w:cs="仿宋"/>
          <w:sz w:val="24"/>
          <w:szCs w:val="24"/>
          <w:lang w:val="en-US" w:eastAsia="zh-CN"/>
        </w:rPr>
        <w:t>至管理人账户</w:t>
      </w:r>
      <w:r>
        <w:rPr>
          <w:rFonts w:hint="eastAsia" w:ascii="仿宋" w:hAnsi="仿宋" w:eastAsia="仿宋" w:cs="仿宋"/>
          <w:sz w:val="24"/>
          <w:szCs w:val="24"/>
          <w:lang w:val="en-US" w:eastAsia="zh-CN"/>
        </w:rPr>
        <w:t>或提供同等金额的银行保函。</w:t>
      </w:r>
      <w:r>
        <w:rPr>
          <w:rFonts w:hint="default" w:ascii="仿宋" w:hAnsi="仿宋" w:eastAsia="仿宋" w:cs="仿宋"/>
          <w:sz w:val="24"/>
          <w:szCs w:val="24"/>
          <w:lang w:val="en-US" w:eastAsia="zh-CN"/>
        </w:rPr>
        <w:t>按时足额支付尽调保证金</w:t>
      </w:r>
      <w:r>
        <w:rPr>
          <w:rFonts w:hint="eastAsia" w:ascii="仿宋" w:hAnsi="仿宋" w:eastAsia="仿宋" w:cs="仿宋"/>
          <w:sz w:val="24"/>
          <w:szCs w:val="24"/>
          <w:lang w:val="en-US" w:eastAsia="zh-CN"/>
        </w:rPr>
        <w:t>或提供符合要求的银行保函</w:t>
      </w:r>
      <w:r>
        <w:rPr>
          <w:rFonts w:hint="default" w:ascii="仿宋" w:hAnsi="仿宋" w:eastAsia="仿宋" w:cs="仿宋"/>
          <w:sz w:val="24"/>
          <w:szCs w:val="24"/>
          <w:lang w:val="en-US" w:eastAsia="zh-CN"/>
        </w:rPr>
        <w:t>的，视为意向</w:t>
      </w:r>
      <w:r>
        <w:rPr>
          <w:rFonts w:hint="eastAsia" w:ascii="仿宋" w:hAnsi="仿宋" w:eastAsia="仿宋" w:cs="仿宋"/>
          <w:sz w:val="24"/>
          <w:szCs w:val="24"/>
          <w:lang w:val="en-US" w:eastAsia="zh-CN"/>
        </w:rPr>
        <w:t>重整</w:t>
      </w:r>
      <w:r>
        <w:rPr>
          <w:rFonts w:hint="default" w:ascii="仿宋" w:hAnsi="仿宋" w:eastAsia="仿宋" w:cs="仿宋"/>
          <w:sz w:val="24"/>
          <w:szCs w:val="24"/>
          <w:lang w:val="en-US" w:eastAsia="zh-CN"/>
        </w:rPr>
        <w:t>投资人取得重整投资人竞选资格；未按时足额支付尽调保证金</w:t>
      </w:r>
      <w:r>
        <w:rPr>
          <w:rFonts w:hint="eastAsia" w:ascii="仿宋" w:hAnsi="仿宋" w:eastAsia="仿宋" w:cs="仿宋"/>
          <w:sz w:val="24"/>
          <w:szCs w:val="24"/>
          <w:lang w:val="en-US" w:eastAsia="zh-CN"/>
        </w:rPr>
        <w:t>或提供符合要求的银行保函</w:t>
      </w:r>
      <w:r>
        <w:rPr>
          <w:rFonts w:hint="default" w:ascii="仿宋" w:hAnsi="仿宋" w:eastAsia="仿宋" w:cs="仿宋"/>
          <w:sz w:val="24"/>
          <w:szCs w:val="24"/>
          <w:lang w:val="en-US" w:eastAsia="zh-CN"/>
        </w:rPr>
        <w:t>的，视为意向</w:t>
      </w:r>
      <w:r>
        <w:rPr>
          <w:rFonts w:hint="eastAsia" w:ascii="仿宋" w:hAnsi="仿宋" w:eastAsia="仿宋" w:cs="仿宋"/>
          <w:sz w:val="24"/>
          <w:szCs w:val="24"/>
          <w:lang w:val="en-US" w:eastAsia="zh-CN"/>
        </w:rPr>
        <w:t>重整</w:t>
      </w:r>
      <w:r>
        <w:rPr>
          <w:rFonts w:hint="default" w:ascii="仿宋" w:hAnsi="仿宋" w:eastAsia="仿宋" w:cs="仿宋"/>
          <w:sz w:val="24"/>
          <w:szCs w:val="24"/>
          <w:lang w:val="en-US" w:eastAsia="zh-CN"/>
        </w:rPr>
        <w:t>投资人放弃重整投资人竞选资格。</w:t>
      </w:r>
    </w:p>
    <w:p w14:paraId="71F0C702">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480" w:firstLineChars="200"/>
        <w:textAlignment w:val="auto"/>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2</w:t>
      </w:r>
      <w:r>
        <w:rPr>
          <w:rFonts w:hint="default" w:ascii="仿宋" w:hAnsi="仿宋" w:eastAsia="仿宋" w:cs="仿宋"/>
          <w:sz w:val="24"/>
          <w:szCs w:val="24"/>
          <w:lang w:val="en-US" w:eastAsia="zh-CN"/>
        </w:rPr>
        <w:t>、意向</w:t>
      </w:r>
      <w:r>
        <w:rPr>
          <w:rFonts w:hint="eastAsia" w:ascii="仿宋" w:hAnsi="仿宋" w:eastAsia="仿宋" w:cs="仿宋"/>
          <w:sz w:val="24"/>
          <w:szCs w:val="24"/>
          <w:lang w:val="en-US" w:eastAsia="zh-CN"/>
        </w:rPr>
        <w:t>重整</w:t>
      </w:r>
      <w:r>
        <w:rPr>
          <w:rFonts w:hint="default" w:ascii="仿宋" w:hAnsi="仿宋" w:eastAsia="仿宋" w:cs="仿宋"/>
          <w:sz w:val="24"/>
          <w:szCs w:val="24"/>
          <w:lang w:val="en-US" w:eastAsia="zh-CN"/>
        </w:rPr>
        <w:t>投资人取得竞选资格的同时，与管理人签订保密协议，之后意向投资人可开展对</w:t>
      </w:r>
      <w:r>
        <w:rPr>
          <w:rFonts w:hint="eastAsia" w:ascii="仿宋" w:hAnsi="仿宋" w:eastAsia="仿宋" w:cs="仿宋"/>
          <w:sz w:val="24"/>
          <w:szCs w:val="24"/>
          <w:lang w:val="en-US" w:eastAsia="zh-CN"/>
        </w:rPr>
        <w:t>债务人</w:t>
      </w:r>
      <w:r>
        <w:rPr>
          <w:rFonts w:hint="default" w:ascii="仿宋" w:hAnsi="仿宋" w:eastAsia="仿宋" w:cs="仿宋"/>
          <w:sz w:val="24"/>
          <w:szCs w:val="24"/>
          <w:lang w:val="en-US" w:eastAsia="zh-CN"/>
        </w:rPr>
        <w:t>的尽职调查，尽职调查时间不超过</w:t>
      </w:r>
      <w:r>
        <w:rPr>
          <w:rFonts w:hint="eastAsia" w:ascii="仿宋" w:hAnsi="仿宋" w:eastAsia="仿宋" w:cs="仿宋"/>
          <w:sz w:val="24"/>
          <w:szCs w:val="24"/>
          <w:lang w:val="en-US" w:eastAsia="zh-CN"/>
        </w:rPr>
        <w:t>7</w:t>
      </w:r>
      <w:r>
        <w:rPr>
          <w:rFonts w:hint="default" w:ascii="仿宋" w:hAnsi="仿宋" w:eastAsia="仿宋" w:cs="仿宋"/>
          <w:sz w:val="24"/>
          <w:szCs w:val="24"/>
          <w:lang w:val="en-US" w:eastAsia="zh-CN"/>
        </w:rPr>
        <w:t>天。意向</w:t>
      </w:r>
      <w:r>
        <w:rPr>
          <w:rFonts w:hint="eastAsia" w:ascii="仿宋" w:hAnsi="仿宋" w:eastAsia="仿宋" w:cs="仿宋"/>
          <w:sz w:val="24"/>
          <w:szCs w:val="24"/>
          <w:lang w:val="en-US" w:eastAsia="zh-CN"/>
        </w:rPr>
        <w:t>重整</w:t>
      </w:r>
      <w:r>
        <w:rPr>
          <w:rFonts w:hint="default" w:ascii="仿宋" w:hAnsi="仿宋" w:eastAsia="仿宋" w:cs="仿宋"/>
          <w:sz w:val="24"/>
          <w:szCs w:val="24"/>
          <w:lang w:val="en-US" w:eastAsia="zh-CN"/>
        </w:rPr>
        <w:t>投资人开展尽职调查所需费用由其自行承担。同时，管理人可对意向</w:t>
      </w:r>
      <w:r>
        <w:rPr>
          <w:rFonts w:hint="eastAsia" w:ascii="仿宋" w:hAnsi="仿宋" w:eastAsia="仿宋" w:cs="仿宋"/>
          <w:sz w:val="24"/>
          <w:szCs w:val="24"/>
          <w:lang w:val="en-US" w:eastAsia="zh-CN"/>
        </w:rPr>
        <w:t>重整</w:t>
      </w:r>
      <w:r>
        <w:rPr>
          <w:rFonts w:hint="default" w:ascii="仿宋" w:hAnsi="仿宋" w:eastAsia="仿宋" w:cs="仿宋"/>
          <w:sz w:val="24"/>
          <w:szCs w:val="24"/>
          <w:lang w:val="en-US" w:eastAsia="zh-CN"/>
        </w:rPr>
        <w:t>投资人就其履约能力进行尽职调查。</w:t>
      </w:r>
    </w:p>
    <w:p w14:paraId="2CB31A5D">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480" w:firstLineChars="200"/>
        <w:textAlignment w:val="auto"/>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3</w:t>
      </w:r>
      <w:r>
        <w:rPr>
          <w:rFonts w:hint="default" w:ascii="仿宋" w:hAnsi="仿宋" w:eastAsia="仿宋" w:cs="仿宋"/>
          <w:sz w:val="24"/>
          <w:szCs w:val="24"/>
          <w:lang w:val="en-US" w:eastAsia="zh-CN"/>
        </w:rPr>
        <w:t>、意向</w:t>
      </w:r>
      <w:r>
        <w:rPr>
          <w:rFonts w:hint="eastAsia" w:ascii="仿宋" w:hAnsi="仿宋" w:eastAsia="仿宋" w:cs="仿宋"/>
          <w:sz w:val="24"/>
          <w:szCs w:val="24"/>
          <w:lang w:val="en-US" w:eastAsia="zh-CN"/>
        </w:rPr>
        <w:t>重整</w:t>
      </w:r>
      <w:r>
        <w:rPr>
          <w:rFonts w:hint="default" w:ascii="仿宋" w:hAnsi="仿宋" w:eastAsia="仿宋" w:cs="仿宋"/>
          <w:sz w:val="24"/>
          <w:szCs w:val="24"/>
          <w:lang w:val="en-US" w:eastAsia="zh-CN"/>
        </w:rPr>
        <w:t>投资人应不晚于202</w:t>
      </w:r>
      <w:r>
        <w:rPr>
          <w:rFonts w:hint="eastAsia" w:ascii="仿宋" w:hAnsi="仿宋" w:eastAsia="仿宋" w:cs="仿宋"/>
          <w:sz w:val="24"/>
          <w:szCs w:val="24"/>
          <w:lang w:val="en-US" w:eastAsia="zh-CN"/>
        </w:rPr>
        <w:t>5</w:t>
      </w:r>
      <w:r>
        <w:rPr>
          <w:rFonts w:hint="default" w:ascii="仿宋" w:hAnsi="仿宋" w:eastAsia="仿宋" w:cs="仿宋"/>
          <w:sz w:val="24"/>
          <w:szCs w:val="24"/>
          <w:lang w:val="en-US" w:eastAsia="zh-CN"/>
        </w:rPr>
        <w:t>年</w:t>
      </w:r>
      <w:r>
        <w:rPr>
          <w:rFonts w:hint="eastAsia" w:ascii="仿宋" w:hAnsi="仿宋" w:eastAsia="仿宋" w:cs="仿宋"/>
          <w:sz w:val="24"/>
          <w:szCs w:val="24"/>
          <w:lang w:val="en-US" w:eastAsia="zh-CN"/>
        </w:rPr>
        <w:t>12</w:t>
      </w:r>
      <w:r>
        <w:rPr>
          <w:rFonts w:hint="default" w:ascii="仿宋" w:hAnsi="仿宋" w:eastAsia="仿宋" w:cs="仿宋"/>
          <w:sz w:val="24"/>
          <w:szCs w:val="24"/>
          <w:lang w:val="en-US" w:eastAsia="zh-CN"/>
        </w:rPr>
        <w:t>月</w:t>
      </w:r>
      <w:r>
        <w:rPr>
          <w:rFonts w:hint="eastAsia" w:ascii="仿宋" w:hAnsi="仿宋" w:eastAsia="仿宋" w:cs="仿宋"/>
          <w:sz w:val="24"/>
          <w:szCs w:val="24"/>
          <w:lang w:val="en-US" w:eastAsia="zh-CN"/>
        </w:rPr>
        <w:t>15</w:t>
      </w:r>
      <w:r>
        <w:rPr>
          <w:rFonts w:hint="default" w:ascii="仿宋" w:hAnsi="仿宋" w:eastAsia="仿宋" w:cs="仿宋"/>
          <w:sz w:val="24"/>
          <w:szCs w:val="24"/>
          <w:lang w:val="en-US" w:eastAsia="zh-CN"/>
        </w:rPr>
        <w:t>日向管理人提交《重整投资方案</w:t>
      </w:r>
      <w:r>
        <w:rPr>
          <w:rFonts w:hint="eastAsia" w:ascii="仿宋" w:hAnsi="仿宋" w:eastAsia="仿宋" w:cs="仿宋"/>
          <w:sz w:val="24"/>
          <w:szCs w:val="24"/>
          <w:lang w:val="en-US" w:eastAsia="zh-CN"/>
        </w:rPr>
        <w:t>（初稿）</w:t>
      </w:r>
      <w:r>
        <w:rPr>
          <w:rFonts w:hint="default" w:ascii="仿宋" w:hAnsi="仿宋" w:eastAsia="仿宋" w:cs="仿宋"/>
          <w:sz w:val="24"/>
          <w:szCs w:val="24"/>
          <w:lang w:val="en-US" w:eastAsia="zh-CN"/>
        </w:rPr>
        <w:t>》。《重整投资方案</w:t>
      </w:r>
      <w:r>
        <w:rPr>
          <w:rFonts w:hint="eastAsia" w:ascii="仿宋" w:hAnsi="仿宋" w:eastAsia="仿宋" w:cs="仿宋"/>
          <w:sz w:val="24"/>
          <w:szCs w:val="24"/>
          <w:lang w:val="en-US" w:eastAsia="zh-CN"/>
        </w:rPr>
        <w:t>（初稿）</w:t>
      </w:r>
      <w:r>
        <w:rPr>
          <w:rFonts w:hint="default" w:ascii="仿宋" w:hAnsi="仿宋" w:eastAsia="仿宋" w:cs="仿宋"/>
          <w:sz w:val="24"/>
          <w:szCs w:val="24"/>
          <w:lang w:val="en-US" w:eastAsia="zh-CN"/>
        </w:rPr>
        <w:t>》内容应包括但不限于：意向</w:t>
      </w:r>
      <w:r>
        <w:rPr>
          <w:rFonts w:hint="eastAsia" w:ascii="仿宋" w:hAnsi="仿宋" w:eastAsia="仿宋" w:cs="仿宋"/>
          <w:sz w:val="24"/>
          <w:szCs w:val="24"/>
          <w:lang w:val="en-US" w:eastAsia="zh-CN"/>
        </w:rPr>
        <w:t>重整</w:t>
      </w:r>
      <w:r>
        <w:rPr>
          <w:rFonts w:hint="default" w:ascii="仿宋" w:hAnsi="仿宋" w:eastAsia="仿宋" w:cs="仿宋"/>
          <w:sz w:val="24"/>
          <w:szCs w:val="24"/>
          <w:lang w:val="en-US" w:eastAsia="zh-CN"/>
        </w:rPr>
        <w:t>投资人的基本情况、资金实力、投资计划、运营团队、团队持股方案、经营方案、债务清偿方案等。</w:t>
      </w:r>
    </w:p>
    <w:p w14:paraId="48744291">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480" w:firstLineChars="200"/>
        <w:textAlignment w:val="auto"/>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4</w:t>
      </w:r>
      <w:r>
        <w:rPr>
          <w:rFonts w:hint="default" w:ascii="仿宋" w:hAnsi="仿宋" w:eastAsia="仿宋" w:cs="仿宋"/>
          <w:sz w:val="24"/>
          <w:szCs w:val="24"/>
          <w:lang w:val="en-US" w:eastAsia="zh-CN"/>
        </w:rPr>
        <w:t>、在</w:t>
      </w:r>
      <w:r>
        <w:rPr>
          <w:rFonts w:hint="eastAsia" w:ascii="仿宋" w:hAnsi="仿宋" w:eastAsia="仿宋" w:cs="仿宋"/>
          <w:sz w:val="24"/>
          <w:szCs w:val="24"/>
          <w:lang w:val="en-US" w:eastAsia="zh-CN"/>
        </w:rPr>
        <w:t>人民</w:t>
      </w:r>
      <w:r>
        <w:rPr>
          <w:rFonts w:hint="default" w:ascii="仿宋" w:hAnsi="仿宋" w:eastAsia="仿宋" w:cs="仿宋"/>
          <w:sz w:val="24"/>
          <w:szCs w:val="24"/>
          <w:lang w:val="en-US" w:eastAsia="zh-CN"/>
        </w:rPr>
        <w:t>法院的主持下，管理人将视情况组织成立重整投资人招募评审委员会（以下简称“评委会”）。评委会对意向</w:t>
      </w:r>
      <w:r>
        <w:rPr>
          <w:rFonts w:hint="eastAsia" w:ascii="仿宋" w:hAnsi="仿宋" w:eastAsia="仿宋" w:cs="仿宋"/>
          <w:sz w:val="24"/>
          <w:szCs w:val="24"/>
          <w:lang w:val="en-US" w:eastAsia="zh-CN"/>
        </w:rPr>
        <w:t>重整</w:t>
      </w:r>
      <w:r>
        <w:rPr>
          <w:rFonts w:hint="default" w:ascii="仿宋" w:hAnsi="仿宋" w:eastAsia="仿宋" w:cs="仿宋"/>
          <w:sz w:val="24"/>
          <w:szCs w:val="24"/>
          <w:lang w:val="en-US" w:eastAsia="zh-CN"/>
        </w:rPr>
        <w:t>投资人（包括联合投资人）递交的《重整投资方案</w:t>
      </w:r>
      <w:r>
        <w:rPr>
          <w:rFonts w:hint="eastAsia" w:ascii="仿宋" w:hAnsi="仿宋" w:eastAsia="仿宋" w:cs="仿宋"/>
          <w:sz w:val="24"/>
          <w:szCs w:val="24"/>
          <w:lang w:val="en-US" w:eastAsia="zh-CN"/>
        </w:rPr>
        <w:t>（初稿）</w:t>
      </w:r>
      <w:r>
        <w:rPr>
          <w:rFonts w:hint="default" w:ascii="仿宋" w:hAnsi="仿宋" w:eastAsia="仿宋" w:cs="仿宋"/>
          <w:sz w:val="24"/>
          <w:szCs w:val="24"/>
          <w:lang w:val="en-US" w:eastAsia="zh-CN"/>
        </w:rPr>
        <w:t>》进行审查，必要时将由评委会召开评审会议。以法院和管理人为领导的评委会将对意向重整方进行遴选并确定重整投资人。</w:t>
      </w:r>
    </w:p>
    <w:p w14:paraId="087A32FF">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480" w:firstLineChars="200"/>
        <w:textAlignment w:val="auto"/>
        <w:rPr>
          <w:rFonts w:hint="default" w:ascii="仿宋" w:hAnsi="仿宋" w:eastAsia="仿宋" w:cs="仿宋"/>
          <w:sz w:val="24"/>
          <w:szCs w:val="24"/>
          <w:lang w:val="en-US" w:eastAsia="zh-CN"/>
        </w:rPr>
      </w:pPr>
      <w:r>
        <w:rPr>
          <w:rFonts w:hint="default" w:ascii="仿宋" w:hAnsi="仿宋" w:eastAsia="仿宋" w:cs="仿宋"/>
          <w:sz w:val="24"/>
          <w:szCs w:val="24"/>
          <w:lang w:val="en-US" w:eastAsia="zh-CN"/>
        </w:rPr>
        <w:t>对于未入选的意向</w:t>
      </w:r>
      <w:r>
        <w:rPr>
          <w:rFonts w:hint="eastAsia" w:ascii="仿宋" w:hAnsi="仿宋" w:eastAsia="仿宋" w:cs="仿宋"/>
          <w:sz w:val="24"/>
          <w:szCs w:val="24"/>
          <w:lang w:val="en-US" w:eastAsia="zh-CN"/>
        </w:rPr>
        <w:t>重整</w:t>
      </w:r>
      <w:r>
        <w:rPr>
          <w:rFonts w:hint="default" w:ascii="仿宋" w:hAnsi="仿宋" w:eastAsia="仿宋" w:cs="仿宋"/>
          <w:sz w:val="24"/>
          <w:szCs w:val="24"/>
          <w:lang w:val="en-US" w:eastAsia="zh-CN"/>
        </w:rPr>
        <w:t>投资人，管理人将在结果公布后10个自然日内无息退还已缴纳的保证金。对于入选的重整投资人，已缴纳的保证金或银行保函将转化为履约保证金或履约保函（不计息），待重整计划草案获得人民法院裁定批准后转为投资款（不计息）。</w:t>
      </w:r>
      <w:r>
        <w:rPr>
          <w:rFonts w:hint="eastAsia" w:ascii="仿宋" w:hAnsi="仿宋" w:eastAsia="仿宋" w:cs="仿宋"/>
          <w:sz w:val="24"/>
          <w:szCs w:val="24"/>
          <w:lang w:val="en-US" w:eastAsia="zh-CN"/>
        </w:rPr>
        <w:t>若</w:t>
      </w:r>
      <w:r>
        <w:rPr>
          <w:rFonts w:hint="default" w:ascii="仿宋" w:hAnsi="仿宋" w:eastAsia="仿宋" w:cs="仿宋"/>
          <w:sz w:val="24"/>
          <w:szCs w:val="24"/>
          <w:lang w:val="en-US" w:eastAsia="zh-CN"/>
        </w:rPr>
        <w:t>重整计划草案</w:t>
      </w:r>
      <w:r>
        <w:rPr>
          <w:rFonts w:hint="eastAsia" w:ascii="仿宋" w:hAnsi="仿宋" w:eastAsia="仿宋" w:cs="仿宋"/>
          <w:sz w:val="24"/>
          <w:szCs w:val="24"/>
          <w:lang w:val="en-US" w:eastAsia="zh-CN"/>
        </w:rPr>
        <w:t>最终未</w:t>
      </w:r>
      <w:r>
        <w:rPr>
          <w:rFonts w:hint="default" w:ascii="仿宋" w:hAnsi="仿宋" w:eastAsia="仿宋" w:cs="仿宋"/>
          <w:sz w:val="24"/>
          <w:szCs w:val="24"/>
          <w:lang w:val="en-US" w:eastAsia="zh-CN"/>
        </w:rPr>
        <w:t>获</w:t>
      </w:r>
      <w:r>
        <w:rPr>
          <w:rFonts w:hint="eastAsia" w:ascii="仿宋" w:hAnsi="仿宋" w:eastAsia="仿宋" w:cs="仿宋"/>
          <w:sz w:val="24"/>
          <w:szCs w:val="24"/>
          <w:lang w:val="en-US" w:eastAsia="zh-CN"/>
        </w:rPr>
        <w:t>人民</w:t>
      </w:r>
      <w:r>
        <w:rPr>
          <w:rFonts w:hint="default" w:ascii="仿宋" w:hAnsi="仿宋" w:eastAsia="仿宋" w:cs="仿宋"/>
          <w:sz w:val="24"/>
          <w:szCs w:val="24"/>
          <w:lang w:val="en-US" w:eastAsia="zh-CN"/>
        </w:rPr>
        <w:t>法院裁定批准</w:t>
      </w:r>
      <w:r>
        <w:rPr>
          <w:rFonts w:hint="eastAsia" w:ascii="仿宋" w:hAnsi="仿宋" w:eastAsia="仿宋" w:cs="仿宋"/>
          <w:sz w:val="24"/>
          <w:szCs w:val="24"/>
          <w:lang w:val="en-US" w:eastAsia="zh-CN"/>
        </w:rPr>
        <w:t>，</w:t>
      </w:r>
      <w:r>
        <w:rPr>
          <w:rFonts w:hint="default" w:ascii="仿宋" w:hAnsi="仿宋" w:eastAsia="仿宋" w:cs="仿宋"/>
          <w:sz w:val="24"/>
          <w:szCs w:val="24"/>
          <w:lang w:val="en-US" w:eastAsia="zh-CN"/>
        </w:rPr>
        <w:t>管理人将在</w:t>
      </w:r>
      <w:r>
        <w:rPr>
          <w:rFonts w:hint="eastAsia" w:ascii="仿宋" w:hAnsi="仿宋" w:eastAsia="仿宋" w:cs="仿宋"/>
          <w:sz w:val="24"/>
          <w:szCs w:val="24"/>
          <w:lang w:val="en-US" w:eastAsia="zh-CN"/>
        </w:rPr>
        <w:t>裁定公布</w:t>
      </w:r>
      <w:r>
        <w:rPr>
          <w:rFonts w:hint="default" w:ascii="仿宋" w:hAnsi="仿宋" w:eastAsia="仿宋" w:cs="仿宋"/>
          <w:sz w:val="24"/>
          <w:szCs w:val="24"/>
          <w:lang w:val="en-US" w:eastAsia="zh-CN"/>
        </w:rPr>
        <w:t>后10个自然日内无息退还已缴纳的保证金。</w:t>
      </w:r>
    </w:p>
    <w:p w14:paraId="01A269F5">
      <w:pPr>
        <w:keepNext w:val="0"/>
        <w:keepLines w:val="0"/>
        <w:pageBreakBefore w:val="0"/>
        <w:widowControl w:val="0"/>
        <w:numPr>
          <w:ilvl w:val="-1"/>
          <w:numId w:val="0"/>
        </w:numPr>
        <w:kinsoku/>
        <w:wordWrap/>
        <w:overflowPunct/>
        <w:topLinePunct w:val="0"/>
        <w:autoSpaceDE/>
        <w:autoSpaceDN/>
        <w:bidi w:val="0"/>
        <w:adjustRightInd/>
        <w:snapToGrid/>
        <w:spacing w:line="500" w:lineRule="exact"/>
        <w:ind w:firstLine="480" w:firstLineChars="200"/>
        <w:textAlignment w:val="auto"/>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5、</w:t>
      </w:r>
      <w:r>
        <w:rPr>
          <w:rFonts w:hint="default" w:ascii="仿宋" w:hAnsi="仿宋" w:eastAsia="仿宋" w:cs="仿宋"/>
          <w:sz w:val="24"/>
          <w:szCs w:val="24"/>
          <w:lang w:val="en-US" w:eastAsia="zh-CN"/>
        </w:rPr>
        <w:t>在</w:t>
      </w:r>
      <w:r>
        <w:rPr>
          <w:rFonts w:hint="eastAsia" w:ascii="仿宋" w:hAnsi="仿宋" w:eastAsia="仿宋" w:cs="仿宋"/>
          <w:sz w:val="24"/>
          <w:szCs w:val="24"/>
          <w:lang w:val="en-US" w:eastAsia="zh-CN"/>
        </w:rPr>
        <w:t>人民</w:t>
      </w:r>
      <w:r>
        <w:rPr>
          <w:rFonts w:hint="default" w:ascii="仿宋" w:hAnsi="仿宋" w:eastAsia="仿宋" w:cs="仿宋"/>
          <w:sz w:val="24"/>
          <w:szCs w:val="24"/>
          <w:lang w:val="en-US" w:eastAsia="zh-CN"/>
        </w:rPr>
        <w:t>法院的指导下，成立招募投资人工作小组，主要工作内容包括但不限于：投资人接待、配合投资人对债务人进行尽职调查，对投资人进行必要调查，准备提交评委会的相关材料。</w:t>
      </w:r>
    </w:p>
    <w:p w14:paraId="46588FEC">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0" w:firstLineChars="0"/>
        <w:textAlignment w:val="auto"/>
        <w:rPr>
          <w:rFonts w:hint="default" w:ascii="仿宋" w:hAnsi="仿宋" w:eastAsia="仿宋" w:cs="仿宋"/>
          <w:b/>
          <w:bCs/>
          <w:sz w:val="24"/>
          <w:szCs w:val="24"/>
          <w:lang w:val="en-US" w:eastAsia="zh-CN"/>
        </w:rPr>
      </w:pPr>
      <w:r>
        <w:rPr>
          <w:rFonts w:hint="eastAsia" w:ascii="仿宋" w:hAnsi="仿宋" w:eastAsia="仿宋" w:cs="仿宋"/>
          <w:b/>
          <w:bCs/>
          <w:sz w:val="24"/>
          <w:szCs w:val="24"/>
          <w:lang w:val="en-US" w:eastAsia="zh-CN"/>
        </w:rPr>
        <w:t>五、特别声明</w:t>
      </w:r>
    </w:p>
    <w:p w14:paraId="55A8E395">
      <w:pPr>
        <w:numPr>
          <w:ilvl w:val="0"/>
          <w:numId w:val="3"/>
        </w:numPr>
        <w:spacing w:before="93" w:beforeLines="30" w:after="93" w:afterLines="30" w:line="500" w:lineRule="exact"/>
        <w:rPr>
          <w:rFonts w:ascii="仿宋" w:hAnsi="仿宋" w:eastAsia="仿宋" w:cs="仿宋"/>
          <w:sz w:val="24"/>
        </w:rPr>
      </w:pPr>
      <w:r>
        <w:rPr>
          <w:rFonts w:hint="eastAsia" w:ascii="仿宋" w:hAnsi="仿宋" w:eastAsia="仿宋" w:cs="仿宋"/>
          <w:sz w:val="24"/>
        </w:rPr>
        <w:t>本方案所列相关数据为管理人阶段性调查、初步审计评估数据，后期会随实际情况变化而发生变化，并非最终数据，仅供重整投资人参考，以最终确认数据为准。</w:t>
      </w:r>
    </w:p>
    <w:p w14:paraId="343905AC">
      <w:pPr>
        <w:numPr>
          <w:ilvl w:val="0"/>
          <w:numId w:val="3"/>
        </w:numPr>
        <w:spacing w:before="93" w:beforeLines="30" w:after="93" w:afterLines="30" w:line="500" w:lineRule="exact"/>
        <w:rPr>
          <w:rFonts w:ascii="仿宋" w:hAnsi="仿宋" w:eastAsia="仿宋" w:cs="仿宋"/>
          <w:sz w:val="24"/>
        </w:rPr>
      </w:pPr>
      <w:r>
        <w:rPr>
          <w:rFonts w:hint="eastAsia" w:ascii="仿宋" w:hAnsi="仿宋" w:eastAsia="仿宋" w:cs="仿宋"/>
          <w:sz w:val="24"/>
        </w:rPr>
        <w:t>本方案内容不构成管理人的任何承诺或保证，不作为投资建议，不构成要约或要约邀请，投资人应以自行尽调结果为投资依据。</w:t>
      </w:r>
    </w:p>
    <w:p w14:paraId="34945D7D">
      <w:pPr>
        <w:numPr>
          <w:ilvl w:val="0"/>
          <w:numId w:val="3"/>
        </w:numPr>
        <w:spacing w:before="93" w:beforeLines="30" w:after="93" w:afterLines="30" w:line="500" w:lineRule="exact"/>
        <w:rPr>
          <w:rFonts w:ascii="仿宋" w:hAnsi="仿宋" w:eastAsia="仿宋" w:cs="仿宋"/>
          <w:sz w:val="24"/>
        </w:rPr>
      </w:pPr>
      <w:r>
        <w:rPr>
          <w:rFonts w:hint="eastAsia" w:ascii="仿宋" w:hAnsi="仿宋" w:eastAsia="仿宋" w:cs="仿宋"/>
          <w:sz w:val="24"/>
        </w:rPr>
        <w:t>工作小组联系方式：联系人：马</w:t>
      </w:r>
      <w:r>
        <w:rPr>
          <w:rFonts w:hint="eastAsia" w:ascii="仿宋" w:hAnsi="仿宋" w:eastAsia="仿宋" w:cs="仿宋"/>
          <w:sz w:val="24"/>
          <w:lang w:val="en-US" w:eastAsia="zh-CN"/>
        </w:rPr>
        <w:t>律师</w:t>
      </w:r>
      <w:r>
        <w:rPr>
          <w:rFonts w:hint="eastAsia" w:ascii="仿宋" w:hAnsi="仿宋" w:eastAsia="仿宋" w:cs="仿宋"/>
          <w:sz w:val="24"/>
        </w:rPr>
        <w:t>，电话：13912262191</w:t>
      </w:r>
    </w:p>
    <w:p w14:paraId="3A685040">
      <w:pPr>
        <w:spacing w:before="93" w:beforeLines="30" w:after="93" w:afterLines="30" w:line="500" w:lineRule="exact"/>
        <w:ind w:left="420"/>
        <w:rPr>
          <w:rFonts w:ascii="仿宋" w:hAnsi="仿宋" w:eastAsia="仿宋" w:cs="仿宋"/>
          <w:sz w:val="24"/>
        </w:rPr>
      </w:pPr>
      <w:r>
        <w:rPr>
          <w:rFonts w:hint="eastAsia" w:ascii="仿宋" w:hAnsi="仿宋" w:eastAsia="仿宋" w:cs="仿宋"/>
          <w:sz w:val="24"/>
        </w:rPr>
        <w:t xml:space="preserve">                               </w:t>
      </w:r>
    </w:p>
    <w:p w14:paraId="1F212B03">
      <w:pPr>
        <w:spacing w:before="93" w:beforeLines="30" w:after="93" w:afterLines="30" w:line="500" w:lineRule="exact"/>
        <w:rPr>
          <w:rFonts w:ascii="仿宋" w:hAnsi="仿宋" w:eastAsia="仿宋" w:cs="仿宋"/>
          <w:sz w:val="24"/>
        </w:rPr>
      </w:pPr>
    </w:p>
    <w:p w14:paraId="7BBE56F5">
      <w:pPr>
        <w:spacing w:before="93" w:beforeLines="30" w:after="93" w:afterLines="30" w:line="500" w:lineRule="exact"/>
        <w:jc w:val="right"/>
        <w:rPr>
          <w:rFonts w:ascii="仿宋" w:hAnsi="仿宋" w:eastAsia="仿宋" w:cs="仿宋"/>
          <w:sz w:val="24"/>
        </w:rPr>
      </w:pPr>
      <w:r>
        <w:rPr>
          <w:rFonts w:hint="eastAsia" w:ascii="仿宋" w:hAnsi="仿宋" w:eastAsia="仿宋" w:cs="仿宋"/>
          <w:sz w:val="24"/>
          <w:lang w:val="en-US" w:eastAsia="zh-CN"/>
        </w:rPr>
        <w:t>新松机器人（南通）有限</w:t>
      </w:r>
      <w:r>
        <w:rPr>
          <w:rFonts w:hint="eastAsia" w:ascii="仿宋" w:hAnsi="仿宋" w:eastAsia="仿宋" w:cs="仿宋"/>
          <w:sz w:val="24"/>
        </w:rPr>
        <w:t>公司管理人</w:t>
      </w:r>
    </w:p>
    <w:p w14:paraId="21384435">
      <w:pPr>
        <w:spacing w:before="93" w:beforeLines="30" w:after="93" w:afterLines="30" w:line="500" w:lineRule="exact"/>
        <w:jc w:val="right"/>
        <w:rPr>
          <w:rFonts w:ascii="仿宋" w:hAnsi="仿宋" w:eastAsia="仿宋" w:cs="仿宋"/>
          <w:sz w:val="24"/>
        </w:rPr>
      </w:pPr>
      <w:r>
        <w:rPr>
          <w:rFonts w:hint="eastAsia" w:ascii="仿宋" w:hAnsi="仿宋" w:eastAsia="仿宋" w:cs="仿宋"/>
          <w:sz w:val="24"/>
        </w:rPr>
        <w:t>202</w:t>
      </w:r>
      <w:r>
        <w:rPr>
          <w:rFonts w:hint="eastAsia" w:ascii="仿宋" w:hAnsi="仿宋" w:eastAsia="仿宋" w:cs="仿宋"/>
          <w:sz w:val="24"/>
          <w:lang w:val="en-US" w:eastAsia="zh-CN"/>
        </w:rPr>
        <w:t>5</w:t>
      </w:r>
      <w:r>
        <w:rPr>
          <w:rFonts w:hint="eastAsia" w:ascii="仿宋" w:hAnsi="仿宋" w:eastAsia="仿宋" w:cs="仿宋"/>
          <w:sz w:val="24"/>
        </w:rPr>
        <w:t>年</w:t>
      </w:r>
      <w:r>
        <w:rPr>
          <w:rFonts w:hint="eastAsia" w:ascii="仿宋" w:hAnsi="仿宋" w:eastAsia="仿宋" w:cs="仿宋"/>
          <w:sz w:val="24"/>
          <w:lang w:val="en-US" w:eastAsia="zh-CN"/>
        </w:rPr>
        <w:t>12</w:t>
      </w:r>
      <w:r>
        <w:rPr>
          <w:rFonts w:hint="eastAsia" w:ascii="仿宋" w:hAnsi="仿宋" w:eastAsia="仿宋" w:cs="仿宋"/>
          <w:sz w:val="24"/>
        </w:rPr>
        <w:t>月</w:t>
      </w:r>
      <w:r>
        <w:rPr>
          <w:rFonts w:hint="eastAsia" w:ascii="仿宋" w:hAnsi="仿宋" w:eastAsia="仿宋" w:cs="仿宋"/>
          <w:sz w:val="24"/>
          <w:lang w:val="en-US" w:eastAsia="zh-CN"/>
        </w:rPr>
        <w:t>4</w:t>
      </w:r>
      <w:bookmarkStart w:id="0" w:name="_GoBack"/>
      <w:bookmarkEnd w:id="0"/>
      <w:r>
        <w:rPr>
          <w:rFonts w:hint="eastAsia" w:ascii="仿宋" w:hAnsi="仿宋" w:eastAsia="仿宋" w:cs="仿宋"/>
          <w:sz w:val="24"/>
        </w:rPr>
        <w:t>日</w:t>
      </w:r>
    </w:p>
    <w:p w14:paraId="209664F5">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0" w:firstLineChars="0"/>
        <w:textAlignment w:val="auto"/>
        <w:rPr>
          <w:rFonts w:hint="default" w:ascii="仿宋" w:hAnsi="仿宋" w:eastAsia="仿宋" w:cs="仿宋"/>
          <w:sz w:val="24"/>
          <w:szCs w:val="24"/>
          <w:lang w:val="en-US" w:eastAsia="zh-CN"/>
        </w:rPr>
        <w:sectPr>
          <w:pgSz w:w="11906" w:h="16838"/>
          <w:pgMar w:top="1440" w:right="1800" w:bottom="1440" w:left="1800" w:header="851" w:footer="992" w:gutter="0"/>
          <w:cols w:space="425" w:num="1"/>
          <w:docGrid w:type="lines" w:linePitch="312" w:charSpace="0"/>
        </w:sectPr>
      </w:pPr>
    </w:p>
    <w:p w14:paraId="3F7D7F00">
      <w:pPr>
        <w:spacing w:before="93" w:beforeLines="30" w:after="93" w:afterLines="30" w:line="360" w:lineRule="exact"/>
        <w:rPr>
          <w:rFonts w:ascii="仿宋" w:hAnsi="仿宋" w:eastAsia="仿宋" w:cs="仿宋"/>
        </w:rPr>
      </w:pPr>
      <w:r>
        <w:rPr>
          <w:rFonts w:hint="eastAsia" w:ascii="仿宋" w:hAnsi="仿宋" w:eastAsia="仿宋" w:cs="仿宋"/>
        </w:rPr>
        <w:t>附件1：</w:t>
      </w:r>
    </w:p>
    <w:p w14:paraId="40CD7339">
      <w:pPr>
        <w:spacing w:before="93" w:beforeLines="30" w:after="93" w:afterLines="30" w:line="360" w:lineRule="exact"/>
        <w:ind w:firstLine="0" w:firstLineChars="0"/>
        <w:jc w:val="center"/>
        <w:rPr>
          <w:rFonts w:hint="default"/>
          <w:b/>
          <w:bCs/>
          <w:sz w:val="32"/>
          <w:szCs w:val="32"/>
          <w:lang w:val="en-US" w:eastAsia="zh-CN"/>
        </w:rPr>
      </w:pPr>
      <w:r>
        <w:rPr>
          <w:rFonts w:hint="default"/>
          <w:b/>
          <w:bCs/>
          <w:sz w:val="32"/>
          <w:szCs w:val="32"/>
          <w:lang w:val="en-US" w:eastAsia="zh-CN"/>
        </w:rPr>
        <w:t>新松机器人（南通）有限公司</w:t>
      </w:r>
    </w:p>
    <w:p w14:paraId="40A5AC23">
      <w:pPr>
        <w:spacing w:before="93" w:beforeLines="30" w:after="93" w:afterLines="30" w:line="360" w:lineRule="exact"/>
        <w:ind w:firstLine="0" w:firstLineChars="0"/>
        <w:jc w:val="center"/>
        <w:rPr>
          <w:rFonts w:hint="eastAsia" w:ascii="Arial" w:hAnsi="Arial" w:eastAsia="黑体" w:cstheme="minorBidi"/>
          <w:b/>
          <w:bCs/>
          <w:sz w:val="32"/>
          <w:szCs w:val="32"/>
        </w:rPr>
      </w:pPr>
      <w:r>
        <w:rPr>
          <w:rFonts w:hint="default"/>
          <w:b/>
          <w:bCs/>
          <w:sz w:val="32"/>
          <w:szCs w:val="32"/>
        </w:rPr>
        <w:t>重整投资人报名意向书</w:t>
      </w:r>
    </w:p>
    <w:tbl>
      <w:tblPr>
        <w:tblStyle w:val="1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1366"/>
        <w:gridCol w:w="7090"/>
      </w:tblGrid>
      <w:tr w14:paraId="0AC261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808" w:type="pct"/>
            <w:shd w:val="clear" w:color="auto" w:fill="auto"/>
            <w:tcMar>
              <w:top w:w="75" w:type="dxa"/>
              <w:left w:w="75" w:type="dxa"/>
              <w:bottom w:w="75" w:type="dxa"/>
              <w:right w:w="75" w:type="dxa"/>
            </w:tcMar>
            <w:vAlign w:val="center"/>
          </w:tcPr>
          <w:p w14:paraId="434158F0">
            <w:pPr>
              <w:rPr>
                <w:rFonts w:ascii="仿宋" w:hAnsi="仿宋" w:eastAsia="仿宋" w:cs="仿宋"/>
                <w:sz w:val="24"/>
              </w:rPr>
            </w:pPr>
            <w:r>
              <w:rPr>
                <w:rFonts w:hint="eastAsia" w:ascii="仿宋" w:hAnsi="仿宋" w:eastAsia="仿宋" w:cs="仿宋"/>
                <w:sz w:val="24"/>
              </w:rPr>
              <w:t>报名主体</w:t>
            </w:r>
          </w:p>
        </w:tc>
        <w:tc>
          <w:tcPr>
            <w:tcW w:w="4192" w:type="pct"/>
            <w:shd w:val="clear" w:color="auto" w:fill="auto"/>
            <w:tcMar>
              <w:top w:w="75" w:type="dxa"/>
              <w:left w:w="75" w:type="dxa"/>
              <w:bottom w:w="75" w:type="dxa"/>
              <w:right w:w="75" w:type="dxa"/>
            </w:tcMar>
            <w:vAlign w:val="center"/>
          </w:tcPr>
          <w:p w14:paraId="5F70D0F7">
            <w:pPr>
              <w:rPr>
                <w:rFonts w:ascii="仿宋" w:hAnsi="仿宋" w:eastAsia="仿宋" w:cs="仿宋"/>
                <w:sz w:val="24"/>
              </w:rPr>
            </w:pPr>
            <w:r>
              <w:rPr>
                <w:rFonts w:hint="eastAsia" w:ascii="仿宋" w:hAnsi="仿宋" w:eastAsia="仿宋" w:cs="仿宋"/>
                <w:sz w:val="24"/>
              </w:rPr>
              <w:t>企业名称：[ ]</w:t>
            </w:r>
          </w:p>
          <w:p w14:paraId="752AB4F2">
            <w:pPr>
              <w:rPr>
                <w:rFonts w:ascii="仿宋" w:hAnsi="仿宋" w:eastAsia="仿宋" w:cs="仿宋"/>
                <w:sz w:val="24"/>
              </w:rPr>
            </w:pPr>
            <w:r>
              <w:rPr>
                <w:rFonts w:hint="eastAsia" w:ascii="仿宋" w:hAnsi="仿宋" w:eastAsia="仿宋" w:cs="仿宋"/>
                <w:sz w:val="24"/>
              </w:rPr>
              <w:t xml:space="preserve">报名形式：□联合体报名（联合体内各成员名称：[ ]） </w:t>
            </w:r>
            <w:r>
              <w:rPr>
                <w:rFonts w:hint="eastAsia" w:ascii="仿宋" w:hAnsi="仿宋" w:eastAsia="仿宋" w:cs="仿宋"/>
                <w:sz w:val="24"/>
                <w:lang w:eastAsia="zh-CN"/>
              </w:rPr>
              <w:t>□</w:t>
            </w:r>
            <w:r>
              <w:rPr>
                <w:rFonts w:hint="eastAsia" w:ascii="仿宋" w:hAnsi="仿宋" w:eastAsia="仿宋" w:cs="仿宋"/>
                <w:sz w:val="24"/>
              </w:rPr>
              <w:t>单体报名</w:t>
            </w:r>
          </w:p>
        </w:tc>
      </w:tr>
      <w:tr w14:paraId="18EF1D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808" w:type="pct"/>
            <w:shd w:val="clear" w:color="auto" w:fill="auto"/>
            <w:tcMar>
              <w:top w:w="75" w:type="dxa"/>
              <w:left w:w="75" w:type="dxa"/>
              <w:bottom w:w="75" w:type="dxa"/>
              <w:right w:w="75" w:type="dxa"/>
            </w:tcMar>
            <w:vAlign w:val="center"/>
          </w:tcPr>
          <w:p w14:paraId="6A7CD072">
            <w:pPr>
              <w:rPr>
                <w:rFonts w:ascii="仿宋" w:hAnsi="仿宋" w:eastAsia="仿宋" w:cs="仿宋"/>
                <w:sz w:val="24"/>
              </w:rPr>
            </w:pPr>
            <w:r>
              <w:rPr>
                <w:rFonts w:hint="eastAsia" w:ascii="仿宋" w:hAnsi="仿宋" w:eastAsia="仿宋" w:cs="仿宋"/>
                <w:sz w:val="24"/>
              </w:rPr>
              <w:t>联系方式</w:t>
            </w:r>
          </w:p>
        </w:tc>
        <w:tc>
          <w:tcPr>
            <w:tcW w:w="4192" w:type="pct"/>
            <w:shd w:val="clear" w:color="auto" w:fill="auto"/>
            <w:tcMar>
              <w:top w:w="75" w:type="dxa"/>
              <w:left w:w="75" w:type="dxa"/>
              <w:bottom w:w="75" w:type="dxa"/>
              <w:right w:w="75" w:type="dxa"/>
            </w:tcMar>
            <w:vAlign w:val="center"/>
          </w:tcPr>
          <w:p w14:paraId="13584DD3">
            <w:pPr>
              <w:rPr>
                <w:rFonts w:ascii="仿宋" w:hAnsi="仿宋" w:eastAsia="仿宋" w:cs="仿宋"/>
                <w:sz w:val="24"/>
              </w:rPr>
            </w:pPr>
            <w:r>
              <w:rPr>
                <w:rFonts w:hint="eastAsia" w:ascii="仿宋" w:hAnsi="仿宋" w:eastAsia="仿宋" w:cs="仿宋"/>
                <w:sz w:val="24"/>
              </w:rPr>
              <w:t>联系人：联系电话：电子邮箱：联系地址：（相关信息、文件发送至上述电话、地址及邮箱的，均视为有效送达）</w:t>
            </w:r>
          </w:p>
        </w:tc>
      </w:tr>
      <w:tr w14:paraId="48528D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808" w:type="pct"/>
            <w:shd w:val="clear" w:color="auto" w:fill="auto"/>
            <w:tcMar>
              <w:top w:w="75" w:type="dxa"/>
              <w:left w:w="75" w:type="dxa"/>
              <w:bottom w:w="75" w:type="dxa"/>
              <w:right w:w="75" w:type="dxa"/>
            </w:tcMar>
            <w:vAlign w:val="center"/>
          </w:tcPr>
          <w:p w14:paraId="66789299">
            <w:pPr>
              <w:rPr>
                <w:rFonts w:ascii="仿宋" w:hAnsi="仿宋" w:eastAsia="仿宋" w:cs="仿宋"/>
                <w:sz w:val="24"/>
              </w:rPr>
            </w:pPr>
            <w:r>
              <w:rPr>
                <w:rFonts w:hint="eastAsia" w:ascii="仿宋" w:hAnsi="仿宋" w:eastAsia="仿宋" w:cs="仿宋"/>
                <w:sz w:val="24"/>
              </w:rPr>
              <w:t>投资意向</w:t>
            </w:r>
          </w:p>
        </w:tc>
        <w:tc>
          <w:tcPr>
            <w:tcW w:w="4192" w:type="pct"/>
            <w:shd w:val="clear" w:color="auto" w:fill="auto"/>
            <w:tcMar>
              <w:top w:w="75" w:type="dxa"/>
              <w:left w:w="75" w:type="dxa"/>
              <w:bottom w:w="75" w:type="dxa"/>
              <w:right w:w="75" w:type="dxa"/>
            </w:tcMar>
            <w:vAlign w:val="center"/>
          </w:tcPr>
          <w:p w14:paraId="70BC9056">
            <w:pPr>
              <w:rPr>
                <w:rFonts w:ascii="仿宋" w:hAnsi="仿宋" w:eastAsia="仿宋" w:cs="仿宋"/>
                <w:sz w:val="24"/>
              </w:rPr>
            </w:pPr>
            <w:r>
              <w:rPr>
                <w:rFonts w:hint="eastAsia" w:ascii="仿宋" w:hAnsi="仿宋" w:eastAsia="仿宋" w:cs="仿宋"/>
                <w:sz w:val="24"/>
              </w:rPr>
              <w:t>本单位已充分知悉并了解《重整投资人招募公告》内容，承诺符合该公告所要求的意向重整投资人报名条件，遵守公告所要求的全部内容。本单位提交的报名材料均真实、合法、有效且不存在重大隐瞒或遗漏，本单位自愿参与</w:t>
            </w:r>
            <w:r>
              <w:rPr>
                <w:rFonts w:hint="eastAsia" w:ascii="仿宋" w:hAnsi="仿宋" w:eastAsia="仿宋" w:cs="仿宋"/>
                <w:sz w:val="24"/>
                <w:lang w:val="en-US" w:eastAsia="zh-CN"/>
              </w:rPr>
              <w:t>新松机器人（南通）有限公司</w:t>
            </w:r>
            <w:r>
              <w:rPr>
                <w:rFonts w:hint="eastAsia" w:ascii="仿宋" w:hAnsi="仿宋" w:eastAsia="仿宋" w:cs="仿宋"/>
                <w:sz w:val="24"/>
              </w:rPr>
              <w:t>重整投资人的公开招募和遴选，已经获得内部有权机关的决策批准。</w:t>
            </w:r>
          </w:p>
        </w:tc>
      </w:tr>
      <w:tr w14:paraId="5698C6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808" w:type="pct"/>
            <w:shd w:val="clear" w:color="auto" w:fill="auto"/>
            <w:tcMar>
              <w:top w:w="75" w:type="dxa"/>
              <w:left w:w="75" w:type="dxa"/>
              <w:bottom w:w="75" w:type="dxa"/>
              <w:right w:w="75" w:type="dxa"/>
            </w:tcMar>
            <w:vAlign w:val="center"/>
          </w:tcPr>
          <w:p w14:paraId="50FD229D">
            <w:pPr>
              <w:rPr>
                <w:rFonts w:ascii="仿宋" w:hAnsi="仿宋" w:eastAsia="仿宋" w:cs="仿宋"/>
                <w:sz w:val="24"/>
              </w:rPr>
            </w:pPr>
            <w:r>
              <w:rPr>
                <w:rFonts w:hint="eastAsia" w:ascii="仿宋" w:hAnsi="仿宋" w:eastAsia="仿宋" w:cs="仿宋"/>
                <w:sz w:val="24"/>
              </w:rPr>
              <w:t>退款账户</w:t>
            </w:r>
          </w:p>
        </w:tc>
        <w:tc>
          <w:tcPr>
            <w:tcW w:w="4192" w:type="pct"/>
            <w:shd w:val="clear" w:color="auto" w:fill="auto"/>
            <w:tcMar>
              <w:top w:w="75" w:type="dxa"/>
              <w:left w:w="75" w:type="dxa"/>
              <w:bottom w:w="75" w:type="dxa"/>
              <w:right w:w="75" w:type="dxa"/>
            </w:tcMar>
            <w:vAlign w:val="center"/>
          </w:tcPr>
          <w:p w14:paraId="6DB872FA">
            <w:pPr>
              <w:rPr>
                <w:rFonts w:ascii="仿宋" w:hAnsi="仿宋" w:eastAsia="仿宋" w:cs="仿宋"/>
                <w:sz w:val="24"/>
              </w:rPr>
            </w:pPr>
            <w:r>
              <w:rPr>
                <w:rFonts w:hint="eastAsia" w:ascii="仿宋" w:hAnsi="仿宋" w:eastAsia="仿宋" w:cs="仿宋"/>
                <w:sz w:val="24"/>
              </w:rPr>
              <w:t>账户名称：[ ]开户行：[ ]账 号：[ ]</w:t>
            </w:r>
          </w:p>
        </w:tc>
      </w:tr>
    </w:tbl>
    <w:p w14:paraId="565BB25E">
      <w:pPr>
        <w:spacing w:before="93" w:beforeLines="30" w:after="93" w:afterLines="30" w:line="360" w:lineRule="exact"/>
        <w:jc w:val="right"/>
        <w:rPr>
          <w:rFonts w:ascii="楷体" w:hAnsi="楷体" w:eastAsia="楷体" w:cs="楷体"/>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CB7B218"/>
    <w:multiLevelType w:val="singleLevel"/>
    <w:tmpl w:val="BCB7B218"/>
    <w:lvl w:ilvl="0" w:tentative="0">
      <w:start w:val="1"/>
      <w:numFmt w:val="decimal"/>
      <w:suff w:val="nothing"/>
      <w:lvlText w:val="%1、"/>
      <w:lvlJc w:val="left"/>
    </w:lvl>
  </w:abstractNum>
  <w:abstractNum w:abstractNumId="1">
    <w:nsid w:val="DD4A8AB3"/>
    <w:multiLevelType w:val="singleLevel"/>
    <w:tmpl w:val="DD4A8AB3"/>
    <w:lvl w:ilvl="0" w:tentative="0">
      <w:start w:val="1"/>
      <w:numFmt w:val="chineseCounting"/>
      <w:suff w:val="nothing"/>
      <w:lvlText w:val="%1、"/>
      <w:lvlJc w:val="left"/>
      <w:rPr>
        <w:rFonts w:hint="eastAsia"/>
      </w:rPr>
    </w:lvl>
  </w:abstractNum>
  <w:abstractNum w:abstractNumId="2">
    <w:nsid w:val="EFE04D2F"/>
    <w:multiLevelType w:val="singleLevel"/>
    <w:tmpl w:val="EFE04D2F"/>
    <w:lvl w:ilvl="0" w:tentative="0">
      <w:start w:val="1"/>
      <w:numFmt w:val="chineseCounting"/>
      <w:suff w:val="nothing"/>
      <w:lvlText w:val="（%1）"/>
      <w:lvlJc w:val="left"/>
      <w:pPr>
        <w:ind w:left="0" w:firstLine="420"/>
      </w:pPr>
      <w:rPr>
        <w:rFonts w:hint="eastAsia"/>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8"/>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DE3ODk2NGZjMGY0MjU5ZTVkZjI0Y2M4MTk3YTRjOGYifQ=="/>
  </w:docVars>
  <w:rsids>
    <w:rsidRoot w:val="71C65859"/>
    <w:rsid w:val="0000079B"/>
    <w:rsid w:val="00005459"/>
    <w:rsid w:val="00011046"/>
    <w:rsid w:val="00072748"/>
    <w:rsid w:val="000B13F2"/>
    <w:rsid w:val="000B3E3F"/>
    <w:rsid w:val="000B41DF"/>
    <w:rsid w:val="000C4A18"/>
    <w:rsid w:val="000F0768"/>
    <w:rsid w:val="001277D8"/>
    <w:rsid w:val="001E659B"/>
    <w:rsid w:val="001F0407"/>
    <w:rsid w:val="0021209C"/>
    <w:rsid w:val="002557A2"/>
    <w:rsid w:val="00256EF7"/>
    <w:rsid w:val="00283634"/>
    <w:rsid w:val="002C3272"/>
    <w:rsid w:val="002F206B"/>
    <w:rsid w:val="00310F1F"/>
    <w:rsid w:val="00322C05"/>
    <w:rsid w:val="00363839"/>
    <w:rsid w:val="00390727"/>
    <w:rsid w:val="00397DA9"/>
    <w:rsid w:val="003A79B5"/>
    <w:rsid w:val="003C6511"/>
    <w:rsid w:val="003D234B"/>
    <w:rsid w:val="003E5534"/>
    <w:rsid w:val="004024ED"/>
    <w:rsid w:val="00477E25"/>
    <w:rsid w:val="004A71AF"/>
    <w:rsid w:val="004B6ACE"/>
    <w:rsid w:val="004E050F"/>
    <w:rsid w:val="004F6128"/>
    <w:rsid w:val="005000A8"/>
    <w:rsid w:val="00510AE5"/>
    <w:rsid w:val="005534EE"/>
    <w:rsid w:val="00577D1A"/>
    <w:rsid w:val="005970A2"/>
    <w:rsid w:val="005C3C10"/>
    <w:rsid w:val="00614A65"/>
    <w:rsid w:val="00646D87"/>
    <w:rsid w:val="00666FDE"/>
    <w:rsid w:val="006678B0"/>
    <w:rsid w:val="006715F6"/>
    <w:rsid w:val="00696085"/>
    <w:rsid w:val="006A2AA6"/>
    <w:rsid w:val="006A7EBB"/>
    <w:rsid w:val="006B40D3"/>
    <w:rsid w:val="006C1A78"/>
    <w:rsid w:val="006C3DB7"/>
    <w:rsid w:val="006E0F59"/>
    <w:rsid w:val="007256C8"/>
    <w:rsid w:val="007458ED"/>
    <w:rsid w:val="0076479A"/>
    <w:rsid w:val="007B6F14"/>
    <w:rsid w:val="007E10BA"/>
    <w:rsid w:val="007F228E"/>
    <w:rsid w:val="007F38AB"/>
    <w:rsid w:val="0082310C"/>
    <w:rsid w:val="00833491"/>
    <w:rsid w:val="008367F1"/>
    <w:rsid w:val="0088338F"/>
    <w:rsid w:val="00886C3D"/>
    <w:rsid w:val="0089304C"/>
    <w:rsid w:val="008F4265"/>
    <w:rsid w:val="00902250"/>
    <w:rsid w:val="0098198B"/>
    <w:rsid w:val="00995813"/>
    <w:rsid w:val="009D3462"/>
    <w:rsid w:val="009F2AF5"/>
    <w:rsid w:val="00A0646E"/>
    <w:rsid w:val="00A44E3F"/>
    <w:rsid w:val="00A81753"/>
    <w:rsid w:val="00A90D1C"/>
    <w:rsid w:val="00AB5708"/>
    <w:rsid w:val="00AD1F38"/>
    <w:rsid w:val="00AE715E"/>
    <w:rsid w:val="00B55F44"/>
    <w:rsid w:val="00B57783"/>
    <w:rsid w:val="00B662CC"/>
    <w:rsid w:val="00B70D1D"/>
    <w:rsid w:val="00B7364A"/>
    <w:rsid w:val="00BB2819"/>
    <w:rsid w:val="00BE4905"/>
    <w:rsid w:val="00BE7166"/>
    <w:rsid w:val="00C26FF5"/>
    <w:rsid w:val="00C4490D"/>
    <w:rsid w:val="00C52DAC"/>
    <w:rsid w:val="00C66324"/>
    <w:rsid w:val="00CA4A33"/>
    <w:rsid w:val="00CA5B41"/>
    <w:rsid w:val="00CA673C"/>
    <w:rsid w:val="00CE0D13"/>
    <w:rsid w:val="00CE25E9"/>
    <w:rsid w:val="00D00BC1"/>
    <w:rsid w:val="00DA5F17"/>
    <w:rsid w:val="00DB34AD"/>
    <w:rsid w:val="00E5357E"/>
    <w:rsid w:val="00E73E69"/>
    <w:rsid w:val="00E77C0E"/>
    <w:rsid w:val="00EB64C3"/>
    <w:rsid w:val="00EF58CD"/>
    <w:rsid w:val="00F06181"/>
    <w:rsid w:val="00F15B4F"/>
    <w:rsid w:val="00F179D2"/>
    <w:rsid w:val="00F41BF5"/>
    <w:rsid w:val="00F45EF3"/>
    <w:rsid w:val="00F90ABB"/>
    <w:rsid w:val="00FA0794"/>
    <w:rsid w:val="00FA493B"/>
    <w:rsid w:val="00FD72E2"/>
    <w:rsid w:val="00FE4121"/>
    <w:rsid w:val="00FF59F0"/>
    <w:rsid w:val="01F14F2D"/>
    <w:rsid w:val="03FC2FB3"/>
    <w:rsid w:val="05425196"/>
    <w:rsid w:val="06E479DB"/>
    <w:rsid w:val="0A931E3B"/>
    <w:rsid w:val="0DBB77E5"/>
    <w:rsid w:val="0F915F9C"/>
    <w:rsid w:val="11C64636"/>
    <w:rsid w:val="14C65C33"/>
    <w:rsid w:val="17A645E5"/>
    <w:rsid w:val="1D944C45"/>
    <w:rsid w:val="205D2DAA"/>
    <w:rsid w:val="2A394E41"/>
    <w:rsid w:val="2C2014D8"/>
    <w:rsid w:val="2F746157"/>
    <w:rsid w:val="30904D3C"/>
    <w:rsid w:val="33280897"/>
    <w:rsid w:val="39D12470"/>
    <w:rsid w:val="3C0B6180"/>
    <w:rsid w:val="41344100"/>
    <w:rsid w:val="440416E2"/>
    <w:rsid w:val="480F5790"/>
    <w:rsid w:val="4AA55978"/>
    <w:rsid w:val="4D606442"/>
    <w:rsid w:val="4F4C0476"/>
    <w:rsid w:val="55B86F34"/>
    <w:rsid w:val="565A4BCF"/>
    <w:rsid w:val="5CF219B1"/>
    <w:rsid w:val="60C73F69"/>
    <w:rsid w:val="628E5DA4"/>
    <w:rsid w:val="63552259"/>
    <w:rsid w:val="639547E9"/>
    <w:rsid w:val="674725BF"/>
    <w:rsid w:val="6C777233"/>
    <w:rsid w:val="6E1119D2"/>
    <w:rsid w:val="704C2DAA"/>
    <w:rsid w:val="711F6708"/>
    <w:rsid w:val="71C65859"/>
    <w:rsid w:val="74560984"/>
    <w:rsid w:val="74CA4688"/>
    <w:rsid w:val="75C85CEE"/>
    <w:rsid w:val="78D529D9"/>
    <w:rsid w:val="7A88164E"/>
    <w:rsid w:val="7ADB35A8"/>
    <w:rsid w:val="7AE971DD"/>
    <w:rsid w:val="7B9774D0"/>
    <w:rsid w:val="7E493B7E"/>
    <w:rsid w:val="7ECA529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qFormat="1"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3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6" w:lineRule="auto"/>
      <w:outlineLvl w:val="0"/>
    </w:pPr>
    <w:rPr>
      <w:b/>
      <w:kern w:val="44"/>
      <w:sz w:val="44"/>
    </w:rPr>
  </w:style>
  <w:style w:type="paragraph" w:styleId="3">
    <w:name w:val="heading 2"/>
    <w:basedOn w:val="1"/>
    <w:next w:val="1"/>
    <w:unhideWhenUsed/>
    <w:qFormat/>
    <w:uiPriority w:val="0"/>
    <w:pPr>
      <w:keepNext/>
      <w:keepLines/>
      <w:spacing w:before="260" w:after="260" w:line="413" w:lineRule="auto"/>
      <w:outlineLvl w:val="1"/>
    </w:pPr>
    <w:rPr>
      <w:rFonts w:ascii="Arial" w:hAnsi="Arial" w:eastAsia="黑体"/>
      <w:b/>
      <w:sz w:val="32"/>
    </w:rPr>
  </w:style>
  <w:style w:type="paragraph" w:styleId="4">
    <w:name w:val="heading 3"/>
    <w:basedOn w:val="1"/>
    <w:next w:val="1"/>
    <w:unhideWhenUsed/>
    <w:qFormat/>
    <w:uiPriority w:val="0"/>
    <w:pPr>
      <w:keepNext/>
      <w:keepLines/>
      <w:spacing w:before="260" w:beforeLines="0" w:beforeAutospacing="0" w:after="260" w:afterLines="0" w:afterAutospacing="0" w:line="413" w:lineRule="auto"/>
      <w:outlineLvl w:val="2"/>
    </w:pPr>
    <w:rPr>
      <w:b/>
      <w:sz w:val="32"/>
    </w:rPr>
  </w:style>
  <w:style w:type="paragraph" w:styleId="5">
    <w:name w:val="heading 4"/>
    <w:basedOn w:val="1"/>
    <w:next w:val="1"/>
    <w:unhideWhenUsed/>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14">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6">
    <w:name w:val="annotation text"/>
    <w:basedOn w:val="1"/>
    <w:link w:val="20"/>
    <w:qFormat/>
    <w:uiPriority w:val="0"/>
    <w:pPr>
      <w:jc w:val="left"/>
    </w:pPr>
  </w:style>
  <w:style w:type="paragraph" w:styleId="7">
    <w:name w:val="footer"/>
    <w:basedOn w:val="1"/>
    <w:link w:val="19"/>
    <w:qFormat/>
    <w:uiPriority w:val="0"/>
    <w:pPr>
      <w:tabs>
        <w:tab w:val="center" w:pos="4153"/>
        <w:tab w:val="right" w:pos="8306"/>
      </w:tabs>
      <w:snapToGrid w:val="0"/>
      <w:jc w:val="left"/>
    </w:pPr>
    <w:rPr>
      <w:sz w:val="18"/>
      <w:szCs w:val="18"/>
    </w:rPr>
  </w:style>
  <w:style w:type="paragraph" w:styleId="8">
    <w:name w:val="header"/>
    <w:basedOn w:val="1"/>
    <w:link w:val="18"/>
    <w:qFormat/>
    <w:uiPriority w:val="0"/>
    <w:pPr>
      <w:pBdr>
        <w:bottom w:val="single" w:color="auto" w:sz="6" w:space="1"/>
      </w:pBdr>
      <w:tabs>
        <w:tab w:val="center" w:pos="4153"/>
        <w:tab w:val="right" w:pos="8306"/>
      </w:tabs>
      <w:snapToGrid w:val="0"/>
      <w:jc w:val="center"/>
    </w:pPr>
    <w:rPr>
      <w:sz w:val="18"/>
      <w:szCs w:val="18"/>
    </w:rPr>
  </w:style>
  <w:style w:type="paragraph" w:styleId="9">
    <w:name w:val="footnote text"/>
    <w:basedOn w:val="1"/>
    <w:qFormat/>
    <w:uiPriority w:val="0"/>
    <w:pPr>
      <w:snapToGrid w:val="0"/>
      <w:jc w:val="left"/>
    </w:pPr>
    <w:rPr>
      <w:sz w:val="18"/>
    </w:rPr>
  </w:style>
  <w:style w:type="paragraph" w:styleId="10">
    <w:name w:val="Normal (Web)"/>
    <w:basedOn w:val="1"/>
    <w:qFormat/>
    <w:uiPriority w:val="0"/>
    <w:pPr>
      <w:spacing w:beforeAutospacing="1" w:afterAutospacing="1"/>
      <w:jc w:val="left"/>
    </w:pPr>
    <w:rPr>
      <w:rFonts w:cs="Times New Roman"/>
      <w:kern w:val="0"/>
      <w:sz w:val="24"/>
    </w:rPr>
  </w:style>
  <w:style w:type="paragraph" w:styleId="11">
    <w:name w:val="annotation subject"/>
    <w:basedOn w:val="6"/>
    <w:next w:val="6"/>
    <w:link w:val="21"/>
    <w:qFormat/>
    <w:uiPriority w:val="0"/>
    <w:rPr>
      <w:b/>
      <w:bCs/>
    </w:rPr>
  </w:style>
  <w:style w:type="table" w:styleId="13">
    <w:name w:val="Table Grid"/>
    <w:basedOn w:val="12"/>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5">
    <w:name w:val="annotation reference"/>
    <w:basedOn w:val="14"/>
    <w:qFormat/>
    <w:uiPriority w:val="0"/>
    <w:rPr>
      <w:sz w:val="21"/>
      <w:szCs w:val="21"/>
    </w:rPr>
  </w:style>
  <w:style w:type="character" w:styleId="16">
    <w:name w:val="footnote reference"/>
    <w:basedOn w:val="14"/>
    <w:qFormat/>
    <w:uiPriority w:val="0"/>
    <w:rPr>
      <w:vertAlign w:val="superscript"/>
    </w:rPr>
  </w:style>
  <w:style w:type="paragraph" w:customStyle="1" w:styleId="17">
    <w:name w:val="等线"/>
    <w:basedOn w:val="2"/>
    <w:next w:val="3"/>
    <w:qFormat/>
    <w:uiPriority w:val="0"/>
    <w:rPr>
      <w:rFonts w:eastAsia="等线"/>
      <w:sz w:val="24"/>
    </w:rPr>
  </w:style>
  <w:style w:type="character" w:customStyle="1" w:styleId="18">
    <w:name w:val="页眉 字符"/>
    <w:basedOn w:val="14"/>
    <w:link w:val="8"/>
    <w:qFormat/>
    <w:uiPriority w:val="0"/>
    <w:rPr>
      <w:rFonts w:asciiTheme="minorHAnsi" w:hAnsiTheme="minorHAnsi" w:eastAsiaTheme="minorEastAsia" w:cstheme="minorBidi"/>
      <w:kern w:val="2"/>
      <w:sz w:val="18"/>
      <w:szCs w:val="18"/>
    </w:rPr>
  </w:style>
  <w:style w:type="character" w:customStyle="1" w:styleId="19">
    <w:name w:val="页脚 字符"/>
    <w:basedOn w:val="14"/>
    <w:link w:val="7"/>
    <w:qFormat/>
    <w:uiPriority w:val="0"/>
    <w:rPr>
      <w:rFonts w:asciiTheme="minorHAnsi" w:hAnsiTheme="minorHAnsi" w:eastAsiaTheme="minorEastAsia" w:cstheme="minorBidi"/>
      <w:kern w:val="2"/>
      <w:sz w:val="18"/>
      <w:szCs w:val="18"/>
    </w:rPr>
  </w:style>
  <w:style w:type="character" w:customStyle="1" w:styleId="20">
    <w:name w:val="批注文字 字符"/>
    <w:basedOn w:val="14"/>
    <w:link w:val="6"/>
    <w:qFormat/>
    <w:uiPriority w:val="0"/>
    <w:rPr>
      <w:rFonts w:asciiTheme="minorHAnsi" w:hAnsiTheme="minorHAnsi" w:eastAsiaTheme="minorEastAsia" w:cstheme="minorBidi"/>
      <w:kern w:val="2"/>
      <w:sz w:val="21"/>
      <w:szCs w:val="24"/>
    </w:rPr>
  </w:style>
  <w:style w:type="character" w:customStyle="1" w:styleId="21">
    <w:name w:val="批注主题 字符"/>
    <w:basedOn w:val="20"/>
    <w:link w:val="11"/>
    <w:qFormat/>
    <w:uiPriority w:val="0"/>
    <w:rPr>
      <w:rFonts w:asciiTheme="minorHAnsi" w:hAnsiTheme="minorHAnsi" w:eastAsiaTheme="minorEastAsia" w:cstheme="minorBidi"/>
      <w:b/>
      <w:bCs/>
      <w:kern w:val="2"/>
      <w:sz w:val="21"/>
      <w:szCs w:val="24"/>
    </w:rPr>
  </w:style>
  <w:style w:type="paragraph" w:customStyle="1" w:styleId="22">
    <w:name w:val="修订1"/>
    <w:hidden/>
    <w:semiHidden/>
    <w:qFormat/>
    <w:uiPriority w:val="99"/>
    <w:rPr>
      <w:rFonts w:asciiTheme="minorHAnsi" w:hAnsiTheme="minorHAnsi" w:eastAsiaTheme="minorEastAsia" w:cstheme="minorBidi"/>
      <w:kern w:val="2"/>
      <w:sz w:val="21"/>
      <w:szCs w:val="24"/>
      <w:lang w:val="en-US" w:eastAsia="zh-CN" w:bidi="ar-SA"/>
    </w:rPr>
  </w:style>
  <w:style w:type="paragraph" w:styleId="23">
    <w:name w:val="List Paragraph"/>
    <w:basedOn w:val="1"/>
    <w:qFormat/>
    <w:uiPriority w:val="99"/>
    <w:pPr>
      <w:ind w:firstLine="420" w:firstLineChars="200"/>
    </w:pPr>
  </w:style>
  <w:style w:type="paragraph" w:customStyle="1" w:styleId="24">
    <w:name w:val="Revision"/>
    <w:hidden/>
    <w:semiHidden/>
    <w:qFormat/>
    <w:uiPriority w:val="99"/>
    <w:rPr>
      <w:rFonts w:asciiTheme="minorHAnsi" w:hAnsiTheme="minorHAnsi" w:eastAsiaTheme="minorEastAsia" w:cstheme="minorBidi"/>
      <w:kern w:val="2"/>
      <w:sz w:val="21"/>
      <w:szCs w:val="24"/>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5</Pages>
  <Words>2894</Words>
  <Characters>3118</Characters>
  <Lines>26</Lines>
  <Paragraphs>7</Paragraphs>
  <TotalTime>51</TotalTime>
  <ScaleCrop>false</ScaleCrop>
  <LinksUpToDate>false</LinksUpToDate>
  <CharactersWithSpaces>3156</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2023-06-24T10:06:00Z</dcterms:created>
  <dc:creator>Emma 大李</dc:creator>
  <cp:lastModifiedBy>麻蜀黍</cp:lastModifiedBy>
  <cp:lastPrinted>2024-12-24T07:16:00Z</cp:lastPrinted>
  <dcterms:modified xsi:type="dcterms:W3CDTF">2025-12-04T14:30:20Z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E606F61648A64CD18CF17A218D4DE93E_13</vt:lpwstr>
  </property>
  <property fmtid="{D5CDD505-2E9C-101B-9397-08002B2CF9AE}" pid="4" name="KSOTemplateDocerSaveRecord">
    <vt:lpwstr>eyJoZGlkIjoiODE3ODk2NGZjMGY0MjU5ZTVkZjI0Y2M4MTk3YTRjOGYiLCJ1c2VySWQiOiIyODQ1MTU1OTAifQ==</vt:lpwstr>
  </property>
</Properties>
</file>