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2632A7">
      <w:pPr>
        <w:keepNext w:val="0"/>
        <w:keepLines w:val="0"/>
        <w:pageBreakBefore w:val="0"/>
        <w:widowControl w:val="0"/>
        <w:kinsoku/>
        <w:wordWrap/>
        <w:overflowPunct/>
        <w:topLinePunct w:val="0"/>
        <w:autoSpaceDE/>
        <w:autoSpaceDN/>
        <w:bidi w:val="0"/>
        <w:adjustRightInd/>
        <w:snapToGrid/>
        <w:spacing w:before="240" w:after="240" w:line="360" w:lineRule="auto"/>
        <w:jc w:val="center"/>
        <w:textAlignment w:val="auto"/>
        <w:rPr>
          <w:rFonts w:hint="eastAsia" w:ascii="宋体" w:hAnsi="宋体" w:eastAsia="宋体" w:cs="宋体"/>
          <w:b/>
          <w:bCs/>
          <w:sz w:val="36"/>
          <w:szCs w:val="36"/>
          <w:lang w:val="en-US" w:eastAsia="zh-CN"/>
        </w:rPr>
      </w:pPr>
      <w:bookmarkStart w:id="0" w:name="_GoBack"/>
      <w:bookmarkEnd w:id="0"/>
      <w:r>
        <w:rPr>
          <w:rFonts w:hint="eastAsia" w:ascii="宋体" w:hAnsi="宋体" w:eastAsia="宋体" w:cs="宋体"/>
          <w:b/>
          <w:bCs/>
          <w:sz w:val="36"/>
          <w:szCs w:val="36"/>
          <w:lang w:val="en-US" w:eastAsia="zh-CN"/>
        </w:rPr>
        <w:t>破产财产最后分配公告</w:t>
      </w:r>
    </w:p>
    <w:p w14:paraId="56C83B2C">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尊敬的各位债权人：</w:t>
      </w:r>
    </w:p>
    <w:p w14:paraId="1303131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至2025年11月21日，北京密云机械电子工业公司第七次债权人会议已表决通过《北京密云机械电子工业公司破产财产分配方案》（简称“分配方案”）。2025年12月9日，北京市密云区人民法院裁定认可机械电子公司第七次债权人会议表决通过的《北京密云机械电子工业公司破产财产分配方案》。截至2025年11月18日，机械电子公司的破产财产总额为36,087,640.75元，扣除破产费用后，可供债权人分配金额为31,518,567.30元。</w:t>
      </w:r>
    </w:p>
    <w:p w14:paraId="7F035E1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机械电子公司清算组已于2025年12月24日、25日执行分配，本次分配为最终分配，具体分配情况见附件《北京密云机械电子工业公司分配明细表》。</w:t>
      </w:r>
    </w:p>
    <w:p w14:paraId="2D57908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另，因债权人北京农村商业银行股份有限公司密云支行（此前申报债权金额为9,568,086.17元）申报内容、债权转让及承继关系等法律事实有效性需进一步审查，为确保债权分配的合法性、公正性与准确性，清算组对该申报人申报的债权暂缓分配。待清算组完成全部核查工作，明确债权归属、金额及合法性后，再依据核查结果依法处置。</w:t>
      </w:r>
    </w:p>
    <w:p w14:paraId="36C8A0B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特此公告。</w:t>
      </w:r>
    </w:p>
    <w:p w14:paraId="44791085">
      <w:pPr>
        <w:keepNext w:val="0"/>
        <w:keepLines w:val="0"/>
        <w:pageBreakBefore w:val="0"/>
        <w:widowControl w:val="0"/>
        <w:kinsoku/>
        <w:wordWrap/>
        <w:overflowPunct/>
        <w:topLinePunct w:val="0"/>
        <w:autoSpaceDE/>
        <w:autoSpaceDN/>
        <w:bidi w:val="0"/>
        <w:adjustRightInd/>
        <w:snapToGrid/>
        <w:spacing w:line="360" w:lineRule="auto"/>
        <w:ind w:firstLine="3080" w:firstLineChars="11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北京密云机械电子工业公司破产清算组</w:t>
      </w:r>
    </w:p>
    <w:p w14:paraId="6008C3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                              2025年12月26日</w:t>
      </w:r>
    </w:p>
    <w:p w14:paraId="21D8FE29">
      <w:pPr>
        <w:keepNext w:val="0"/>
        <w:keepLines w:val="0"/>
        <w:pageBreakBefore w:val="0"/>
        <w:widowControl w:val="0"/>
        <w:kinsoku/>
        <w:wordWrap/>
        <w:overflowPunct/>
        <w:topLinePunct w:val="0"/>
        <w:autoSpaceDE/>
        <w:autoSpaceDN/>
        <w:bidi w:val="0"/>
        <w:adjustRightInd/>
        <w:snapToGrid/>
        <w:spacing w:before="240" w:after="240" w:line="570" w:lineRule="exact"/>
        <w:jc w:val="center"/>
        <w:textAlignment w:val="auto"/>
        <w:rPr>
          <w:rFonts w:hint="default" w:ascii="宋体" w:hAnsi="宋体" w:eastAsia="宋体" w:cs="宋体"/>
          <w:b/>
          <w:bCs/>
          <w:sz w:val="36"/>
          <w:szCs w:val="36"/>
          <w:lang w:val="en-US" w:eastAsia="zh-CN"/>
        </w:rPr>
      </w:pPr>
      <w:r>
        <w:rPr>
          <w:rFonts w:hint="eastAsia" w:ascii="宋体" w:hAnsi="宋体" w:eastAsia="宋体" w:cs="宋体"/>
          <w:b/>
          <w:bCs/>
          <w:sz w:val="36"/>
          <w:szCs w:val="36"/>
          <w:lang w:val="en-US" w:eastAsia="zh-CN"/>
        </w:rPr>
        <w:t>附件：</w:t>
      </w:r>
      <w:r>
        <w:rPr>
          <w:rFonts w:hint="default" w:ascii="宋体" w:hAnsi="宋体" w:eastAsia="宋体" w:cs="宋体"/>
          <w:b/>
          <w:bCs/>
          <w:sz w:val="36"/>
          <w:szCs w:val="36"/>
          <w:lang w:val="en-US" w:eastAsia="zh-CN"/>
        </w:rPr>
        <w:t>北京密云机械电子工业公司分配明细表</w:t>
      </w:r>
    </w:p>
    <w:p w14:paraId="7813844A">
      <w:pPr>
        <w:keepNext w:val="0"/>
        <w:keepLines w:val="0"/>
        <w:pageBreakBefore w:val="0"/>
        <w:widowControl w:val="0"/>
        <w:kinsoku/>
        <w:wordWrap/>
        <w:overflowPunct/>
        <w:topLinePunct w:val="0"/>
        <w:autoSpaceDE/>
        <w:autoSpaceDN/>
        <w:bidi w:val="0"/>
        <w:adjustRightInd/>
        <w:snapToGrid/>
        <w:spacing w:line="570" w:lineRule="exact"/>
        <w:jc w:val="right"/>
        <w:textAlignment w:val="auto"/>
        <w:rPr>
          <w:rFonts w:hint="default" w:ascii="宋体" w:hAnsi="宋体" w:eastAsia="宋体" w:cs="宋体"/>
          <w:b/>
          <w:bCs/>
          <w:sz w:val="36"/>
          <w:szCs w:val="36"/>
          <w:lang w:val="en-US" w:eastAsia="zh-CN"/>
        </w:rPr>
      </w:pPr>
      <w:r>
        <w:rPr>
          <w:rFonts w:hint="eastAsia" w:ascii="宋体" w:hAnsi="宋体" w:eastAsia="宋体" w:cs="宋体"/>
          <w:b/>
          <w:bCs/>
          <w:sz w:val="21"/>
          <w:szCs w:val="21"/>
          <w:lang w:val="en-US" w:eastAsia="zh-CN"/>
        </w:rPr>
        <w:t>单位：人民币（元）</w:t>
      </w:r>
    </w:p>
    <w:tbl>
      <w:tblPr>
        <w:tblStyle w:val="5"/>
        <w:tblpPr w:leftFromText="180" w:rightFromText="180" w:vertAnchor="text" w:horzAnchor="page" w:tblpX="1722" w:tblpY="259"/>
        <w:tblOverlap w:val="never"/>
        <w:tblW w:w="84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2085"/>
        <w:gridCol w:w="1057"/>
        <w:gridCol w:w="1563"/>
        <w:gridCol w:w="1575"/>
        <w:gridCol w:w="1515"/>
      </w:tblGrid>
      <w:tr w14:paraId="047E1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615" w:type="dxa"/>
            <w:vAlign w:val="center"/>
          </w:tcPr>
          <w:p w14:paraId="220281B9">
            <w:pPr>
              <w:spacing w:line="360" w:lineRule="auto"/>
              <w:jc w:val="center"/>
              <w:rPr>
                <w:rFonts w:hint="eastAsia" w:ascii="微软雅黑" w:hAnsi="微软雅黑" w:eastAsia="微软雅黑" w:cs="微软雅黑"/>
                <w:b/>
                <w:bCs/>
                <w:sz w:val="18"/>
                <w:szCs w:val="18"/>
                <w:vertAlign w:val="baseline"/>
                <w:lang w:val="en-US" w:eastAsia="zh-CN"/>
              </w:rPr>
            </w:pPr>
            <w:r>
              <w:rPr>
                <w:rFonts w:hint="eastAsia" w:ascii="微软雅黑" w:hAnsi="微软雅黑" w:eastAsia="微软雅黑" w:cs="微软雅黑"/>
                <w:b/>
                <w:bCs/>
                <w:sz w:val="18"/>
                <w:szCs w:val="18"/>
                <w:vertAlign w:val="baseline"/>
                <w:lang w:val="en-US" w:eastAsia="zh-CN"/>
              </w:rPr>
              <w:t>序号</w:t>
            </w:r>
          </w:p>
        </w:tc>
        <w:tc>
          <w:tcPr>
            <w:tcW w:w="2085" w:type="dxa"/>
            <w:vAlign w:val="center"/>
          </w:tcPr>
          <w:p w14:paraId="2B9760A7">
            <w:pPr>
              <w:spacing w:line="360" w:lineRule="auto"/>
              <w:jc w:val="center"/>
              <w:rPr>
                <w:rFonts w:hint="eastAsia" w:ascii="微软雅黑" w:hAnsi="微软雅黑" w:eastAsia="微软雅黑" w:cs="微软雅黑"/>
                <w:b/>
                <w:bCs/>
                <w:sz w:val="18"/>
                <w:szCs w:val="18"/>
                <w:vertAlign w:val="baseline"/>
                <w:lang w:val="en-US" w:eastAsia="zh-CN"/>
              </w:rPr>
            </w:pPr>
            <w:r>
              <w:rPr>
                <w:rFonts w:hint="eastAsia" w:ascii="微软雅黑" w:hAnsi="微软雅黑" w:eastAsia="微软雅黑" w:cs="微软雅黑"/>
                <w:b/>
                <w:bCs/>
                <w:sz w:val="18"/>
                <w:szCs w:val="18"/>
                <w:vertAlign w:val="baseline"/>
                <w:lang w:val="en-US" w:eastAsia="zh-CN"/>
              </w:rPr>
              <w:t>债权人名称</w:t>
            </w:r>
          </w:p>
        </w:tc>
        <w:tc>
          <w:tcPr>
            <w:tcW w:w="1057" w:type="dxa"/>
            <w:vAlign w:val="center"/>
          </w:tcPr>
          <w:p w14:paraId="4BB88DB3">
            <w:pPr>
              <w:spacing w:line="360" w:lineRule="auto"/>
              <w:jc w:val="center"/>
              <w:rPr>
                <w:rFonts w:hint="default" w:ascii="微软雅黑" w:hAnsi="微软雅黑" w:eastAsia="微软雅黑" w:cs="微软雅黑"/>
                <w:b/>
                <w:bCs/>
                <w:sz w:val="18"/>
                <w:szCs w:val="18"/>
                <w:vertAlign w:val="baseline"/>
                <w:lang w:val="en-US" w:eastAsia="zh-CN"/>
              </w:rPr>
            </w:pPr>
            <w:r>
              <w:rPr>
                <w:rFonts w:hint="eastAsia" w:ascii="微软雅黑" w:hAnsi="微软雅黑" w:eastAsia="微软雅黑" w:cs="微软雅黑"/>
                <w:b/>
                <w:bCs/>
                <w:sz w:val="18"/>
                <w:szCs w:val="18"/>
                <w:vertAlign w:val="baseline"/>
                <w:lang w:val="en-US" w:eastAsia="zh-CN"/>
              </w:rPr>
              <w:t>债权性质</w:t>
            </w:r>
          </w:p>
        </w:tc>
        <w:tc>
          <w:tcPr>
            <w:tcW w:w="1563" w:type="dxa"/>
            <w:vAlign w:val="center"/>
          </w:tcPr>
          <w:p w14:paraId="5D37BA1C">
            <w:pPr>
              <w:spacing w:line="360" w:lineRule="auto"/>
              <w:jc w:val="center"/>
              <w:rPr>
                <w:rFonts w:hint="eastAsia" w:ascii="微软雅黑" w:hAnsi="微软雅黑" w:eastAsia="微软雅黑" w:cs="微软雅黑"/>
                <w:b/>
                <w:bCs/>
                <w:sz w:val="18"/>
                <w:szCs w:val="18"/>
                <w:vertAlign w:val="baseline"/>
                <w:lang w:val="en-US" w:eastAsia="zh-CN"/>
              </w:rPr>
            </w:pPr>
            <w:r>
              <w:rPr>
                <w:rFonts w:hint="eastAsia" w:ascii="微软雅黑" w:hAnsi="微软雅黑" w:eastAsia="微软雅黑" w:cs="微软雅黑"/>
                <w:b/>
                <w:bCs/>
                <w:sz w:val="18"/>
                <w:szCs w:val="18"/>
                <w:vertAlign w:val="baseline"/>
                <w:lang w:val="en-US" w:eastAsia="zh-CN"/>
              </w:rPr>
              <w:t>债权申报金额</w:t>
            </w:r>
          </w:p>
        </w:tc>
        <w:tc>
          <w:tcPr>
            <w:tcW w:w="1575" w:type="dxa"/>
            <w:vAlign w:val="center"/>
          </w:tcPr>
          <w:p w14:paraId="62A5D5B6">
            <w:pPr>
              <w:spacing w:line="360" w:lineRule="auto"/>
              <w:jc w:val="center"/>
              <w:rPr>
                <w:rFonts w:hint="eastAsia" w:ascii="微软雅黑" w:hAnsi="微软雅黑" w:eastAsia="微软雅黑" w:cs="微软雅黑"/>
                <w:b/>
                <w:bCs/>
                <w:sz w:val="18"/>
                <w:szCs w:val="18"/>
                <w:vertAlign w:val="baseline"/>
                <w:lang w:val="en-US" w:eastAsia="zh-CN"/>
              </w:rPr>
            </w:pPr>
            <w:r>
              <w:rPr>
                <w:rFonts w:hint="eastAsia" w:ascii="微软雅黑" w:hAnsi="微软雅黑" w:eastAsia="微软雅黑" w:cs="微软雅黑"/>
                <w:b/>
                <w:bCs/>
                <w:sz w:val="18"/>
                <w:szCs w:val="18"/>
                <w:vertAlign w:val="baseline"/>
                <w:lang w:val="en-US" w:eastAsia="zh-CN"/>
              </w:rPr>
              <w:t>债权确认金额</w:t>
            </w:r>
          </w:p>
        </w:tc>
        <w:tc>
          <w:tcPr>
            <w:tcW w:w="1515" w:type="dxa"/>
            <w:vAlign w:val="center"/>
          </w:tcPr>
          <w:p w14:paraId="7BA5BDF6">
            <w:pPr>
              <w:spacing w:line="360" w:lineRule="auto"/>
              <w:jc w:val="center"/>
              <w:rPr>
                <w:rFonts w:hint="default" w:ascii="微软雅黑" w:hAnsi="微软雅黑" w:eastAsia="微软雅黑" w:cs="微软雅黑"/>
                <w:b/>
                <w:bCs/>
                <w:sz w:val="18"/>
                <w:szCs w:val="18"/>
                <w:vertAlign w:val="baseline"/>
                <w:lang w:val="en-US" w:eastAsia="zh-CN"/>
              </w:rPr>
            </w:pPr>
            <w:r>
              <w:rPr>
                <w:rFonts w:hint="eastAsia" w:ascii="微软雅黑" w:hAnsi="微软雅黑" w:eastAsia="微软雅黑" w:cs="微软雅黑"/>
                <w:b/>
                <w:bCs/>
                <w:sz w:val="18"/>
                <w:szCs w:val="18"/>
                <w:vertAlign w:val="baseline"/>
                <w:lang w:val="en-US" w:eastAsia="zh-CN"/>
              </w:rPr>
              <w:t>受偿金额</w:t>
            </w:r>
          </w:p>
        </w:tc>
      </w:tr>
      <w:tr w14:paraId="51DE0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8" w:hRule="atLeast"/>
        </w:trPr>
        <w:tc>
          <w:tcPr>
            <w:tcW w:w="615" w:type="dxa"/>
            <w:vAlign w:val="center"/>
          </w:tcPr>
          <w:p w14:paraId="53F29AB7">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1</w:t>
            </w:r>
          </w:p>
        </w:tc>
        <w:tc>
          <w:tcPr>
            <w:tcW w:w="2085" w:type="dxa"/>
            <w:vAlign w:val="center"/>
          </w:tcPr>
          <w:p w14:paraId="1D11088F">
            <w:pPr>
              <w:spacing w:line="360" w:lineRule="auto"/>
              <w:jc w:val="both"/>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南方证券股份有限公司破产清算组</w:t>
            </w:r>
          </w:p>
        </w:tc>
        <w:tc>
          <w:tcPr>
            <w:tcW w:w="1057" w:type="dxa"/>
            <w:vAlign w:val="center"/>
          </w:tcPr>
          <w:p w14:paraId="59A8E1F1">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普通债权</w:t>
            </w:r>
          </w:p>
        </w:tc>
        <w:tc>
          <w:tcPr>
            <w:tcW w:w="1563" w:type="dxa"/>
            <w:vAlign w:val="center"/>
          </w:tcPr>
          <w:p w14:paraId="5B22A1B5">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7,419,201.25</w:t>
            </w:r>
          </w:p>
        </w:tc>
        <w:tc>
          <w:tcPr>
            <w:tcW w:w="1575" w:type="dxa"/>
            <w:vAlign w:val="center"/>
          </w:tcPr>
          <w:p w14:paraId="4F9FF534">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7,419,201.25</w:t>
            </w:r>
          </w:p>
        </w:tc>
        <w:tc>
          <w:tcPr>
            <w:tcW w:w="1515" w:type="dxa"/>
            <w:vAlign w:val="center"/>
          </w:tcPr>
          <w:p w14:paraId="1DE4EC55">
            <w:pPr>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lang w:val="en-US" w:eastAsia="zh-CN"/>
              </w:rPr>
              <w:t>2,474,550.17</w:t>
            </w:r>
          </w:p>
        </w:tc>
      </w:tr>
      <w:tr w14:paraId="72996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615" w:type="dxa"/>
            <w:vAlign w:val="center"/>
          </w:tcPr>
          <w:p w14:paraId="75B71306">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w:t>
            </w:r>
          </w:p>
        </w:tc>
        <w:tc>
          <w:tcPr>
            <w:tcW w:w="2085" w:type="dxa"/>
            <w:vAlign w:val="center"/>
          </w:tcPr>
          <w:p w14:paraId="0A3D2DFC">
            <w:pPr>
              <w:spacing w:line="360" w:lineRule="auto"/>
              <w:jc w:val="both"/>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rPr>
              <w:t>北京市密云区财政局</w:t>
            </w:r>
          </w:p>
        </w:tc>
        <w:tc>
          <w:tcPr>
            <w:tcW w:w="1057" w:type="dxa"/>
            <w:vAlign w:val="center"/>
          </w:tcPr>
          <w:p w14:paraId="287999CA">
            <w:pPr>
              <w:spacing w:line="360" w:lineRule="auto"/>
              <w:jc w:val="center"/>
              <w:rPr>
                <w:rFonts w:hint="eastAsia" w:ascii="微软雅黑" w:hAnsi="微软雅黑" w:eastAsia="微软雅黑" w:cs="微软雅黑"/>
                <w:sz w:val="18"/>
                <w:szCs w:val="18"/>
              </w:rPr>
            </w:pPr>
            <w:r>
              <w:rPr>
                <w:rFonts w:hint="eastAsia" w:ascii="微软雅黑" w:hAnsi="微软雅黑" w:eastAsia="微软雅黑" w:cs="微软雅黑"/>
                <w:sz w:val="18"/>
                <w:szCs w:val="18"/>
                <w:vertAlign w:val="baseline"/>
                <w:lang w:val="en-US" w:eastAsia="zh-CN"/>
              </w:rPr>
              <w:t>普通债权</w:t>
            </w:r>
          </w:p>
        </w:tc>
        <w:tc>
          <w:tcPr>
            <w:tcW w:w="1563" w:type="dxa"/>
            <w:vAlign w:val="center"/>
          </w:tcPr>
          <w:p w14:paraId="0E5F86C5">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3,569,800.00</w:t>
            </w:r>
          </w:p>
        </w:tc>
        <w:tc>
          <w:tcPr>
            <w:tcW w:w="1575" w:type="dxa"/>
            <w:vAlign w:val="center"/>
          </w:tcPr>
          <w:p w14:paraId="19B2663B">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3,569,800.00</w:t>
            </w:r>
          </w:p>
        </w:tc>
        <w:tc>
          <w:tcPr>
            <w:tcW w:w="1515" w:type="dxa"/>
            <w:vAlign w:val="center"/>
          </w:tcPr>
          <w:p w14:paraId="09E5EEA1">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lang w:val="en-US" w:eastAsia="zh-CN"/>
              </w:rPr>
              <w:t>1,190,646.93</w:t>
            </w:r>
          </w:p>
        </w:tc>
      </w:tr>
      <w:tr w14:paraId="543F3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615" w:type="dxa"/>
            <w:vAlign w:val="center"/>
          </w:tcPr>
          <w:p w14:paraId="2E46C92F">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3</w:t>
            </w:r>
          </w:p>
        </w:tc>
        <w:tc>
          <w:tcPr>
            <w:tcW w:w="2085" w:type="dxa"/>
            <w:vAlign w:val="center"/>
          </w:tcPr>
          <w:p w14:paraId="18E22019">
            <w:pPr>
              <w:spacing w:line="360" w:lineRule="auto"/>
              <w:jc w:val="both"/>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rPr>
              <w:t>北京经济发展投资有限公司</w:t>
            </w:r>
          </w:p>
        </w:tc>
        <w:tc>
          <w:tcPr>
            <w:tcW w:w="1057" w:type="dxa"/>
            <w:vAlign w:val="center"/>
          </w:tcPr>
          <w:p w14:paraId="64C49569">
            <w:pPr>
              <w:spacing w:line="360" w:lineRule="auto"/>
              <w:jc w:val="center"/>
              <w:rPr>
                <w:rFonts w:hint="eastAsia" w:ascii="微软雅黑" w:hAnsi="微软雅黑" w:eastAsia="微软雅黑" w:cs="微软雅黑"/>
                <w:sz w:val="18"/>
                <w:szCs w:val="18"/>
              </w:rPr>
            </w:pPr>
            <w:r>
              <w:rPr>
                <w:rFonts w:hint="eastAsia" w:ascii="微软雅黑" w:hAnsi="微软雅黑" w:eastAsia="微软雅黑" w:cs="微软雅黑"/>
                <w:sz w:val="18"/>
                <w:szCs w:val="18"/>
                <w:vertAlign w:val="baseline"/>
                <w:lang w:val="en-US" w:eastAsia="zh-CN"/>
              </w:rPr>
              <w:t>普通债权</w:t>
            </w:r>
          </w:p>
        </w:tc>
        <w:tc>
          <w:tcPr>
            <w:tcW w:w="1563" w:type="dxa"/>
            <w:vAlign w:val="center"/>
          </w:tcPr>
          <w:p w14:paraId="4A9D0EE5">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1,235,388.00</w:t>
            </w:r>
          </w:p>
        </w:tc>
        <w:tc>
          <w:tcPr>
            <w:tcW w:w="1575" w:type="dxa"/>
            <w:vAlign w:val="center"/>
          </w:tcPr>
          <w:p w14:paraId="4C81E294">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1,235,388.00</w:t>
            </w:r>
          </w:p>
        </w:tc>
        <w:tc>
          <w:tcPr>
            <w:tcW w:w="1515" w:type="dxa"/>
            <w:vAlign w:val="center"/>
          </w:tcPr>
          <w:p w14:paraId="7F878256">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lang w:val="en-US" w:eastAsia="zh-CN"/>
              </w:rPr>
              <w:t>412,042.95</w:t>
            </w:r>
          </w:p>
        </w:tc>
      </w:tr>
      <w:tr w14:paraId="42C5D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vAlign w:val="center"/>
          </w:tcPr>
          <w:p w14:paraId="74CC9466">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4</w:t>
            </w:r>
          </w:p>
        </w:tc>
        <w:tc>
          <w:tcPr>
            <w:tcW w:w="2085" w:type="dxa"/>
            <w:vAlign w:val="center"/>
          </w:tcPr>
          <w:p w14:paraId="5AB0AD38">
            <w:pPr>
              <w:spacing w:line="360" w:lineRule="auto"/>
              <w:jc w:val="both"/>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rPr>
              <w:t>中国光大银行股份有限公司北京</w:t>
            </w:r>
            <w:r>
              <w:rPr>
                <w:rFonts w:hint="eastAsia" w:ascii="微软雅黑" w:hAnsi="微软雅黑" w:eastAsia="微软雅黑" w:cs="微软雅黑"/>
                <w:sz w:val="18"/>
                <w:szCs w:val="18"/>
                <w:lang w:val="en-US" w:eastAsia="zh-CN"/>
              </w:rPr>
              <w:t>分</w:t>
            </w:r>
            <w:r>
              <w:rPr>
                <w:rFonts w:hint="eastAsia" w:ascii="微软雅黑" w:hAnsi="微软雅黑" w:eastAsia="微软雅黑" w:cs="微软雅黑"/>
                <w:sz w:val="18"/>
                <w:szCs w:val="18"/>
              </w:rPr>
              <w:t>行</w:t>
            </w:r>
          </w:p>
        </w:tc>
        <w:tc>
          <w:tcPr>
            <w:tcW w:w="1057" w:type="dxa"/>
            <w:vAlign w:val="center"/>
          </w:tcPr>
          <w:p w14:paraId="388BF33D">
            <w:pPr>
              <w:spacing w:line="360" w:lineRule="auto"/>
              <w:jc w:val="center"/>
              <w:rPr>
                <w:rFonts w:hint="eastAsia" w:ascii="微软雅黑" w:hAnsi="微软雅黑" w:eastAsia="微软雅黑" w:cs="微软雅黑"/>
                <w:sz w:val="18"/>
                <w:szCs w:val="18"/>
              </w:rPr>
            </w:pPr>
            <w:r>
              <w:rPr>
                <w:rFonts w:hint="eastAsia" w:ascii="微软雅黑" w:hAnsi="微软雅黑" w:eastAsia="微软雅黑" w:cs="微软雅黑"/>
                <w:sz w:val="18"/>
                <w:szCs w:val="18"/>
                <w:vertAlign w:val="baseline"/>
                <w:lang w:val="en-US" w:eastAsia="zh-CN"/>
              </w:rPr>
              <w:t>普通债权</w:t>
            </w:r>
          </w:p>
        </w:tc>
        <w:tc>
          <w:tcPr>
            <w:tcW w:w="1563" w:type="dxa"/>
            <w:vAlign w:val="center"/>
          </w:tcPr>
          <w:p w14:paraId="3D0F0C2B">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1,896,278.53</w:t>
            </w:r>
          </w:p>
        </w:tc>
        <w:tc>
          <w:tcPr>
            <w:tcW w:w="1575" w:type="dxa"/>
            <w:vAlign w:val="center"/>
          </w:tcPr>
          <w:p w14:paraId="42E30BFB">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1,896,278.53</w:t>
            </w:r>
          </w:p>
        </w:tc>
        <w:tc>
          <w:tcPr>
            <w:tcW w:w="1515" w:type="dxa"/>
            <w:vAlign w:val="center"/>
          </w:tcPr>
          <w:p w14:paraId="686EF9DB">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lang w:val="en-US" w:eastAsia="zh-CN"/>
              </w:rPr>
              <w:t>632,471.91</w:t>
            </w:r>
          </w:p>
        </w:tc>
      </w:tr>
      <w:tr w14:paraId="419DF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615" w:type="dxa"/>
            <w:vAlign w:val="center"/>
          </w:tcPr>
          <w:p w14:paraId="46F336EB">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5</w:t>
            </w:r>
          </w:p>
        </w:tc>
        <w:tc>
          <w:tcPr>
            <w:tcW w:w="2085" w:type="dxa"/>
            <w:vAlign w:val="center"/>
          </w:tcPr>
          <w:p w14:paraId="381B8EA5">
            <w:pPr>
              <w:spacing w:line="360" w:lineRule="auto"/>
              <w:jc w:val="both"/>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海南繁琪海实业有限公司</w:t>
            </w:r>
          </w:p>
        </w:tc>
        <w:tc>
          <w:tcPr>
            <w:tcW w:w="1057" w:type="dxa"/>
            <w:vAlign w:val="center"/>
          </w:tcPr>
          <w:p w14:paraId="4A098C21">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普通债权</w:t>
            </w:r>
          </w:p>
        </w:tc>
        <w:tc>
          <w:tcPr>
            <w:tcW w:w="1563" w:type="dxa"/>
            <w:vAlign w:val="center"/>
          </w:tcPr>
          <w:p w14:paraId="5B096AD5">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40,908,009.00</w:t>
            </w:r>
          </w:p>
        </w:tc>
        <w:tc>
          <w:tcPr>
            <w:tcW w:w="1575" w:type="dxa"/>
            <w:vAlign w:val="center"/>
          </w:tcPr>
          <w:p w14:paraId="6B12E6B2">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40,908,009.00</w:t>
            </w:r>
          </w:p>
        </w:tc>
        <w:tc>
          <w:tcPr>
            <w:tcW w:w="1515" w:type="dxa"/>
            <w:vAlign w:val="center"/>
          </w:tcPr>
          <w:p w14:paraId="592A91AA">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lang w:val="en-US" w:eastAsia="zh-CN"/>
              </w:rPr>
              <w:t>13,644,180.42</w:t>
            </w:r>
          </w:p>
        </w:tc>
      </w:tr>
      <w:tr w14:paraId="7B5ED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vAlign w:val="center"/>
          </w:tcPr>
          <w:p w14:paraId="6448CF05">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6</w:t>
            </w:r>
          </w:p>
        </w:tc>
        <w:tc>
          <w:tcPr>
            <w:tcW w:w="2085" w:type="dxa"/>
            <w:vAlign w:val="center"/>
          </w:tcPr>
          <w:p w14:paraId="333EF72C">
            <w:pPr>
              <w:spacing w:line="360" w:lineRule="auto"/>
              <w:jc w:val="both"/>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rPr>
              <w:t>北京农村商业银行股份有限公司密云支行</w:t>
            </w:r>
          </w:p>
        </w:tc>
        <w:tc>
          <w:tcPr>
            <w:tcW w:w="1057" w:type="dxa"/>
            <w:vAlign w:val="center"/>
          </w:tcPr>
          <w:p w14:paraId="2B044F7F">
            <w:pPr>
              <w:spacing w:line="360" w:lineRule="auto"/>
              <w:jc w:val="center"/>
              <w:rPr>
                <w:rFonts w:hint="eastAsia" w:ascii="微软雅黑" w:hAnsi="微软雅黑" w:eastAsia="微软雅黑" w:cs="微软雅黑"/>
                <w:sz w:val="18"/>
                <w:szCs w:val="18"/>
              </w:rPr>
            </w:pPr>
            <w:r>
              <w:rPr>
                <w:rFonts w:hint="eastAsia" w:ascii="微软雅黑" w:hAnsi="微软雅黑" w:eastAsia="微软雅黑" w:cs="微软雅黑"/>
                <w:sz w:val="18"/>
                <w:szCs w:val="18"/>
                <w:vertAlign w:val="baseline"/>
                <w:lang w:val="en-US" w:eastAsia="zh-CN"/>
              </w:rPr>
              <w:t>普通债权</w:t>
            </w:r>
          </w:p>
        </w:tc>
        <w:tc>
          <w:tcPr>
            <w:tcW w:w="1563" w:type="dxa"/>
            <w:vAlign w:val="center"/>
          </w:tcPr>
          <w:p w14:paraId="1898BE7A">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9,568,086.17</w:t>
            </w:r>
          </w:p>
        </w:tc>
        <w:tc>
          <w:tcPr>
            <w:tcW w:w="1575" w:type="dxa"/>
            <w:vAlign w:val="center"/>
          </w:tcPr>
          <w:p w14:paraId="1DE78992">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w:t>
            </w:r>
          </w:p>
        </w:tc>
        <w:tc>
          <w:tcPr>
            <w:tcW w:w="1515" w:type="dxa"/>
            <w:vAlign w:val="center"/>
          </w:tcPr>
          <w:p w14:paraId="74B4B119">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lang w:val="en-US" w:eastAsia="zh-CN"/>
              </w:rPr>
              <w:t>3,191,274.70</w:t>
            </w:r>
          </w:p>
        </w:tc>
      </w:tr>
      <w:tr w14:paraId="6A41B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trPr>
        <w:tc>
          <w:tcPr>
            <w:tcW w:w="615" w:type="dxa"/>
            <w:vAlign w:val="center"/>
          </w:tcPr>
          <w:p w14:paraId="756A45B2">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7</w:t>
            </w:r>
          </w:p>
        </w:tc>
        <w:tc>
          <w:tcPr>
            <w:tcW w:w="2085" w:type="dxa"/>
            <w:vAlign w:val="center"/>
          </w:tcPr>
          <w:p w14:paraId="5F794CBE">
            <w:pPr>
              <w:spacing w:line="360" w:lineRule="auto"/>
              <w:jc w:val="both"/>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rPr>
              <w:t>北京市密云区经济和信息化局</w:t>
            </w:r>
          </w:p>
        </w:tc>
        <w:tc>
          <w:tcPr>
            <w:tcW w:w="1057" w:type="dxa"/>
            <w:vAlign w:val="center"/>
          </w:tcPr>
          <w:p w14:paraId="30937383">
            <w:pPr>
              <w:spacing w:line="360" w:lineRule="auto"/>
              <w:jc w:val="center"/>
              <w:rPr>
                <w:rFonts w:hint="eastAsia" w:ascii="微软雅黑" w:hAnsi="微软雅黑" w:eastAsia="微软雅黑" w:cs="微软雅黑"/>
                <w:sz w:val="18"/>
                <w:szCs w:val="18"/>
              </w:rPr>
            </w:pPr>
            <w:r>
              <w:rPr>
                <w:rFonts w:hint="eastAsia" w:ascii="微软雅黑" w:hAnsi="微软雅黑" w:eastAsia="微软雅黑" w:cs="微软雅黑"/>
                <w:sz w:val="18"/>
                <w:szCs w:val="18"/>
                <w:vertAlign w:val="baseline"/>
                <w:lang w:val="en-US" w:eastAsia="zh-CN"/>
              </w:rPr>
              <w:t>普通债权</w:t>
            </w:r>
          </w:p>
        </w:tc>
        <w:tc>
          <w:tcPr>
            <w:tcW w:w="1563" w:type="dxa"/>
            <w:vAlign w:val="center"/>
          </w:tcPr>
          <w:p w14:paraId="71F66AD7">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7,287,053.68</w:t>
            </w:r>
          </w:p>
        </w:tc>
        <w:tc>
          <w:tcPr>
            <w:tcW w:w="1575" w:type="dxa"/>
            <w:vAlign w:val="center"/>
          </w:tcPr>
          <w:p w14:paraId="1082AD85">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7,287,053.68</w:t>
            </w:r>
          </w:p>
        </w:tc>
        <w:tc>
          <w:tcPr>
            <w:tcW w:w="1515" w:type="dxa"/>
            <w:vAlign w:val="center"/>
          </w:tcPr>
          <w:p w14:paraId="4CB903C7">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lang w:val="en-US" w:eastAsia="zh-CN"/>
              </w:rPr>
              <w:t>2,430,474.56</w:t>
            </w:r>
          </w:p>
        </w:tc>
      </w:tr>
      <w:tr w14:paraId="4B869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vAlign w:val="center"/>
          </w:tcPr>
          <w:p w14:paraId="490B5A96">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8</w:t>
            </w:r>
          </w:p>
        </w:tc>
        <w:tc>
          <w:tcPr>
            <w:tcW w:w="2085" w:type="dxa"/>
            <w:vAlign w:val="center"/>
          </w:tcPr>
          <w:p w14:paraId="02694719">
            <w:pPr>
              <w:spacing w:line="360" w:lineRule="auto"/>
              <w:jc w:val="both"/>
              <w:rPr>
                <w:rFonts w:hint="eastAsia" w:ascii="微软雅黑" w:hAnsi="微软雅黑" w:eastAsia="微软雅黑" w:cs="微软雅黑"/>
                <w:sz w:val="18"/>
                <w:szCs w:val="18"/>
              </w:rPr>
            </w:pPr>
            <w:r>
              <w:rPr>
                <w:rFonts w:hint="eastAsia" w:ascii="微软雅黑" w:hAnsi="微软雅黑" w:eastAsia="微软雅黑" w:cs="微软雅黑"/>
                <w:sz w:val="18"/>
                <w:szCs w:val="18"/>
              </w:rPr>
              <w:t>北京市密云区国有资产投资经营有限公司</w:t>
            </w:r>
          </w:p>
        </w:tc>
        <w:tc>
          <w:tcPr>
            <w:tcW w:w="1057" w:type="dxa"/>
            <w:vAlign w:val="center"/>
          </w:tcPr>
          <w:p w14:paraId="6660C02A">
            <w:pPr>
              <w:spacing w:line="360" w:lineRule="auto"/>
              <w:jc w:val="center"/>
              <w:rPr>
                <w:rFonts w:hint="eastAsia" w:ascii="微软雅黑" w:hAnsi="微软雅黑" w:eastAsia="微软雅黑" w:cs="微软雅黑"/>
                <w:sz w:val="18"/>
                <w:szCs w:val="18"/>
              </w:rPr>
            </w:pPr>
            <w:r>
              <w:rPr>
                <w:rFonts w:hint="eastAsia" w:ascii="微软雅黑" w:hAnsi="微软雅黑" w:eastAsia="微软雅黑" w:cs="微软雅黑"/>
                <w:sz w:val="18"/>
                <w:szCs w:val="18"/>
                <w:vertAlign w:val="baseline"/>
                <w:lang w:val="en-US" w:eastAsia="zh-CN"/>
              </w:rPr>
              <w:t>普通债权</w:t>
            </w:r>
          </w:p>
        </w:tc>
        <w:tc>
          <w:tcPr>
            <w:tcW w:w="1563" w:type="dxa"/>
            <w:vAlign w:val="center"/>
          </w:tcPr>
          <w:p w14:paraId="580F8AFC">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10,015,440.73</w:t>
            </w:r>
          </w:p>
        </w:tc>
        <w:tc>
          <w:tcPr>
            <w:tcW w:w="1575" w:type="dxa"/>
            <w:vAlign w:val="center"/>
          </w:tcPr>
          <w:p w14:paraId="43A8938B">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rPr>
              <w:t>10,015,440.73</w:t>
            </w:r>
          </w:p>
        </w:tc>
        <w:tc>
          <w:tcPr>
            <w:tcW w:w="1515" w:type="dxa"/>
            <w:vAlign w:val="center"/>
          </w:tcPr>
          <w:p w14:paraId="725C6371">
            <w:pPr>
              <w:jc w:val="center"/>
              <w:rPr>
                <w:rFonts w:hint="eastAsia" w:ascii="微软雅黑" w:hAnsi="微软雅黑" w:eastAsia="微软雅黑" w:cs="微软雅黑"/>
                <w:sz w:val="18"/>
                <w:szCs w:val="18"/>
              </w:rPr>
            </w:pPr>
            <w:r>
              <w:rPr>
                <w:rFonts w:hint="eastAsia" w:ascii="微软雅黑" w:hAnsi="微软雅黑" w:eastAsia="微软雅黑" w:cs="微软雅黑"/>
                <w:sz w:val="18"/>
                <w:szCs w:val="18"/>
                <w:lang w:val="en-US" w:eastAsia="zh-CN"/>
              </w:rPr>
              <w:t>3,340,482.31</w:t>
            </w:r>
          </w:p>
        </w:tc>
      </w:tr>
      <w:tr w14:paraId="33AF3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15" w:type="dxa"/>
            <w:vAlign w:val="center"/>
          </w:tcPr>
          <w:p w14:paraId="2FD2D94B">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9</w:t>
            </w:r>
          </w:p>
        </w:tc>
        <w:tc>
          <w:tcPr>
            <w:tcW w:w="2085" w:type="dxa"/>
            <w:vAlign w:val="center"/>
          </w:tcPr>
          <w:p w14:paraId="66435B4E">
            <w:pPr>
              <w:spacing w:line="360" w:lineRule="auto"/>
              <w:jc w:val="both"/>
              <w:rPr>
                <w:rFonts w:hint="eastAsia" w:ascii="微软雅黑" w:hAnsi="微软雅黑" w:eastAsia="微软雅黑" w:cs="微软雅黑"/>
                <w:sz w:val="18"/>
                <w:szCs w:val="18"/>
              </w:rPr>
            </w:pPr>
            <w:r>
              <w:rPr>
                <w:rFonts w:hint="eastAsia" w:ascii="微软雅黑" w:hAnsi="微软雅黑" w:eastAsia="微软雅黑" w:cs="微软雅黑"/>
                <w:sz w:val="18"/>
                <w:szCs w:val="18"/>
              </w:rPr>
              <w:t>东庆资产管理有限公司</w:t>
            </w:r>
          </w:p>
        </w:tc>
        <w:tc>
          <w:tcPr>
            <w:tcW w:w="1057" w:type="dxa"/>
            <w:vAlign w:val="center"/>
          </w:tcPr>
          <w:p w14:paraId="14A79CBE">
            <w:pPr>
              <w:spacing w:line="360" w:lineRule="auto"/>
              <w:jc w:val="center"/>
              <w:rPr>
                <w:rFonts w:hint="eastAsia" w:ascii="微软雅黑" w:hAnsi="微软雅黑" w:eastAsia="微软雅黑" w:cs="微软雅黑"/>
                <w:sz w:val="18"/>
                <w:szCs w:val="18"/>
              </w:rPr>
            </w:pPr>
            <w:r>
              <w:rPr>
                <w:rFonts w:hint="eastAsia" w:ascii="微软雅黑" w:hAnsi="微软雅黑" w:eastAsia="微软雅黑" w:cs="微软雅黑"/>
                <w:sz w:val="18"/>
                <w:szCs w:val="18"/>
                <w:vertAlign w:val="baseline"/>
                <w:lang w:val="en-US" w:eastAsia="zh-CN"/>
              </w:rPr>
              <w:t>普通债权</w:t>
            </w:r>
          </w:p>
        </w:tc>
        <w:tc>
          <w:tcPr>
            <w:tcW w:w="1563" w:type="dxa"/>
            <w:vAlign w:val="center"/>
          </w:tcPr>
          <w:p w14:paraId="044E21A7">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3,733,909.85</w:t>
            </w:r>
          </w:p>
        </w:tc>
        <w:tc>
          <w:tcPr>
            <w:tcW w:w="1575" w:type="dxa"/>
            <w:vAlign w:val="center"/>
          </w:tcPr>
          <w:p w14:paraId="287D1269">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rPr>
              <w:t>3,733,909.85</w:t>
            </w:r>
          </w:p>
        </w:tc>
        <w:tc>
          <w:tcPr>
            <w:tcW w:w="1515" w:type="dxa"/>
            <w:vAlign w:val="center"/>
          </w:tcPr>
          <w:p w14:paraId="0B1ED3B7">
            <w:pPr>
              <w:jc w:val="center"/>
              <w:rPr>
                <w:rFonts w:hint="eastAsia" w:ascii="微软雅黑" w:hAnsi="微软雅黑" w:eastAsia="微软雅黑" w:cs="微软雅黑"/>
                <w:sz w:val="18"/>
                <w:szCs w:val="18"/>
              </w:rPr>
            </w:pPr>
            <w:r>
              <w:rPr>
                <w:rFonts w:hint="eastAsia" w:ascii="微软雅黑" w:hAnsi="微软雅黑" w:eastAsia="微软雅黑" w:cs="微软雅黑"/>
                <w:sz w:val="18"/>
                <w:szCs w:val="18"/>
                <w:lang w:val="en-US" w:eastAsia="zh-CN"/>
              </w:rPr>
              <w:t>1,245,383.02</w:t>
            </w:r>
          </w:p>
        </w:tc>
      </w:tr>
      <w:tr w14:paraId="63C9B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trPr>
        <w:tc>
          <w:tcPr>
            <w:tcW w:w="615" w:type="dxa"/>
            <w:vAlign w:val="center"/>
          </w:tcPr>
          <w:p w14:paraId="2AA944A3">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10</w:t>
            </w:r>
          </w:p>
        </w:tc>
        <w:tc>
          <w:tcPr>
            <w:tcW w:w="2085" w:type="dxa"/>
            <w:vAlign w:val="center"/>
          </w:tcPr>
          <w:p w14:paraId="2948A66A">
            <w:pPr>
              <w:spacing w:line="360" w:lineRule="auto"/>
              <w:jc w:val="both"/>
              <w:rPr>
                <w:rFonts w:hint="eastAsia" w:ascii="微软雅黑" w:hAnsi="微软雅黑" w:eastAsia="微软雅黑" w:cs="微软雅黑"/>
                <w:sz w:val="18"/>
                <w:szCs w:val="18"/>
              </w:rPr>
            </w:pPr>
            <w:r>
              <w:rPr>
                <w:rFonts w:hint="eastAsia" w:ascii="微软雅黑" w:hAnsi="微软雅黑" w:eastAsia="微软雅黑" w:cs="微软雅黑"/>
                <w:sz w:val="18"/>
                <w:szCs w:val="18"/>
              </w:rPr>
              <w:t>北京市密云区财政局</w:t>
            </w:r>
          </w:p>
        </w:tc>
        <w:tc>
          <w:tcPr>
            <w:tcW w:w="1057" w:type="dxa"/>
            <w:vAlign w:val="center"/>
          </w:tcPr>
          <w:p w14:paraId="43F1D335">
            <w:pPr>
              <w:spacing w:line="360" w:lineRule="auto"/>
              <w:jc w:val="center"/>
              <w:rPr>
                <w:rFonts w:hint="default" w:ascii="微软雅黑" w:hAnsi="微软雅黑" w:eastAsia="微软雅黑" w:cs="微软雅黑"/>
                <w:sz w:val="18"/>
                <w:szCs w:val="18"/>
                <w:lang w:val="en-US" w:eastAsia="zh-CN"/>
              </w:rPr>
            </w:pPr>
            <w:r>
              <w:rPr>
                <w:rFonts w:hint="eastAsia" w:ascii="微软雅黑" w:hAnsi="微软雅黑" w:eastAsia="微软雅黑" w:cs="微软雅黑"/>
                <w:sz w:val="18"/>
                <w:szCs w:val="18"/>
                <w:lang w:val="en-US" w:eastAsia="zh-CN"/>
              </w:rPr>
              <w:t>职工债权</w:t>
            </w:r>
          </w:p>
        </w:tc>
        <w:tc>
          <w:tcPr>
            <w:tcW w:w="1563" w:type="dxa"/>
            <w:vAlign w:val="center"/>
          </w:tcPr>
          <w:p w14:paraId="499F6E4A">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8,587,009.02</w:t>
            </w:r>
          </w:p>
        </w:tc>
        <w:tc>
          <w:tcPr>
            <w:tcW w:w="1575" w:type="dxa"/>
            <w:vAlign w:val="center"/>
          </w:tcPr>
          <w:p w14:paraId="3F40D04C">
            <w:pPr>
              <w:spacing w:line="360" w:lineRule="auto"/>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rPr>
              <w:t>2,957,060.35</w:t>
            </w:r>
          </w:p>
        </w:tc>
        <w:tc>
          <w:tcPr>
            <w:tcW w:w="1515" w:type="dxa"/>
            <w:vAlign w:val="center"/>
          </w:tcPr>
          <w:p w14:paraId="17325CB4">
            <w:pPr>
              <w:jc w:val="center"/>
              <w:rPr>
                <w:rFonts w:hint="default" w:ascii="微软雅黑" w:hAnsi="微软雅黑" w:eastAsia="微软雅黑" w:cs="微软雅黑"/>
                <w:sz w:val="18"/>
                <w:szCs w:val="18"/>
                <w:lang w:val="en-US" w:eastAsia="zh-CN"/>
              </w:rPr>
            </w:pPr>
            <w:r>
              <w:rPr>
                <w:rFonts w:hint="eastAsia" w:ascii="微软雅黑" w:hAnsi="微软雅黑" w:eastAsia="微软雅黑" w:cs="微软雅黑"/>
                <w:sz w:val="18"/>
                <w:szCs w:val="18"/>
                <w:lang w:val="en-US" w:eastAsia="zh-CN"/>
              </w:rPr>
              <w:t>2,957,060.35</w:t>
            </w:r>
          </w:p>
        </w:tc>
      </w:tr>
      <w:tr w14:paraId="7C301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3757" w:type="dxa"/>
            <w:gridSpan w:val="3"/>
            <w:vAlign w:val="center"/>
          </w:tcPr>
          <w:p w14:paraId="68D97F8B">
            <w:pPr>
              <w:spacing w:line="360" w:lineRule="auto"/>
              <w:jc w:val="center"/>
              <w:rPr>
                <w:rFonts w:hint="eastAsia" w:ascii="微软雅黑" w:hAnsi="微软雅黑" w:eastAsia="微软雅黑" w:cs="微软雅黑"/>
                <w:sz w:val="18"/>
                <w:szCs w:val="18"/>
                <w:lang w:val="en-US" w:eastAsia="zh-CN"/>
              </w:rPr>
            </w:pPr>
            <w:r>
              <w:rPr>
                <w:rFonts w:hint="eastAsia" w:ascii="微软雅黑" w:hAnsi="微软雅黑" w:eastAsia="微软雅黑" w:cs="微软雅黑"/>
                <w:sz w:val="18"/>
                <w:szCs w:val="18"/>
                <w:lang w:val="en-US" w:eastAsia="zh-CN"/>
              </w:rPr>
              <w:t>合计</w:t>
            </w:r>
          </w:p>
        </w:tc>
        <w:tc>
          <w:tcPr>
            <w:tcW w:w="1563" w:type="dxa"/>
            <w:vAlign w:val="center"/>
          </w:tcPr>
          <w:p w14:paraId="448A0FBE">
            <w:pPr>
              <w:spacing w:line="360" w:lineRule="auto"/>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94,220,176.23</w:t>
            </w:r>
          </w:p>
        </w:tc>
        <w:tc>
          <w:tcPr>
            <w:tcW w:w="1575" w:type="dxa"/>
            <w:vAlign w:val="center"/>
          </w:tcPr>
          <w:p w14:paraId="70311EFC">
            <w:pPr>
              <w:spacing w:line="360" w:lineRule="auto"/>
              <w:jc w:val="center"/>
              <w:rPr>
                <w:rFonts w:hint="default" w:ascii="微软雅黑" w:hAnsi="微软雅黑" w:eastAsia="微软雅黑" w:cs="微软雅黑"/>
                <w:sz w:val="18"/>
                <w:szCs w:val="18"/>
                <w:lang w:val="en-US" w:eastAsia="zh-CN"/>
              </w:rPr>
            </w:pPr>
            <w:r>
              <w:rPr>
                <w:rFonts w:hint="eastAsia" w:ascii="微软雅黑" w:hAnsi="微软雅黑" w:eastAsia="微软雅黑" w:cs="微软雅黑"/>
                <w:sz w:val="18"/>
                <w:szCs w:val="18"/>
                <w:lang w:val="en-US" w:eastAsia="zh-CN"/>
              </w:rPr>
              <w:t>79,022,141.39</w:t>
            </w:r>
          </w:p>
        </w:tc>
        <w:tc>
          <w:tcPr>
            <w:tcW w:w="1515" w:type="dxa"/>
            <w:vAlign w:val="center"/>
          </w:tcPr>
          <w:p w14:paraId="11985C57">
            <w:pPr>
              <w:jc w:val="center"/>
              <w:rPr>
                <w:rFonts w:hint="eastAsia" w:ascii="微软雅黑" w:hAnsi="微软雅黑" w:eastAsia="微软雅黑" w:cs="微软雅黑"/>
                <w:sz w:val="18"/>
                <w:szCs w:val="18"/>
              </w:rPr>
            </w:pPr>
            <w:r>
              <w:rPr>
                <w:rFonts w:hint="eastAsia" w:ascii="微软雅黑" w:hAnsi="微软雅黑" w:eastAsia="微软雅黑" w:cs="微软雅黑"/>
                <w:sz w:val="18"/>
                <w:szCs w:val="18"/>
                <w:lang w:val="en-US" w:eastAsia="zh-CN"/>
              </w:rPr>
              <w:t>31,518,567.30</w:t>
            </w:r>
          </w:p>
        </w:tc>
      </w:tr>
    </w:tbl>
    <w:p w14:paraId="4E7BBF84">
      <w:pPr>
        <w:keepNext w:val="0"/>
        <w:keepLines w:val="0"/>
        <w:pageBreakBefore w:val="0"/>
        <w:widowControl w:val="0"/>
        <w:kinsoku/>
        <w:wordWrap/>
        <w:overflowPunct/>
        <w:topLinePunct w:val="0"/>
        <w:autoSpaceDE/>
        <w:autoSpaceDN/>
        <w:bidi w:val="0"/>
        <w:adjustRightInd/>
        <w:snapToGrid/>
        <w:spacing w:before="120" w:after="120" w:line="360" w:lineRule="auto"/>
        <w:ind w:firstLine="360" w:firstLineChars="200"/>
        <w:textAlignment w:val="auto"/>
        <w:rPr>
          <w:rFonts w:hint="default" w:ascii="仿宋" w:hAnsi="仿宋" w:eastAsia="仿宋" w:cs="仿宋"/>
          <w:sz w:val="32"/>
          <w:szCs w:val="32"/>
          <w:highlight w:val="none"/>
          <w:lang w:val="en-US" w:eastAsia="zh-CN"/>
        </w:rPr>
      </w:pPr>
      <w:r>
        <w:rPr>
          <w:rFonts w:hint="eastAsia" w:ascii="微软雅黑" w:hAnsi="微软雅黑" w:eastAsia="微软雅黑" w:cs="微软雅黑"/>
          <w:b w:val="0"/>
          <w:bCs w:val="0"/>
          <w:sz w:val="18"/>
          <w:szCs w:val="18"/>
          <w:highlight w:val="none"/>
          <w:lang w:val="en-US" w:eastAsia="zh-CN"/>
        </w:rPr>
        <w:t>注：第6项 北京农村商业银行股份有限公司密云支行所涉及份额暂缓分配，依法提存，待清算组完成全部核查工作，明确债权归属、金额及合法性后，再依据核查结果依法推进后续分配事宜。</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6996B6">
    <w:pPr>
      <w:widowControl w:val="0"/>
      <w:tabs>
        <w:tab w:val="center" w:pos="4153"/>
        <w:tab w:val="right" w:pos="8306"/>
      </w:tabs>
      <w:snapToGrid w:val="0"/>
      <w:jc w:val="center"/>
      <w:rPr>
        <w:rFonts w:ascii="等线" w:hAnsi="等线" w:eastAsia="等线" w:cs="Times New Roman"/>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43D1B4">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D43D1B4">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45365"/>
    <w:rsid w:val="03724537"/>
    <w:rsid w:val="071707FA"/>
    <w:rsid w:val="0A4F76B2"/>
    <w:rsid w:val="0CA00BB6"/>
    <w:rsid w:val="12531A66"/>
    <w:rsid w:val="16621700"/>
    <w:rsid w:val="1EAB0460"/>
    <w:rsid w:val="20C02843"/>
    <w:rsid w:val="3A1A3107"/>
    <w:rsid w:val="42186000"/>
    <w:rsid w:val="56C85FFA"/>
    <w:rsid w:val="6B605E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787</Words>
  <Characters>1204</Characters>
  <Lines>0</Lines>
  <Paragraphs>0</Paragraphs>
  <TotalTime>20</TotalTime>
  <ScaleCrop>false</ScaleCrop>
  <LinksUpToDate>false</LinksUpToDate>
  <CharactersWithSpaces>1235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2025-10-24T01:06:00Z</dcterms:created>
  <dc:creator>GoGo</dc:creator>
  <cp:lastModifiedBy>贺</cp:lastModifiedBy>
  <dcterms:modified xsi:type="dcterms:W3CDTF">2025-12-28T01:44:51Z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eyJoZGlkIjoiODc0NDRkZmI4N2QwMTE4MTg5ZTM4MTZiMDliYzM3MDYiLCJ1c2VySWQiOiIxNDc3MjE2NTIyIn0=</vt:lpwstr>
  </property>
  <property fmtid="{D5CDD505-2E9C-101B-9397-08002B2CF9AE}" pid="4" name="ICV">
    <vt:lpwstr>5EB45989BD3341CA9A04E804D4656CA8_13</vt:lpwstr>
  </property>
</Properties>
</file>