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5D7E">
      <w:pPr>
        <w:snapToGrid w:val="0"/>
        <w:spacing w:line="360" w:lineRule="auto"/>
        <w:jc w:val="center"/>
        <w:rPr>
          <w:rFonts w:hint="eastAsia" w:ascii="仿宋" w:hAnsi="仿宋" w:eastAsia="仿宋" w:cs="仿宋"/>
          <w:bCs/>
          <w:sz w:val="44"/>
          <w:szCs w:val="44"/>
        </w:rPr>
      </w:pPr>
      <w:r>
        <w:rPr>
          <w:rFonts w:hint="eastAsia" w:ascii="仿宋" w:hAnsi="仿宋" w:eastAsia="仿宋"/>
          <w:b/>
          <w:bCs/>
          <w:sz w:val="44"/>
          <w:szCs w:val="44"/>
        </w:rPr>
        <w:t>债权申报通知书</w:t>
      </w:r>
    </w:p>
    <w:p w14:paraId="6FD647FA">
      <w:pPr>
        <w:spacing w:line="460" w:lineRule="exact"/>
        <w:jc w:val="left"/>
        <w:rPr>
          <w:rFonts w:hint="eastAsia" w:ascii="仿宋" w:hAnsi="仿宋" w:eastAsia="仿宋" w:cs="仿宋"/>
          <w:b/>
          <w:bCs/>
          <w:sz w:val="24"/>
        </w:rPr>
      </w:pPr>
      <w:r>
        <w:rPr>
          <w:rFonts w:hint="eastAsia" w:ascii="仿宋" w:hAnsi="仿宋" w:eastAsia="仿宋" w:cs="仿宋"/>
          <w:b/>
          <w:bCs/>
          <w:sz w:val="24"/>
        </w:rPr>
        <w:t>广东花坪卫生材料有限公司各债权人：</w:t>
      </w:r>
    </w:p>
    <w:p w14:paraId="1E00FA5E">
      <w:pPr>
        <w:spacing w:line="460" w:lineRule="exact"/>
        <w:ind w:firstLine="480" w:firstLineChars="200"/>
        <w:rPr>
          <w:rFonts w:hint="eastAsia" w:ascii="仿宋" w:hAnsi="仿宋" w:eastAsia="仿宋" w:cs="仿宋"/>
          <w:sz w:val="24"/>
        </w:rPr>
      </w:pPr>
      <w:r>
        <w:rPr>
          <w:rFonts w:hint="eastAsia" w:ascii="仿宋" w:hAnsi="仿宋" w:eastAsia="仿宋" w:cs="仿宋"/>
          <w:sz w:val="24"/>
        </w:rPr>
        <w:t>2025年8月21日，广东省高级人民法院</w:t>
      </w:r>
      <w:r>
        <w:rPr>
          <w:rFonts w:hint="eastAsia" w:ascii="仿宋" w:hAnsi="仿宋" w:eastAsia="仿宋" w:cs="仿宋"/>
          <w:sz w:val="24"/>
          <w:lang w:val="en-US" w:eastAsia="zh-CN"/>
        </w:rPr>
        <w:t>出具</w:t>
      </w:r>
      <w:r>
        <w:rPr>
          <w:rFonts w:hint="eastAsia" w:ascii="仿宋" w:hAnsi="仿宋" w:eastAsia="仿宋" w:cs="仿宋"/>
          <w:sz w:val="24"/>
        </w:rPr>
        <w:t>（2025）粤破</w:t>
      </w:r>
      <w:r>
        <w:rPr>
          <w:rFonts w:hint="eastAsia" w:ascii="仿宋" w:hAnsi="仿宋" w:eastAsia="仿宋" w:cs="仿宋"/>
          <w:sz w:val="24"/>
          <w:lang w:val="en-US" w:eastAsia="zh-CN"/>
        </w:rPr>
        <w:t>终</w:t>
      </w:r>
      <w:r>
        <w:rPr>
          <w:rFonts w:hint="eastAsia" w:ascii="仿宋" w:hAnsi="仿宋" w:eastAsia="仿宋" w:cs="仿宋"/>
          <w:sz w:val="24"/>
        </w:rPr>
        <w:t>2</w:t>
      </w:r>
      <w:r>
        <w:rPr>
          <w:rFonts w:hint="eastAsia" w:ascii="仿宋" w:hAnsi="仿宋" w:eastAsia="仿宋" w:cs="仿宋"/>
          <w:sz w:val="24"/>
          <w:lang w:val="en-US" w:eastAsia="zh-CN"/>
        </w:rPr>
        <w:t>81</w:t>
      </w:r>
      <w:r>
        <w:rPr>
          <w:rFonts w:hint="eastAsia" w:ascii="仿宋" w:hAnsi="仿宋" w:eastAsia="仿宋" w:cs="仿宋"/>
          <w:sz w:val="24"/>
        </w:rPr>
        <w:t>号</w:t>
      </w:r>
      <w:r>
        <w:rPr>
          <w:rFonts w:hint="eastAsia" w:ascii="仿宋" w:hAnsi="仿宋" w:eastAsia="仿宋" w:cs="仿宋"/>
          <w:sz w:val="24"/>
          <w:lang w:eastAsia="zh-CN"/>
        </w:rPr>
        <w:t>《</w:t>
      </w:r>
      <w:r>
        <w:rPr>
          <w:rFonts w:hint="eastAsia" w:ascii="仿宋" w:hAnsi="仿宋" w:eastAsia="仿宋" w:cs="仿宋"/>
          <w:sz w:val="24"/>
          <w:lang w:val="en-US" w:eastAsia="zh-CN"/>
        </w:rPr>
        <w:t>民事裁定书》，</w:t>
      </w:r>
      <w:r>
        <w:rPr>
          <w:rFonts w:hint="eastAsia" w:ascii="仿宋" w:hAnsi="仿宋" w:eastAsia="仿宋" w:cs="仿宋"/>
          <w:sz w:val="24"/>
        </w:rPr>
        <w:t>裁定指令广东省江门市中级人民法院受理广东花坪卫生材料有限公司破产清算一案。广东省江门市中级人民法院于2025年11月18日出具（2025）粤07破24-1号</w:t>
      </w:r>
      <w:r>
        <w:rPr>
          <w:rFonts w:hint="eastAsia" w:ascii="仿宋" w:hAnsi="仿宋" w:eastAsia="仿宋" w:cs="仿宋"/>
          <w:sz w:val="24"/>
          <w:lang w:eastAsia="zh-CN"/>
        </w:rPr>
        <w:t>《</w:t>
      </w:r>
      <w:r>
        <w:rPr>
          <w:rFonts w:hint="eastAsia" w:ascii="仿宋" w:hAnsi="仿宋" w:eastAsia="仿宋" w:cs="仿宋"/>
          <w:sz w:val="24"/>
        </w:rPr>
        <w:t>决定书</w:t>
      </w:r>
      <w:r>
        <w:rPr>
          <w:rFonts w:hint="eastAsia" w:ascii="仿宋" w:hAnsi="仿宋" w:eastAsia="仿宋" w:cs="仿宋"/>
          <w:sz w:val="24"/>
          <w:lang w:eastAsia="zh-CN"/>
        </w:rPr>
        <w:t>》</w:t>
      </w:r>
      <w:r>
        <w:rPr>
          <w:rFonts w:hint="eastAsia" w:ascii="仿宋" w:hAnsi="仿宋" w:eastAsia="仿宋" w:cs="仿宋"/>
          <w:sz w:val="24"/>
        </w:rPr>
        <w:t>，指定江门市江源会计师事务所有限公司担任破产管理人（以下简称“管理人”），由管理人接受各债权人申报债权。</w:t>
      </w:r>
    </w:p>
    <w:p w14:paraId="215F640B">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一、债权申报时间、地点及方式</w:t>
      </w:r>
    </w:p>
    <w:p w14:paraId="4D3C6513">
      <w:pPr>
        <w:spacing w:line="460" w:lineRule="exact"/>
        <w:ind w:firstLine="480" w:firstLineChars="200"/>
        <w:rPr>
          <w:rFonts w:hint="eastAsia" w:ascii="仿宋" w:hAnsi="仿宋" w:eastAsia="仿宋" w:cs="仿宋"/>
          <w:sz w:val="24"/>
        </w:rPr>
      </w:pPr>
      <w:r>
        <w:rPr>
          <w:rFonts w:hint="eastAsia" w:ascii="仿宋" w:hAnsi="仿宋" w:eastAsia="仿宋" w:cs="仿宋"/>
          <w:sz w:val="24"/>
        </w:rPr>
        <w:t>1.债权人应当在2026年1月26日前向管理人申报债权(对于附利息的债权，利息计算至 2025年8月2</w:t>
      </w:r>
      <w:r>
        <w:rPr>
          <w:rFonts w:hint="eastAsia" w:ascii="仿宋" w:hAnsi="仿宋" w:eastAsia="仿宋" w:cs="仿宋"/>
          <w:sz w:val="24"/>
          <w:lang w:val="en-US" w:eastAsia="zh-CN"/>
        </w:rPr>
        <w:t>0</w:t>
      </w:r>
      <w:r>
        <w:rPr>
          <w:rFonts w:hint="eastAsia" w:ascii="仿宋" w:hAnsi="仿宋" w:eastAsia="仿宋" w:cs="仿宋"/>
          <w:sz w:val="24"/>
        </w:rPr>
        <w:t>日)。</w:t>
      </w:r>
    </w:p>
    <w:p w14:paraId="4F945FCE">
      <w:pPr>
        <w:spacing w:line="460" w:lineRule="exact"/>
        <w:ind w:firstLine="480" w:firstLineChars="200"/>
        <w:rPr>
          <w:rFonts w:hint="eastAsia" w:ascii="仿宋" w:hAnsi="仿宋" w:eastAsia="仿宋" w:cs="仿宋"/>
          <w:sz w:val="24"/>
        </w:rPr>
      </w:pPr>
      <w:r>
        <w:rPr>
          <w:rFonts w:hint="eastAsia" w:ascii="仿宋" w:hAnsi="仿宋" w:eastAsia="仿宋" w:cs="仿宋"/>
          <w:sz w:val="24"/>
        </w:rPr>
        <w:t>2.债权申报资料可邮寄提交或现场提交。</w:t>
      </w:r>
    </w:p>
    <w:p w14:paraId="284DBB93">
      <w:pPr>
        <w:spacing w:line="460" w:lineRule="exact"/>
        <w:ind w:firstLine="480" w:firstLineChars="200"/>
        <w:rPr>
          <w:rFonts w:hint="eastAsia" w:ascii="仿宋" w:hAnsi="仿宋" w:eastAsia="仿宋" w:cs="仿宋"/>
          <w:sz w:val="24"/>
        </w:rPr>
      </w:pPr>
      <w:bookmarkStart w:id="0" w:name="OLE_LINK6"/>
      <w:bookmarkStart w:id="1" w:name="OLE_LINK5"/>
      <w:r>
        <w:rPr>
          <w:rFonts w:hint="eastAsia" w:ascii="仿宋" w:hAnsi="仿宋" w:eastAsia="仿宋" w:cs="仿宋"/>
          <w:sz w:val="24"/>
        </w:rPr>
        <w:t>3.通讯地址：广东省江门市蓬江区丰乐路146号奥园广场北门501江门市江源会计师事务所有限公司；联系人：</w:t>
      </w:r>
      <w:r>
        <w:rPr>
          <w:rFonts w:hint="eastAsia" w:ascii="仿宋" w:hAnsi="仿宋" w:eastAsia="仿宋" w:cs="仿宋"/>
          <w:sz w:val="24"/>
          <w:lang w:val="en-US" w:eastAsia="zh-CN"/>
        </w:rPr>
        <w:t>温菁敏</w:t>
      </w:r>
      <w:r>
        <w:rPr>
          <w:rFonts w:hint="eastAsia" w:ascii="仿宋" w:hAnsi="仿宋" w:eastAsia="仿宋" w:cs="仿宋"/>
          <w:sz w:val="24"/>
        </w:rPr>
        <w:t>；联系电话：</w:t>
      </w:r>
      <w:r>
        <w:rPr>
          <w:rFonts w:hint="eastAsia" w:ascii="仿宋" w:hAnsi="仿宋" w:eastAsia="仿宋" w:cs="仿宋"/>
          <w:sz w:val="24"/>
          <w:lang w:val="en-US" w:eastAsia="zh-CN"/>
        </w:rPr>
        <w:t>13631800993</w:t>
      </w:r>
      <w:r>
        <w:rPr>
          <w:rFonts w:hint="eastAsia" w:ascii="仿宋" w:hAnsi="仿宋" w:eastAsia="仿宋" w:cs="仿宋"/>
          <w:sz w:val="24"/>
        </w:rPr>
        <w:t>。</w:t>
      </w:r>
    </w:p>
    <w:bookmarkEnd w:id="0"/>
    <w:bookmarkEnd w:id="1"/>
    <w:p w14:paraId="4CC5357C">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二、债权申报所需资料领取途径</w:t>
      </w:r>
    </w:p>
    <w:p w14:paraId="5D2FAFA2">
      <w:pPr>
        <w:spacing w:line="460" w:lineRule="exact"/>
        <w:ind w:firstLine="480" w:firstLineChars="200"/>
        <w:rPr>
          <w:rFonts w:hint="eastAsia" w:ascii="仿宋" w:hAnsi="仿宋" w:eastAsia="仿宋" w:cs="仿宋"/>
          <w:sz w:val="24"/>
        </w:rPr>
      </w:pPr>
      <w:r>
        <w:rPr>
          <w:rFonts w:hint="eastAsia" w:ascii="仿宋" w:hAnsi="仿宋" w:eastAsia="仿宋" w:cs="仿宋"/>
          <w:sz w:val="24"/>
        </w:rPr>
        <w:t>广东花坪卫生材料有限公司</w:t>
      </w:r>
      <w:r>
        <w:rPr>
          <w:rFonts w:hint="eastAsia" w:ascii="仿宋" w:hAnsi="仿宋" w:eastAsia="仿宋" w:cs="仿宋"/>
          <w:sz w:val="24"/>
          <w:lang w:val="en-US" w:eastAsia="zh-CN"/>
        </w:rPr>
        <w:t>的</w:t>
      </w:r>
      <w:r>
        <w:rPr>
          <w:rFonts w:hint="eastAsia" w:ascii="仿宋" w:hAnsi="仿宋" w:eastAsia="仿宋" w:cs="仿宋"/>
          <w:sz w:val="24"/>
        </w:rPr>
        <w:t>债权</w:t>
      </w:r>
      <w:r>
        <w:rPr>
          <w:rFonts w:hint="eastAsia" w:ascii="仿宋" w:hAnsi="仿宋" w:eastAsia="仿宋" w:cs="仿宋"/>
          <w:sz w:val="24"/>
          <w:lang w:val="en-US" w:eastAsia="zh-CN"/>
        </w:rPr>
        <w:t>人可以通过</w:t>
      </w:r>
      <w:r>
        <w:rPr>
          <w:rFonts w:hint="eastAsia" w:ascii="仿宋" w:hAnsi="仿宋" w:eastAsia="仿宋" w:cs="仿宋"/>
          <w:sz w:val="24"/>
        </w:rPr>
        <w:t>“全国企业破产重整案件信息网”</w:t>
      </w:r>
      <w:r>
        <w:rPr>
          <w:rFonts w:hint="eastAsia" w:ascii="仿宋" w:hAnsi="仿宋" w:eastAsia="仿宋" w:cs="仿宋"/>
          <w:sz w:val="24"/>
          <w:lang w:val="en-US" w:eastAsia="zh-CN"/>
        </w:rPr>
        <w:t>或</w:t>
      </w:r>
      <w:r>
        <w:rPr>
          <w:rFonts w:hint="eastAsia" w:ascii="仿宋" w:hAnsi="仿宋" w:eastAsia="仿宋" w:cs="仿宋"/>
          <w:sz w:val="24"/>
        </w:rPr>
        <w:t>联系管理人获取债权申报资料。</w:t>
      </w:r>
    </w:p>
    <w:p w14:paraId="474D9317">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三、债权人申报债权应提交的资料</w:t>
      </w:r>
    </w:p>
    <w:p w14:paraId="45834CE6">
      <w:pPr>
        <w:spacing w:line="460" w:lineRule="exact"/>
        <w:ind w:firstLine="480" w:firstLineChars="200"/>
        <w:rPr>
          <w:rFonts w:hint="eastAsia" w:ascii="仿宋" w:hAnsi="仿宋" w:eastAsia="仿宋" w:cs="仿宋"/>
          <w:sz w:val="24"/>
        </w:rPr>
      </w:pPr>
      <w:r>
        <w:rPr>
          <w:rFonts w:hint="eastAsia" w:ascii="仿宋" w:hAnsi="仿宋" w:eastAsia="仿宋" w:cs="仿宋"/>
          <w:sz w:val="24"/>
        </w:rPr>
        <w:t>申报人应当如实、详细填写《债权申报登记表》以及提供完整、真实有效的申报材料，并按照“债权申报材料清单→债权申报登记表→债权人主体资料及授权材料→承诺书→送达地址确认书→证明债权事实的相关证据材料”顺序整理的纸质版邮寄提交管理人，同时将上述债权申报材料的电子扫描件发送至管理人邮箱：</w:t>
      </w:r>
      <w:r>
        <w:rPr>
          <w:rFonts w:hint="eastAsia" w:ascii="仿宋" w:hAnsi="仿宋" w:eastAsia="仿宋" w:cs="仿宋"/>
          <w:sz w:val="24"/>
          <w:lang w:val="en-US" w:eastAsia="zh-CN"/>
        </w:rPr>
        <w:t>13631800993</w:t>
      </w:r>
      <w:r>
        <w:rPr>
          <w:rFonts w:hint="eastAsia" w:ascii="仿宋" w:hAnsi="仿宋" w:eastAsia="仿宋" w:cs="仿宋"/>
          <w:sz w:val="24"/>
        </w:rPr>
        <w:t>@163.com 。</w:t>
      </w:r>
    </w:p>
    <w:p w14:paraId="7244720A">
      <w:pPr>
        <w:spacing w:line="460" w:lineRule="exact"/>
        <w:ind w:firstLine="480" w:firstLineChars="200"/>
        <w:rPr>
          <w:rFonts w:hint="eastAsia" w:ascii="仿宋" w:hAnsi="仿宋" w:eastAsia="仿宋" w:cs="仿宋"/>
          <w:sz w:val="24"/>
        </w:rPr>
      </w:pPr>
      <w:r>
        <w:rPr>
          <w:rFonts w:hint="eastAsia" w:ascii="仿宋" w:hAnsi="仿宋" w:eastAsia="仿宋" w:cs="仿宋"/>
          <w:sz w:val="24"/>
        </w:rPr>
        <w:t>1.债权申报材料清单：债权人需按提交的所有材料顺序、数量、原件/复印件在清单中列明并签名。</w:t>
      </w:r>
    </w:p>
    <w:p w14:paraId="0A7ADDE0">
      <w:pPr>
        <w:spacing w:line="460" w:lineRule="exact"/>
        <w:ind w:firstLine="480" w:firstLineChars="200"/>
        <w:rPr>
          <w:rFonts w:hint="eastAsia" w:ascii="仿宋" w:hAnsi="仿宋" w:eastAsia="仿宋" w:cs="仿宋"/>
          <w:sz w:val="24"/>
        </w:rPr>
      </w:pPr>
      <w:r>
        <w:rPr>
          <w:rFonts w:hint="eastAsia" w:ascii="仿宋" w:hAnsi="仿宋" w:eastAsia="仿宋" w:cs="仿宋"/>
          <w:sz w:val="24"/>
        </w:rPr>
        <w:t>2.债权申报登记表：债权人需如实填写债权申报登记表，盖章签署。申报金额含利息、罚息、复利、违约金等费用的，应当提交相应的计算明细表，附于债权申报表之后。</w:t>
      </w:r>
    </w:p>
    <w:p w14:paraId="62832138">
      <w:pPr>
        <w:spacing w:line="460" w:lineRule="exact"/>
        <w:ind w:firstLine="480" w:firstLineChars="200"/>
        <w:rPr>
          <w:rFonts w:hint="eastAsia" w:ascii="仿宋" w:hAnsi="仿宋" w:eastAsia="仿宋" w:cs="仿宋"/>
          <w:sz w:val="24"/>
        </w:rPr>
      </w:pPr>
      <w:r>
        <w:rPr>
          <w:rFonts w:hint="eastAsia" w:ascii="仿宋" w:hAnsi="仿宋" w:eastAsia="仿宋" w:cs="仿宋"/>
          <w:sz w:val="24"/>
        </w:rPr>
        <w:t>3.主体材料：债权人为企业或机构的，应提供有效的营业执照或组织机构代码证复印件（加盖公章）、法定代表人身份证明书（原件）、法定代表人身份证复印件（加盖公章）；</w:t>
      </w:r>
    </w:p>
    <w:p w14:paraId="438A4960">
      <w:pPr>
        <w:spacing w:line="460" w:lineRule="exact"/>
        <w:ind w:firstLine="480" w:firstLineChars="200"/>
        <w:rPr>
          <w:rFonts w:hint="eastAsia" w:ascii="仿宋" w:hAnsi="仿宋" w:eastAsia="仿宋" w:cs="仿宋"/>
          <w:sz w:val="24"/>
        </w:rPr>
      </w:pPr>
      <w:r>
        <w:rPr>
          <w:rFonts w:hint="eastAsia" w:ascii="仿宋" w:hAnsi="仿宋" w:eastAsia="仿宋" w:cs="仿宋"/>
          <w:sz w:val="24"/>
        </w:rPr>
        <w:t>债权人为自然人的，应提供目前仍在有效期限内的身份证复印件（本人在复印件上签字确认）。</w:t>
      </w:r>
    </w:p>
    <w:p w14:paraId="5B2F1F32">
      <w:pPr>
        <w:spacing w:line="460" w:lineRule="exact"/>
        <w:ind w:firstLine="480" w:firstLineChars="200"/>
        <w:rPr>
          <w:rFonts w:hint="eastAsia" w:ascii="仿宋" w:hAnsi="仿宋" w:eastAsia="仿宋" w:cs="仿宋"/>
          <w:sz w:val="24"/>
        </w:rPr>
      </w:pPr>
      <w:r>
        <w:rPr>
          <w:rFonts w:hint="eastAsia" w:ascii="仿宋" w:hAnsi="仿宋" w:eastAsia="仿宋" w:cs="仿宋"/>
          <w:sz w:val="24"/>
        </w:rPr>
        <w:t>4.授权材料：债权人如委托代理人申报的，还须提交授权委托书（原件）及代理人身份证复印件（代理人在复印件上签字确认）；委托代理人是律师的，还应提交律师事务所的公函及律师执业证复印件。</w:t>
      </w:r>
    </w:p>
    <w:p w14:paraId="41B447B4">
      <w:pPr>
        <w:spacing w:line="460" w:lineRule="exact"/>
        <w:ind w:firstLine="480" w:firstLineChars="200"/>
        <w:rPr>
          <w:rFonts w:hint="eastAsia" w:ascii="仿宋" w:hAnsi="仿宋" w:eastAsia="仿宋" w:cs="仿宋"/>
          <w:b/>
          <w:bCs/>
          <w:sz w:val="24"/>
        </w:rPr>
      </w:pPr>
      <w:r>
        <w:rPr>
          <w:rFonts w:hint="eastAsia" w:ascii="仿宋" w:hAnsi="仿宋" w:eastAsia="仿宋" w:cs="仿宋"/>
          <w:sz w:val="24"/>
        </w:rPr>
        <w:t>5.送达地址确认书：债权人申报债权时，应在《送达地址确认书》中明确申报人的联系地址、邮编、电话、电子邮箱、联系人等。</w:t>
      </w:r>
      <w:r>
        <w:rPr>
          <w:rFonts w:hint="eastAsia" w:ascii="仿宋" w:hAnsi="仿宋" w:eastAsia="仿宋" w:cs="仿宋"/>
          <w:b/>
          <w:bCs/>
          <w:sz w:val="24"/>
        </w:rPr>
        <w:t>注意：因申报人提供的送达方式不准确、送达地址变更未及时告知，受送达人本人或者受送达人指定的代收人拒绝签收，导致相关文书未能被申报人实际接收的，相关文书退回之日视为送达之日。后续债权人若需变更本次填写的《送达地址确认书》上的任一信息的，应当及时以书面形式告知管理人；否则，由此产生的不利后果由债权人承担。</w:t>
      </w:r>
    </w:p>
    <w:p w14:paraId="51A97BDD">
      <w:pPr>
        <w:spacing w:line="460" w:lineRule="exact"/>
        <w:ind w:firstLine="480" w:firstLineChars="200"/>
        <w:rPr>
          <w:rFonts w:hint="eastAsia" w:ascii="仿宋" w:hAnsi="仿宋" w:eastAsia="仿宋" w:cs="仿宋"/>
          <w:sz w:val="24"/>
        </w:rPr>
      </w:pPr>
      <w:r>
        <w:rPr>
          <w:rFonts w:hint="eastAsia" w:ascii="仿宋" w:hAnsi="仿宋" w:eastAsia="仿宋" w:cs="仿宋"/>
          <w:sz w:val="24"/>
        </w:rPr>
        <w:t>6.申报债权的相关证据材料：债权人需提供证明债权成立的相关证据（复印件），如：合同、协议、收款或付款凭证、孳息或违约金计算凭证等书面材料）；进入司法程序或者仲裁程序的，同时提交司法部门或仲裁机构出具的相关法律文书，如仲裁裁决书及送达回证、民事判决书及判决生效日期等生效证明文书、执行受理通知书、执行裁定书等文书。债权人现场申报债权时，需携带所有证据材料原件给管理人核对(核对后归还)；若债权人向管理人邮寄债权申报材料的，应在债权申报材料寄出后及时联系管理人预约核对证据材料原件的时间。</w:t>
      </w:r>
    </w:p>
    <w:p w14:paraId="7551CFD7">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四、债权人申报债权应注意的问题</w:t>
      </w:r>
    </w:p>
    <w:p w14:paraId="2D66EFC4">
      <w:pPr>
        <w:spacing w:line="460" w:lineRule="exact"/>
        <w:ind w:firstLine="480" w:firstLineChars="200"/>
        <w:rPr>
          <w:rFonts w:hint="eastAsia" w:ascii="仿宋" w:hAnsi="仿宋" w:eastAsia="仿宋" w:cs="仿宋"/>
          <w:sz w:val="24"/>
        </w:rPr>
      </w:pPr>
      <w:r>
        <w:rPr>
          <w:rFonts w:hint="eastAsia" w:ascii="仿宋" w:hAnsi="仿宋" w:eastAsia="仿宋" w:cs="仿宋"/>
          <w:sz w:val="24"/>
        </w:rPr>
        <w:t>1.未到期的债权，在破产清算申请受理时视为债权到期。</w:t>
      </w:r>
    </w:p>
    <w:p w14:paraId="73FAE965">
      <w:pPr>
        <w:spacing w:line="460" w:lineRule="exact"/>
        <w:ind w:firstLine="480" w:firstLineChars="200"/>
        <w:rPr>
          <w:rFonts w:hint="eastAsia" w:ascii="仿宋" w:hAnsi="仿宋" w:eastAsia="仿宋" w:cs="仿宋"/>
          <w:sz w:val="24"/>
        </w:rPr>
      </w:pPr>
      <w:r>
        <w:rPr>
          <w:rFonts w:hint="eastAsia" w:ascii="仿宋" w:hAnsi="仿宋" w:eastAsia="仿宋" w:cs="仿宋"/>
          <w:sz w:val="24"/>
        </w:rPr>
        <w:t>2.附利息的债权，自破产清算申请受理时（2025年8月21日）起停止计息，即利息计算至2025年8月20日止。</w:t>
      </w:r>
    </w:p>
    <w:p w14:paraId="68353184">
      <w:pPr>
        <w:spacing w:line="460" w:lineRule="exact"/>
        <w:ind w:firstLine="480" w:firstLineChars="200"/>
        <w:rPr>
          <w:rFonts w:hint="eastAsia" w:ascii="仿宋" w:hAnsi="仿宋" w:eastAsia="仿宋" w:cs="仿宋"/>
          <w:sz w:val="24"/>
        </w:rPr>
      </w:pPr>
      <w:r>
        <w:rPr>
          <w:rFonts w:hint="eastAsia" w:ascii="仿宋" w:hAnsi="仿宋" w:eastAsia="仿宋" w:cs="仿宋"/>
          <w:sz w:val="24"/>
        </w:rPr>
        <w:t>3.申报人未申报应付利息和违约金的，推定其放弃申报利息和违约金；利息、违约金等按照生效法律文书确定的计算标准及《最高人民法院关于审理民间借贷案件适用法律若干问题的规定》的规定计算，涉及年利率、日利率折算的，每年按360天、每月按30天计算。</w:t>
      </w:r>
    </w:p>
    <w:p w14:paraId="54233D86">
      <w:pPr>
        <w:spacing w:line="460" w:lineRule="exact"/>
        <w:ind w:firstLine="480" w:firstLineChars="200"/>
        <w:rPr>
          <w:rFonts w:hint="eastAsia" w:ascii="仿宋" w:hAnsi="仿宋" w:eastAsia="仿宋" w:cs="仿宋"/>
          <w:sz w:val="24"/>
        </w:rPr>
      </w:pPr>
      <w:r>
        <w:rPr>
          <w:rFonts w:hint="eastAsia" w:ascii="仿宋" w:hAnsi="仿宋" w:eastAsia="仿宋" w:cs="仿宋"/>
          <w:sz w:val="24"/>
        </w:rPr>
        <w:t>4.债权申报的所有金额均计算至裁定受理破产清算之日止（不含破产清算受理日），债权申报涉及外汇的，汇率折算以破产申请受理日的市场汇率中间价为准。</w:t>
      </w:r>
    </w:p>
    <w:p w14:paraId="248F0B5E">
      <w:pPr>
        <w:spacing w:line="460" w:lineRule="exact"/>
        <w:ind w:firstLine="480" w:firstLineChars="200"/>
        <w:rPr>
          <w:rFonts w:hint="eastAsia" w:ascii="仿宋" w:hAnsi="仿宋" w:eastAsia="仿宋" w:cs="仿宋"/>
          <w:sz w:val="24"/>
        </w:rPr>
      </w:pPr>
      <w:r>
        <w:rPr>
          <w:rFonts w:hint="eastAsia" w:ascii="仿宋" w:hAnsi="仿宋" w:eastAsia="仿宋" w:cs="仿宋"/>
          <w:sz w:val="24"/>
        </w:rPr>
        <w:t>5.根据《最高人民法院关于适用&lt;中华人民共和国企业破产法&gt;若干问题的规定（三）》的规定，管理人对债务人欠缴款项产生的滞纳金，包括债务人未履行生效法律文书应当加倍支付的迟延利息和劳动保险金的滞纳金债权不属于破产债权。</w:t>
      </w:r>
    </w:p>
    <w:p w14:paraId="04C9EC0F">
      <w:pPr>
        <w:spacing w:line="460" w:lineRule="exact"/>
        <w:ind w:firstLine="480" w:firstLineChars="200"/>
        <w:rPr>
          <w:rFonts w:hint="eastAsia" w:ascii="仿宋" w:hAnsi="仿宋" w:eastAsia="仿宋" w:cs="仿宋"/>
          <w:sz w:val="24"/>
        </w:rPr>
      </w:pPr>
      <w:r>
        <w:rPr>
          <w:rFonts w:hint="eastAsia" w:ascii="仿宋" w:hAnsi="仿宋" w:eastAsia="仿宋" w:cs="仿宋"/>
          <w:sz w:val="24"/>
        </w:rPr>
        <w:t>6.附条件、附期限的债权和诉讼、仲裁未决的债权，债权人可以申报。</w:t>
      </w:r>
    </w:p>
    <w:p w14:paraId="61880E99">
      <w:pPr>
        <w:spacing w:line="460" w:lineRule="exact"/>
        <w:ind w:firstLine="480" w:firstLineChars="200"/>
        <w:rPr>
          <w:rFonts w:hint="eastAsia" w:ascii="仿宋" w:hAnsi="仿宋" w:eastAsia="仿宋" w:cs="仿宋"/>
          <w:sz w:val="24"/>
        </w:rPr>
      </w:pPr>
      <w:r>
        <w:rPr>
          <w:rFonts w:hint="eastAsia" w:ascii="仿宋" w:hAnsi="仿宋" w:eastAsia="仿宋" w:cs="仿宋"/>
          <w:sz w:val="24"/>
        </w:rPr>
        <w:t>7.连带债权人可以由其中一人代表全体连带债权人申报债权，也可以共同申报债权。</w:t>
      </w:r>
    </w:p>
    <w:p w14:paraId="76FECE76">
      <w:pPr>
        <w:spacing w:line="460" w:lineRule="exact"/>
        <w:ind w:firstLine="480" w:firstLineChars="200"/>
        <w:rPr>
          <w:rFonts w:hint="eastAsia" w:ascii="仿宋" w:hAnsi="仿宋" w:eastAsia="仿宋" w:cs="仿宋"/>
          <w:sz w:val="24"/>
        </w:rPr>
      </w:pPr>
      <w:r>
        <w:rPr>
          <w:rFonts w:hint="eastAsia" w:ascii="仿宋" w:hAnsi="仿宋" w:eastAsia="仿宋" w:cs="仿宋"/>
          <w:sz w:val="24"/>
        </w:rPr>
        <w:t>8.债务人的保证人或者其他连带债务人已经代替债务人清偿债务的，可就其对债务人的将来求偿权申报债权。</w:t>
      </w:r>
    </w:p>
    <w:p w14:paraId="1366A6B8">
      <w:pPr>
        <w:spacing w:line="460" w:lineRule="exact"/>
        <w:ind w:firstLine="480" w:firstLineChars="200"/>
        <w:rPr>
          <w:rFonts w:hint="eastAsia" w:ascii="仿宋" w:hAnsi="仿宋" w:eastAsia="仿宋" w:cs="仿宋"/>
          <w:sz w:val="24"/>
        </w:rPr>
      </w:pPr>
      <w:r>
        <w:rPr>
          <w:rFonts w:hint="eastAsia" w:ascii="仿宋" w:hAnsi="仿宋" w:eastAsia="仿宋" w:cs="仿宋"/>
          <w:sz w:val="24"/>
        </w:rPr>
        <w:t>9.债务人的保证人或者其他连带债务人尚未代替债务人清偿债务的，可以其对债务人的将来求偿权申报债权，但债权人已经向管理人申报全部债权的除外。</w:t>
      </w:r>
    </w:p>
    <w:p w14:paraId="25D0AFEE">
      <w:pPr>
        <w:spacing w:line="460" w:lineRule="exact"/>
        <w:ind w:firstLine="480" w:firstLineChars="200"/>
        <w:rPr>
          <w:rFonts w:hint="eastAsia" w:ascii="仿宋" w:hAnsi="仿宋" w:eastAsia="仿宋" w:cs="仿宋"/>
          <w:sz w:val="24"/>
        </w:rPr>
      </w:pPr>
      <w:r>
        <w:rPr>
          <w:rFonts w:hint="eastAsia" w:ascii="仿宋" w:hAnsi="仿宋" w:eastAsia="仿宋" w:cs="仿宋"/>
          <w:sz w:val="24"/>
        </w:rPr>
        <w:t>10.法律规定其他可以申报的债权，债权人应当予以申报。</w:t>
      </w:r>
    </w:p>
    <w:p w14:paraId="0A110E34">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五、未依法申报债权的法律后果</w:t>
      </w:r>
    </w:p>
    <w:p w14:paraId="4C3A77B3">
      <w:pPr>
        <w:spacing w:line="460" w:lineRule="exact"/>
        <w:ind w:firstLine="480" w:firstLineChars="200"/>
        <w:rPr>
          <w:rFonts w:hint="eastAsia" w:ascii="仿宋" w:hAnsi="仿宋" w:eastAsia="仿宋" w:cs="仿宋"/>
          <w:sz w:val="24"/>
        </w:rPr>
      </w:pPr>
      <w:r>
        <w:rPr>
          <w:rFonts w:hint="eastAsia" w:ascii="仿宋" w:hAnsi="仿宋" w:eastAsia="仿宋" w:cs="仿宋"/>
          <w:sz w:val="24"/>
        </w:rPr>
        <w:t>如未能在上述期限内申报债权，可以在公司财产最后分配前补充申报，但对此前已进行的分配无权要求补充分配，同时要承担为审查和确认补充申报债权所产生的费用。未申报债权的，无权在公司清算程序中行使权利。</w:t>
      </w:r>
    </w:p>
    <w:p w14:paraId="25B3C968">
      <w:pPr>
        <w:spacing w:line="460" w:lineRule="exact"/>
        <w:ind w:firstLine="480" w:firstLineChars="200"/>
        <w:jc w:val="left"/>
        <w:rPr>
          <w:rFonts w:hint="eastAsia" w:ascii="仿宋" w:hAnsi="仿宋" w:eastAsia="仿宋" w:cs="仿宋"/>
          <w:sz w:val="24"/>
        </w:rPr>
      </w:pPr>
      <w:bookmarkStart w:id="2" w:name="_GoBack"/>
      <w:bookmarkEnd w:id="2"/>
    </w:p>
    <w:p w14:paraId="79D9F403">
      <w:pPr>
        <w:spacing w:line="460" w:lineRule="exact"/>
        <w:ind w:firstLine="480" w:firstLineChars="200"/>
        <w:jc w:val="left"/>
        <w:rPr>
          <w:rFonts w:hint="eastAsia" w:ascii="仿宋" w:hAnsi="仿宋" w:eastAsia="仿宋" w:cs="仿宋"/>
          <w:sz w:val="24"/>
        </w:rPr>
      </w:pPr>
    </w:p>
    <w:p w14:paraId="4A409849">
      <w:pPr>
        <w:spacing w:line="460" w:lineRule="exact"/>
        <w:ind w:firstLine="480" w:firstLineChars="200"/>
        <w:jc w:val="left"/>
        <w:rPr>
          <w:rFonts w:hint="eastAsia"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 xml:space="preserve">               广东花坪卫生材料有限公司管理人</w:t>
      </w:r>
    </w:p>
    <w:p w14:paraId="3AC472F7">
      <w:pPr>
        <w:spacing w:line="460" w:lineRule="exact"/>
        <w:ind w:firstLine="4800" w:firstLineChars="2000"/>
        <w:jc w:val="left"/>
        <w:rPr>
          <w:rFonts w:hint="eastAsia" w:ascii="仿宋" w:hAnsi="仿宋" w:eastAsia="仿宋" w:cs="仿宋"/>
          <w:sz w:val="24"/>
        </w:rPr>
      </w:pPr>
      <w:r>
        <w:rPr>
          <w:rFonts w:ascii="仿宋" w:hAnsi="仿宋" w:eastAsia="仿宋" w:cs="仿宋"/>
          <w:sz w:val="24"/>
        </w:rPr>
        <w:t>二〇二</w:t>
      </w:r>
      <w:r>
        <w:rPr>
          <w:rFonts w:hint="eastAsia" w:ascii="仿宋" w:hAnsi="仿宋" w:eastAsia="仿宋" w:cs="仿宋"/>
          <w:sz w:val="24"/>
        </w:rPr>
        <w:t>五</w:t>
      </w:r>
      <w:r>
        <w:rPr>
          <w:rFonts w:ascii="仿宋" w:hAnsi="仿宋" w:eastAsia="仿宋" w:cs="仿宋"/>
          <w:sz w:val="24"/>
        </w:rPr>
        <w:t>年</w:t>
      </w:r>
      <w:r>
        <w:rPr>
          <w:rFonts w:hint="eastAsia" w:ascii="仿宋" w:hAnsi="仿宋" w:eastAsia="仿宋" w:cs="仿宋"/>
          <w:sz w:val="24"/>
        </w:rPr>
        <w:t>十二</w:t>
      </w:r>
      <w:r>
        <w:rPr>
          <w:rFonts w:ascii="仿宋" w:hAnsi="仿宋" w:eastAsia="仿宋" w:cs="仿宋"/>
          <w:sz w:val="24"/>
        </w:rPr>
        <w:t>月</w:t>
      </w:r>
      <w:r>
        <w:rPr>
          <w:rFonts w:hint="eastAsia" w:ascii="仿宋" w:hAnsi="仿宋" w:eastAsia="仿宋" w:cs="仿宋"/>
          <w:sz w:val="24"/>
        </w:rPr>
        <w:t>十</w:t>
      </w:r>
      <w:r>
        <w:rPr>
          <w:rFonts w:hint="eastAsia" w:ascii="仿宋" w:hAnsi="仿宋" w:eastAsia="仿宋" w:cs="仿宋"/>
          <w:sz w:val="24"/>
          <w:lang w:val="en-US" w:eastAsia="zh-CN"/>
        </w:rPr>
        <w:t>五</w:t>
      </w:r>
      <w:r>
        <w:rPr>
          <w:rFonts w:ascii="仿宋" w:hAnsi="仿宋" w:eastAsia="仿宋" w:cs="仿宋"/>
          <w:sz w:val="24"/>
        </w:rPr>
        <w:t>日</w:t>
      </w:r>
    </w:p>
    <w:p w14:paraId="227AC8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p>
    <w:p w14:paraId="67A095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p>
    <w:p w14:paraId="5B5D0F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附：</w:t>
      </w:r>
    </w:p>
    <w:p w14:paraId="41CC16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1.管理人联系方式：</w:t>
      </w:r>
    </w:p>
    <w:p w14:paraId="1DE98D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地址：广东省江门市蓬江区丰乐路146号奥园广场北门501江门市江源会计师事务所有限公司；联系人：</w:t>
      </w:r>
      <w:r>
        <w:rPr>
          <w:rFonts w:hint="eastAsia" w:ascii="仿宋" w:hAnsi="仿宋" w:eastAsia="仿宋"/>
          <w:sz w:val="24"/>
          <w:lang w:val="en-US" w:eastAsia="zh-CN"/>
        </w:rPr>
        <w:t>温菁敏</w:t>
      </w:r>
      <w:r>
        <w:rPr>
          <w:rFonts w:hint="eastAsia" w:ascii="仿宋" w:hAnsi="仿宋" w:eastAsia="仿宋"/>
          <w:sz w:val="24"/>
        </w:rPr>
        <w:t>；联系电话：</w:t>
      </w:r>
      <w:r>
        <w:rPr>
          <w:rFonts w:hint="eastAsia" w:ascii="仿宋" w:hAnsi="仿宋" w:eastAsia="仿宋"/>
          <w:sz w:val="24"/>
          <w:lang w:val="en-US" w:eastAsia="zh-CN"/>
        </w:rPr>
        <w:t>13631800993</w:t>
      </w:r>
      <w:r>
        <w:rPr>
          <w:rFonts w:hint="eastAsia" w:ascii="仿宋" w:hAnsi="仿宋" w:eastAsia="仿宋"/>
          <w:sz w:val="24"/>
        </w:rPr>
        <w:t>。</w:t>
      </w:r>
    </w:p>
    <w:p w14:paraId="63225E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2、（2025）粤破终281号民事裁定书  复印件一份</w:t>
      </w:r>
    </w:p>
    <w:p w14:paraId="389D3D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 xml:space="preserve">3、（2025）粤07破24-1号决定书  </w:t>
      </w:r>
      <w:r>
        <w:rPr>
          <w:rFonts w:hint="eastAsia" w:ascii="仿宋" w:hAnsi="仿宋" w:eastAsia="仿宋"/>
          <w:sz w:val="24"/>
          <w:lang w:val="en-US" w:eastAsia="zh-CN"/>
        </w:rPr>
        <w:t xml:space="preserve">  </w:t>
      </w:r>
      <w:r>
        <w:rPr>
          <w:rFonts w:hint="eastAsia" w:ascii="仿宋" w:hAnsi="仿宋" w:eastAsia="仿宋"/>
          <w:sz w:val="24"/>
        </w:rPr>
        <w:t>复印件一份</w:t>
      </w:r>
    </w:p>
    <w:p w14:paraId="363228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rPr>
      </w:pPr>
      <w:r>
        <w:rPr>
          <w:rFonts w:hint="eastAsia" w:ascii="仿宋" w:hAnsi="仿宋" w:eastAsia="仿宋"/>
          <w:sz w:val="24"/>
        </w:rPr>
        <w:t xml:space="preserve">4、广东花坪卫生材料有限公司破产清算案债权申报表  </w:t>
      </w:r>
    </w:p>
    <w:sectPr>
      <w:headerReference r:id="rId3" w:type="default"/>
      <w:footerReference r:id="rId4" w:type="default"/>
      <w:pgSz w:w="11906" w:h="16838"/>
      <w:pgMar w:top="1240" w:right="1418" w:bottom="1318" w:left="1418" w:header="851" w:footer="51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383849"/>
    </w:sdtPr>
    <w:sdtContent>
      <w:p w14:paraId="160C25CB">
        <w:pPr>
          <w:pStyle w:val="3"/>
          <w:jc w:val="center"/>
        </w:pPr>
        <w:r>
          <w:fldChar w:fldCharType="begin"/>
        </w:r>
        <w:r>
          <w:instrText xml:space="preserve">PAGE   \* MERGEFORMAT</w:instrText>
        </w:r>
        <w:r>
          <w:fldChar w:fldCharType="separate"/>
        </w:r>
        <w:r>
          <w:rPr>
            <w:lang w:val="zh-CN"/>
          </w:rPr>
          <w:t>2</w:t>
        </w:r>
        <w:r>
          <w:fldChar w:fldCharType="end"/>
        </w:r>
      </w:p>
    </w:sdtContent>
  </w:sdt>
  <w:p w14:paraId="433C85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080" w:type="dxa"/>
      <w:tblInd w:w="93" w:type="dxa"/>
      <w:tblLayout w:type="autofit"/>
      <w:tblCellMar>
        <w:top w:w="0" w:type="dxa"/>
        <w:left w:w="108" w:type="dxa"/>
        <w:bottom w:w="0" w:type="dxa"/>
        <w:right w:w="108" w:type="dxa"/>
      </w:tblCellMar>
    </w:tblPr>
    <w:tblGrid>
      <w:gridCol w:w="5900"/>
      <w:gridCol w:w="3180"/>
    </w:tblGrid>
    <w:tr w14:paraId="36AC964A">
      <w:tblPrEx>
        <w:tblCellMar>
          <w:top w:w="0" w:type="dxa"/>
          <w:left w:w="108" w:type="dxa"/>
          <w:bottom w:w="0" w:type="dxa"/>
          <w:right w:w="108" w:type="dxa"/>
        </w:tblCellMar>
      </w:tblPrEx>
      <w:trPr>
        <w:trHeight w:val="639" w:hRule="atLeast"/>
      </w:trPr>
      <w:tc>
        <w:tcPr>
          <w:tcW w:w="5900" w:type="dxa"/>
          <w:vMerge w:val="restart"/>
          <w:vAlign w:val="center"/>
        </w:tcPr>
        <w:p w14:paraId="639BC38D">
          <w:pPr>
            <w:widowControl/>
            <w:jc w:val="center"/>
            <w:rPr>
              <w:rFonts w:hint="eastAsia" w:ascii="宋体" w:hAnsi="宋体" w:cs="宋体"/>
              <w:b/>
              <w:bCs/>
              <w:color w:val="FF0000"/>
              <w:kern w:val="0"/>
              <w:sz w:val="44"/>
              <w:szCs w:val="44"/>
            </w:rPr>
          </w:pPr>
          <w:r>
            <w:rPr>
              <w:rFonts w:hint="eastAsia" w:ascii="宋体" w:hAnsi="宋体" w:cs="宋体"/>
              <w:b/>
              <w:bCs/>
              <w:color w:val="FF0000"/>
              <w:kern w:val="0"/>
              <w:sz w:val="44"/>
              <w:szCs w:val="44"/>
            </w:rPr>
            <w:t>广 东 花 坪 卫 生 材 料           有 限 公 司 管 理 人</w:t>
          </w:r>
        </w:p>
      </w:tc>
      <w:tc>
        <w:tcPr>
          <w:tcW w:w="3180" w:type="dxa"/>
          <w:vAlign w:val="center"/>
        </w:tcPr>
        <w:p w14:paraId="480C6AFC">
          <w:pPr>
            <w:widowControl/>
            <w:rPr>
              <w:rFonts w:hint="eastAsia" w:ascii="宋体" w:hAnsi="宋体" w:cs="宋体"/>
              <w:color w:val="C00000"/>
              <w:kern w:val="0"/>
              <w:sz w:val="18"/>
              <w:szCs w:val="18"/>
            </w:rPr>
          </w:pPr>
          <w:r>
            <w:rPr>
              <w:rFonts w:hint="eastAsia" w:ascii="宋体" w:hAnsi="宋体" w:cs="宋体"/>
              <w:color w:val="C00000"/>
              <w:kern w:val="0"/>
              <w:sz w:val="18"/>
              <w:szCs w:val="18"/>
            </w:rPr>
            <w:t>地址：江门市蓬江区丰乐路146号</w:t>
          </w:r>
        </w:p>
        <w:p w14:paraId="69A9EB16">
          <w:pPr>
            <w:widowControl/>
            <w:rPr>
              <w:rFonts w:hint="eastAsia" w:ascii="宋体" w:hAnsi="宋体" w:cs="宋体"/>
              <w:color w:val="C00000"/>
              <w:kern w:val="0"/>
              <w:sz w:val="18"/>
              <w:szCs w:val="18"/>
            </w:rPr>
          </w:pPr>
          <w:r>
            <w:rPr>
              <w:rFonts w:hint="eastAsia" w:ascii="宋体" w:hAnsi="宋体" w:cs="宋体"/>
              <w:color w:val="C00000"/>
              <w:kern w:val="0"/>
              <w:sz w:val="18"/>
              <w:szCs w:val="18"/>
            </w:rPr>
            <w:t>奥园广场北门501</w:t>
          </w:r>
        </w:p>
      </w:tc>
    </w:tr>
    <w:tr w14:paraId="27563B02">
      <w:tblPrEx>
        <w:tblCellMar>
          <w:top w:w="0" w:type="dxa"/>
          <w:left w:w="108" w:type="dxa"/>
          <w:bottom w:w="0" w:type="dxa"/>
          <w:right w:w="108" w:type="dxa"/>
        </w:tblCellMar>
      </w:tblPrEx>
      <w:trPr>
        <w:trHeight w:val="325" w:hRule="atLeast"/>
      </w:trPr>
      <w:tc>
        <w:tcPr>
          <w:tcW w:w="0" w:type="auto"/>
          <w:vMerge w:val="continue"/>
          <w:vAlign w:val="center"/>
        </w:tcPr>
        <w:p w14:paraId="160E72EC">
          <w:pPr>
            <w:widowControl/>
            <w:jc w:val="left"/>
            <w:rPr>
              <w:rFonts w:hint="eastAsia" w:ascii="宋体" w:hAnsi="宋体" w:cs="宋体"/>
              <w:b/>
              <w:bCs/>
              <w:color w:val="FF0000"/>
              <w:kern w:val="0"/>
              <w:sz w:val="44"/>
              <w:szCs w:val="44"/>
            </w:rPr>
          </w:pPr>
        </w:p>
      </w:tc>
      <w:tc>
        <w:tcPr>
          <w:tcW w:w="3180" w:type="dxa"/>
          <w:vAlign w:val="center"/>
        </w:tcPr>
        <w:p w14:paraId="435B79A3">
          <w:pPr>
            <w:widowControl/>
            <w:rPr>
              <w:rFonts w:hint="eastAsia" w:ascii="宋体" w:hAnsi="宋体" w:cs="宋体"/>
              <w:color w:val="C00000"/>
              <w:kern w:val="0"/>
              <w:sz w:val="18"/>
              <w:szCs w:val="18"/>
            </w:rPr>
          </w:pPr>
          <w:r>
            <w:rPr>
              <w:rFonts w:hint="eastAsia" w:ascii="宋体" w:hAnsi="宋体" w:cs="宋体"/>
              <w:color w:val="C00000"/>
              <w:kern w:val="0"/>
              <w:sz w:val="18"/>
              <w:szCs w:val="18"/>
            </w:rPr>
            <w:t>电话：（0750）3272636</w:t>
          </w:r>
          <w:r>
            <w:rPr>
              <w:rFonts w:hint="eastAsia" w:ascii="宋体" w:hAnsi="宋体" w:cs="宋体"/>
              <w:color w:val="C00000"/>
              <w:kern w:val="0"/>
              <w:sz w:val="18"/>
              <w:szCs w:val="18"/>
              <w:lang w:eastAsia="zh-CN"/>
            </w:rPr>
            <w:t>、</w:t>
          </w:r>
          <w:r>
            <w:rPr>
              <w:rFonts w:hint="eastAsia" w:ascii="宋体" w:hAnsi="宋体" w:cs="宋体"/>
              <w:color w:val="C00000"/>
              <w:kern w:val="0"/>
              <w:sz w:val="18"/>
              <w:szCs w:val="18"/>
            </w:rPr>
            <w:t>3272639</w:t>
          </w:r>
        </w:p>
      </w:tc>
    </w:tr>
  </w:tbl>
  <w:p w14:paraId="09649921">
    <w:pPr>
      <w:pBdr>
        <w:bottom w:val="single" w:color="auto" w:sz="4" w:space="1"/>
      </w:pBdr>
      <w:jc w:val="right"/>
      <w:rPr>
        <w:rFonts w:hint="eastAsia" w:ascii="仿宋" w:hAnsi="仿宋" w:eastAsia="仿宋"/>
        <w:sz w:val="24"/>
      </w:rPr>
    </w:pPr>
    <w:r>
      <w:rPr>
        <w:rFonts w:ascii="仿宋" w:hAnsi="仿宋" w:eastAsia="仿宋"/>
        <w:color w:val="000000"/>
        <w:sz w:val="24"/>
      </w:rPr>
      <w:t xml:space="preserve">                    </w:t>
    </w:r>
  </w:p>
  <w:p w14:paraId="0C4629CB">
    <w:pPr>
      <w:pStyle w:val="4"/>
      <w:rPr>
        <w:rFonts w:hint="eastAsia"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yZTBlZjJhMGY3MGEyNzU2MDZmNGFkZDIwOTgxODAifQ=="/>
  </w:docVars>
  <w:rsids>
    <w:rsidRoot w:val="00053763"/>
    <w:rsid w:val="00031B2B"/>
    <w:rsid w:val="00053763"/>
    <w:rsid w:val="0007243A"/>
    <w:rsid w:val="0009769E"/>
    <w:rsid w:val="000B3870"/>
    <w:rsid w:val="00114498"/>
    <w:rsid w:val="001570FF"/>
    <w:rsid w:val="00194BA2"/>
    <w:rsid w:val="001B172C"/>
    <w:rsid w:val="001E4FE0"/>
    <w:rsid w:val="001F309E"/>
    <w:rsid w:val="00211C64"/>
    <w:rsid w:val="002E7211"/>
    <w:rsid w:val="00320A16"/>
    <w:rsid w:val="003229E7"/>
    <w:rsid w:val="003642F3"/>
    <w:rsid w:val="00386398"/>
    <w:rsid w:val="0039483C"/>
    <w:rsid w:val="0040063A"/>
    <w:rsid w:val="00401A94"/>
    <w:rsid w:val="00407579"/>
    <w:rsid w:val="00482BD4"/>
    <w:rsid w:val="004D6AC4"/>
    <w:rsid w:val="005327A1"/>
    <w:rsid w:val="00555CF4"/>
    <w:rsid w:val="0059076C"/>
    <w:rsid w:val="005929D5"/>
    <w:rsid w:val="005A7133"/>
    <w:rsid w:val="006058F9"/>
    <w:rsid w:val="00670012"/>
    <w:rsid w:val="006C7A7C"/>
    <w:rsid w:val="00733E52"/>
    <w:rsid w:val="007354AA"/>
    <w:rsid w:val="007B1902"/>
    <w:rsid w:val="007D06AA"/>
    <w:rsid w:val="007E7022"/>
    <w:rsid w:val="007F5D62"/>
    <w:rsid w:val="00921BBD"/>
    <w:rsid w:val="00960204"/>
    <w:rsid w:val="009C3EE7"/>
    <w:rsid w:val="009E0595"/>
    <w:rsid w:val="00A0444D"/>
    <w:rsid w:val="00A30E30"/>
    <w:rsid w:val="00A56406"/>
    <w:rsid w:val="00A85070"/>
    <w:rsid w:val="00AA1080"/>
    <w:rsid w:val="00B60D53"/>
    <w:rsid w:val="00BF34EC"/>
    <w:rsid w:val="00C328DC"/>
    <w:rsid w:val="00C8786D"/>
    <w:rsid w:val="00D41285"/>
    <w:rsid w:val="00DE2B1D"/>
    <w:rsid w:val="00DF3520"/>
    <w:rsid w:val="00DF66EB"/>
    <w:rsid w:val="00ED2D7D"/>
    <w:rsid w:val="00EF4371"/>
    <w:rsid w:val="00F05106"/>
    <w:rsid w:val="00FB699A"/>
    <w:rsid w:val="0250441F"/>
    <w:rsid w:val="0AE61AEF"/>
    <w:rsid w:val="0F211513"/>
    <w:rsid w:val="0F365B63"/>
    <w:rsid w:val="1A514D80"/>
    <w:rsid w:val="1B05748F"/>
    <w:rsid w:val="1BB47886"/>
    <w:rsid w:val="2039019E"/>
    <w:rsid w:val="20766FA3"/>
    <w:rsid w:val="21694F49"/>
    <w:rsid w:val="244E3C37"/>
    <w:rsid w:val="25470114"/>
    <w:rsid w:val="299246DD"/>
    <w:rsid w:val="2AB1197A"/>
    <w:rsid w:val="2B316AFF"/>
    <w:rsid w:val="2DC378EB"/>
    <w:rsid w:val="2F4A7A56"/>
    <w:rsid w:val="339E638B"/>
    <w:rsid w:val="38662298"/>
    <w:rsid w:val="3942200C"/>
    <w:rsid w:val="3A7262AF"/>
    <w:rsid w:val="3CE8D193"/>
    <w:rsid w:val="3FE7A998"/>
    <w:rsid w:val="4144603E"/>
    <w:rsid w:val="42A94178"/>
    <w:rsid w:val="43480CA6"/>
    <w:rsid w:val="436A26CD"/>
    <w:rsid w:val="459151FA"/>
    <w:rsid w:val="45FB3680"/>
    <w:rsid w:val="47D7186A"/>
    <w:rsid w:val="48B3035E"/>
    <w:rsid w:val="4D8324C2"/>
    <w:rsid w:val="4F9353BB"/>
    <w:rsid w:val="56CB6A5E"/>
    <w:rsid w:val="5AF34EB8"/>
    <w:rsid w:val="5EA022C7"/>
    <w:rsid w:val="60CE1217"/>
    <w:rsid w:val="64AF7680"/>
    <w:rsid w:val="67045685"/>
    <w:rsid w:val="6DDE6F4D"/>
    <w:rsid w:val="6E89147B"/>
    <w:rsid w:val="6F3516F0"/>
    <w:rsid w:val="7F606DDB"/>
    <w:rsid w:val="7F7F7657"/>
    <w:rsid w:val="7FBBA2DF"/>
    <w:rsid w:val="7FDF6472"/>
    <w:rsid w:val="7FE761F5"/>
    <w:rsid w:val="7FF77001"/>
    <w:rsid w:val="A7BEC91D"/>
    <w:rsid w:val="DEDD46CA"/>
    <w:rsid w:val="EFFEF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脚 字符"/>
    <w:basedOn w:val="7"/>
    <w:link w:val="3"/>
    <w:qFormat/>
    <w:uiPriority w:val="99"/>
    <w:rPr>
      <w:rFonts w:ascii="Times New Roman" w:hAnsi="Times New Roman" w:eastAsia="宋体" w:cs="Times New Roman"/>
      <w:sz w:val="18"/>
    </w:rPr>
  </w:style>
  <w:style w:type="character" w:customStyle="1" w:styleId="10">
    <w:name w:val="页眉 字符"/>
    <w:basedOn w:val="7"/>
    <w:link w:val="4"/>
    <w:qFormat/>
    <w:uiPriority w:val="0"/>
    <w:rPr>
      <w:rFonts w:ascii="Times New Roman" w:hAnsi="Times New Roman" w:eastAsia="宋体" w:cs="Times New Roman"/>
      <w:sz w:val="18"/>
    </w:rPr>
  </w:style>
  <w:style w:type="character" w:customStyle="1" w:styleId="11">
    <w:name w:val="日期 字符"/>
    <w:basedOn w:val="7"/>
    <w:link w:val="2"/>
    <w:semiHidden/>
    <w:qFormat/>
    <w:uiPriority w:val="99"/>
    <w:rPr>
      <w:rFonts w:ascii="Times New Roman" w:hAnsi="Times New Roman" w:eastAsia="宋体" w:cs="Times New Roman"/>
      <w:kern w:val="2"/>
      <w:sz w:val="21"/>
      <w:szCs w:val="24"/>
    </w:rPr>
  </w:style>
  <w:style w:type="paragraph" w:customStyle="1" w:styleId="1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2165</Words>
  <Characters>2284</Characters>
  <Lines>43</Lines>
  <Paragraphs>40</Paragraphs>
  <TotalTime>0</TotalTime>
  <ScaleCrop>false</ScaleCrop>
  <LinksUpToDate>false</LinksUpToDate>
  <CharactersWithSpaces>2326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2025-12-12T06:23:00Z</dcterms:created>
  <dc:creator>洋 吴</dc:creator>
  <cp:lastModifiedBy>Wen菁敏</cp:lastModifiedBy>
  <cp:lastPrinted>2024-07-08T01:59:00Z</cp:lastPrinted>
  <dcterms:modified xsi:type="dcterms:W3CDTF">2025-12-15T01:35:13Z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D71D15C69311489A9B7DC86D09E3BEBA_13</vt:lpwstr>
  </property>
  <property fmtid="{D5CDD505-2E9C-101B-9397-08002B2CF9AE}" pid="4" name="KSOTemplateDocerSaveRecord">
    <vt:lpwstr>eyJoZGlkIjoiYzJlOGEzZTgwMTRiZGQzNTc3ODdmMjUyOTQwODJiYTIiLCJ1c2VySWQiOiIyNDgxMDUyODkifQ==</vt:lpwstr>
  </property>
</Properties>
</file>