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3D118E">
      <w:pPr>
        <w:spacing w:before="156" w:beforeLines="50" w:after="156" w:afterLines="5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【会员公告】张铁军翡翠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5家门店火热特卖中</w:t>
      </w:r>
      <w:r>
        <w:rPr>
          <w:rFonts w:hint="eastAsia" w:ascii="Times New Roman" w:hAnsi="Times New Roman" w:eastAsia="宋体"/>
          <w:sz w:val="24"/>
          <w:szCs w:val="24"/>
        </w:rPr>
        <w:t>，全场2折起，“玉”见最美的你！</w:t>
      </w:r>
    </w:p>
    <w:p w14:paraId="0DD74CEE">
      <w:pPr>
        <w:spacing w:before="156" w:beforeLines="50" w:after="156" w:afterLines="5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b/>
          <w:bCs/>
          <w:sz w:val="24"/>
          <w:szCs w:val="24"/>
        </w:rPr>
        <w:t>一、破产受理情况</w:t>
      </w:r>
    </w:p>
    <w:p w14:paraId="17AEFFDC">
      <w:pPr>
        <w:spacing w:before="156" w:beforeLines="50" w:after="156" w:afterLines="5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根据相关权利人的申请，上海市第三中级人民法院（以下简称“上海三中院”）于2025年4月16日以（2025）沪03破325号《民事裁定书》裁定受理债务人上海张铁军翡翠股份有限公司破产清算申请（以下简称“张铁军股份”或“债务人”），并于2025年5月6日以（2025）沪03破325号《决定书》，指定上海市汇业律师事务所担任</w:t>
      </w:r>
      <w:bookmarkStart w:id="0" w:name="OLE_LINK1"/>
      <w:r>
        <w:rPr>
          <w:rFonts w:hint="eastAsia" w:ascii="Times New Roman" w:hAnsi="Times New Roman" w:eastAsia="宋体"/>
          <w:sz w:val="24"/>
          <w:szCs w:val="24"/>
        </w:rPr>
        <w:t>上海张铁军翡翠股份有限公司管理人</w:t>
      </w:r>
      <w:bookmarkEnd w:id="0"/>
      <w:r>
        <w:rPr>
          <w:rFonts w:hint="eastAsia" w:ascii="Times New Roman" w:hAnsi="Times New Roman" w:eastAsia="宋体"/>
          <w:sz w:val="24"/>
          <w:szCs w:val="24"/>
        </w:rPr>
        <w:t>（以下简称“管理人”）。</w:t>
      </w:r>
    </w:p>
    <w:p w14:paraId="2F9A53A5">
      <w:pPr>
        <w:spacing w:before="156" w:beforeLines="50" w:after="156" w:afterLines="5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>二</w:t>
      </w:r>
      <w:r>
        <w:rPr>
          <w:rFonts w:ascii="Times New Roman" w:hAnsi="Times New Roman" w:eastAsia="宋体"/>
          <w:b/>
          <w:bCs/>
          <w:sz w:val="24"/>
          <w:szCs w:val="24"/>
        </w:rPr>
        <w:t>、</w:t>
      </w:r>
      <w:r>
        <w:rPr>
          <w:rFonts w:hint="eastAsia" w:ascii="Times New Roman" w:hAnsi="Times New Roman" w:eastAsia="宋体"/>
          <w:b/>
          <w:bCs/>
          <w:sz w:val="24"/>
          <w:szCs w:val="24"/>
        </w:rPr>
        <w:t>品牌背景及门店情况</w:t>
      </w:r>
    </w:p>
    <w:p w14:paraId="4E87A7AC">
      <w:pPr>
        <w:spacing w:before="156" w:beforeLines="50" w:after="156" w:afterLines="5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上海张铁军翡翠股份有限公司创始于1978年，是集高端珠宝首饰、翡翠玉雕艺术品及设计、加工、商业零售企业集团。公司曾拥有百年珠宝老店——珠玉汇市翡翠、张铁军进出口公司、才科公司等企业。曾拥有一批中国工艺美术大师、高级工艺美术师、高级技师、上海工艺美术大师等高级珠宝首饰、玉雕设计制作人才，曾是中国工艺美术行业领先企业、上海珠宝玉石行业龙头企业。</w:t>
      </w:r>
    </w:p>
    <w:p w14:paraId="45385D4E">
      <w:pPr>
        <w:spacing w:before="156" w:beforeLines="50" w:after="156" w:afterLines="50" w:line="360" w:lineRule="auto"/>
        <w:jc w:val="left"/>
        <w:rPr>
          <w:rFonts w:ascii="Times New Roman" w:hAnsi="Times New Roman" w:eastAsia="宋体"/>
          <w:b w:val="0"/>
          <w:bCs w:val="0"/>
          <w:sz w:val="24"/>
          <w:szCs w:val="24"/>
          <w:u w:val="none"/>
        </w:rPr>
      </w:pPr>
      <w:r>
        <w:rPr>
          <w:rFonts w:ascii="Times New Roman" w:hAnsi="Times New Roman" w:eastAsia="宋体"/>
          <w:sz w:val="24"/>
          <w:szCs w:val="24"/>
        </w:rPr>
        <w:t>为提高破产债权的清偿率，维护</w:t>
      </w:r>
      <w:r>
        <w:rPr>
          <w:rFonts w:hint="eastAsia" w:ascii="Times New Roman" w:hAnsi="Times New Roman" w:eastAsia="宋体"/>
          <w:sz w:val="24"/>
          <w:szCs w:val="24"/>
        </w:rPr>
        <w:t>张铁军股份</w:t>
      </w:r>
      <w:r>
        <w:rPr>
          <w:rFonts w:ascii="Times New Roman" w:hAnsi="Times New Roman" w:eastAsia="宋体"/>
          <w:sz w:val="24"/>
          <w:szCs w:val="24"/>
        </w:rPr>
        <w:t>全体债权人利益，</w:t>
      </w:r>
      <w:r>
        <w:rPr>
          <w:rFonts w:hint="eastAsia" w:ascii="Times New Roman" w:hAnsi="Times New Roman" w:eastAsia="宋体"/>
          <w:sz w:val="24"/>
          <w:szCs w:val="24"/>
        </w:rPr>
        <w:t>管理人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目前</w:t>
      </w:r>
      <w:r>
        <w:rPr>
          <w:rFonts w:hint="eastAsia" w:ascii="Times New Roman" w:hAnsi="Times New Roman" w:eastAsia="宋体"/>
          <w:sz w:val="24"/>
          <w:szCs w:val="24"/>
        </w:rPr>
        <w:t>在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位于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u w:val="none"/>
          <w:lang w:val="en-US" w:eastAsia="zh-CN"/>
        </w:rPr>
        <w:t>中环百联东方商厦、宝山巴黎春天、百联嘉定购物中心、百联金山购物中心、松江商城的5家张铁军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u w:val="none"/>
        </w:rPr>
        <w:t>门店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u w:val="none"/>
          <w:lang w:val="en-US" w:eastAsia="zh-CN"/>
        </w:rPr>
        <w:t>同时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u w:val="none"/>
        </w:rPr>
        <w:t>举办翡翠特卖会。</w:t>
      </w:r>
    </w:p>
    <w:p w14:paraId="72943DCC">
      <w:pPr>
        <w:spacing w:before="156" w:beforeLines="50" w:after="156" w:afterLines="5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>二</w:t>
      </w:r>
      <w:r>
        <w:rPr>
          <w:rFonts w:ascii="Times New Roman" w:hAnsi="Times New Roman" w:eastAsia="宋体"/>
          <w:b/>
          <w:bCs/>
          <w:sz w:val="24"/>
          <w:szCs w:val="24"/>
        </w:rPr>
        <w:t>、</w:t>
      </w:r>
      <w:r>
        <w:rPr>
          <w:rFonts w:hint="eastAsia" w:ascii="Times New Roman" w:hAnsi="Times New Roman" w:eastAsia="宋体"/>
          <w:b/>
          <w:bCs/>
          <w:sz w:val="24"/>
          <w:szCs w:val="24"/>
        </w:rPr>
        <w:t>特卖方案</w:t>
      </w:r>
    </w:p>
    <w:p w14:paraId="3C13BCE3">
      <w:pPr>
        <w:spacing w:before="156" w:beforeLines="50" w:after="156" w:afterLines="5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折扣力度：全场2折起</w:t>
      </w:r>
    </w:p>
    <w:p w14:paraId="6F135E63">
      <w:pPr>
        <w:spacing w:before="156" w:beforeLines="50" w:after="156" w:afterLines="5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特卖商品：翡翠手镯、挂件、挂坠、项链以及部分蜜蜡挂件、手链等</w:t>
      </w:r>
    </w:p>
    <w:p w14:paraId="35E38983">
      <w:pPr>
        <w:spacing w:before="156" w:beforeLines="50" w:after="156" w:afterLines="50" w:line="360" w:lineRule="auto"/>
        <w:rPr>
          <w:rFonts w:hint="eastAsia"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活动地点</w:t>
      </w:r>
      <w:r>
        <w:rPr>
          <w:rFonts w:hint="eastAsia" w:ascii="Times New Roman" w:hAnsi="Times New Roman" w:eastAsia="宋体"/>
          <w:sz w:val="24"/>
          <w:szCs w:val="24"/>
        </w:rPr>
        <w:t>：</w:t>
      </w:r>
    </w:p>
    <w:p w14:paraId="13FE7A1A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</w:rPr>
        <w:drawing>
          <wp:inline distT="0" distB="0" distL="114300" distR="114300">
            <wp:extent cx="5135245" cy="3742690"/>
            <wp:effectExtent l="0" t="0" r="8255" b="3810"/>
            <wp:docPr id="6" name="图片 6" descr="baddd5f6248584910029dd78df5c31d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addd5f6248584910029dd78df5c31d0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3524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7245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b/>
          <w:bCs/>
          <w:sz w:val="24"/>
          <w:szCs w:val="24"/>
          <w:highlight w:val="none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highlight w:val="none"/>
        </w:rPr>
        <w:t>中环百联东方商厦</w:t>
      </w:r>
    </w:p>
    <w:p w14:paraId="1B4A98E3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地址：</w:t>
      </w:r>
      <w:r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  <w:t>上海市普陀区真光路1288号中环百联东方商厦一楼张铁军翡翠</w:t>
      </w:r>
    </w:p>
    <w:p w14:paraId="0AA77D9B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b/>
          <w:bCs/>
          <w:sz w:val="24"/>
          <w:szCs w:val="24"/>
          <w:highlight w:val="none"/>
        </w:rPr>
      </w:pPr>
      <w:bookmarkStart w:id="1" w:name="_GoBack"/>
      <w:bookmarkEnd w:id="1"/>
      <w:r>
        <w:rPr>
          <w:rFonts w:hint="eastAsia" w:ascii="Times New Roman" w:hAnsi="Times New Roman" w:eastAsia="宋体"/>
          <w:sz w:val="24"/>
          <w:szCs w:val="24"/>
          <w:highlight w:val="yellow"/>
        </w:rPr>
        <w:drawing>
          <wp:inline distT="0" distB="0" distL="114300" distR="114300">
            <wp:extent cx="5264150" cy="2962910"/>
            <wp:effectExtent l="0" t="0" r="6350" b="8890"/>
            <wp:docPr id="5" name="图片 5" descr="1331cbe00f9961fd9ed1d4b135c8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31cbe00f9961fd9ed1d4b135c89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4"/>
          <w:szCs w:val="24"/>
          <w:highlight w:val="none"/>
        </w:rPr>
        <w:t>宝山巴黎春天</w:t>
      </w:r>
    </w:p>
    <w:p w14:paraId="2C985343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eastAsia="宋体"/>
          <w:sz w:val="24"/>
          <w:szCs w:val="24"/>
          <w:highlight w:val="none"/>
          <w:lang w:val="en-US" w:eastAsia="zh-CN"/>
        </w:rPr>
        <w:t>地址：上海市</w:t>
      </w:r>
      <w:r>
        <w:rPr>
          <w:rFonts w:hint="eastAsia" w:ascii="Times New Roman" w:hAnsi="Times New Roman" w:eastAsia="宋体"/>
          <w:sz w:val="24"/>
          <w:szCs w:val="24"/>
          <w:highlight w:val="none"/>
          <w:lang w:eastAsia="zh-CN"/>
        </w:rPr>
        <w:t>宝山区真华路888号1F张铁军翡翠专柜</w:t>
      </w:r>
    </w:p>
    <w:p w14:paraId="2CCB5BDB">
      <w:pPr>
        <w:spacing w:before="156" w:beforeLines="50" w:after="156" w:afterLines="50" w:line="360" w:lineRule="auto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drawing>
          <wp:inline distT="0" distB="0" distL="0" distR="0">
            <wp:extent cx="5152390" cy="3450590"/>
            <wp:effectExtent l="0" t="0" r="3810" b="3810"/>
            <wp:docPr id="684224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4652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46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582B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b/>
          <w:bCs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>百联嘉定购物中心</w:t>
      </w:r>
    </w:p>
    <w:p w14:paraId="7F5BB36A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地址：</w:t>
      </w:r>
      <w:r>
        <w:rPr>
          <w:rFonts w:hint="eastAsia" w:ascii="Times New Roman" w:hAnsi="Times New Roman" w:eastAsia="宋体"/>
          <w:sz w:val="24"/>
          <w:szCs w:val="24"/>
          <w:lang w:eastAsia="zh-CN"/>
        </w:rPr>
        <w:t>上海市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嘉定区</w:t>
      </w:r>
      <w:r>
        <w:rPr>
          <w:rFonts w:hint="eastAsia" w:ascii="Times New Roman" w:hAnsi="Times New Roman" w:eastAsia="宋体"/>
          <w:sz w:val="24"/>
          <w:szCs w:val="24"/>
        </w:rPr>
        <w:t>澄浏中路3172号1层北区张铁军翡翠门店</w:t>
      </w:r>
    </w:p>
    <w:p w14:paraId="555497E9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drawing>
          <wp:inline distT="0" distB="0" distL="114300" distR="114300">
            <wp:extent cx="5182870" cy="3691890"/>
            <wp:effectExtent l="0" t="0" r="11430" b="3810"/>
            <wp:docPr id="1" name="图片 1" descr="55d6e105be70db2fd7015e45630f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d6e105be70db2fd7015e45630f9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B279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b/>
          <w:bCs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>百联金山购物中心</w:t>
      </w:r>
    </w:p>
    <w:p w14:paraId="25E49D02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地址：上海市金山区卫清西路188号</w:t>
      </w:r>
    </w:p>
    <w:p w14:paraId="032EB33F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drawing>
          <wp:inline distT="0" distB="0" distL="114300" distR="114300">
            <wp:extent cx="5266690" cy="3016885"/>
            <wp:effectExtent l="0" t="0" r="3810" b="5715"/>
            <wp:docPr id="2" name="图片 2" descr="d3f3c9baf469619ab925d9a1d07e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3f3c9baf469619ab925d9a1d07e1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1221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b/>
          <w:bCs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>松江商城</w:t>
      </w:r>
    </w:p>
    <w:p w14:paraId="24488A7A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地址：上海市松江区中山中路188号</w:t>
      </w:r>
    </w:p>
    <w:p w14:paraId="39FF15D6">
      <w:pPr>
        <w:spacing w:before="156" w:beforeLines="50" w:after="156" w:afterLines="50" w:line="360" w:lineRule="auto"/>
        <w:jc w:val="center"/>
        <w:rPr>
          <w:rFonts w:ascii="Times New Roman" w:hAnsi="Times New Roman" w:eastAsia="宋体"/>
          <w:b/>
          <w:bCs/>
          <w:sz w:val="24"/>
          <w:szCs w:val="24"/>
          <w:u w:val="single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u w:val="single"/>
        </w:rPr>
        <w:t>特别声明：所有产品一经售出，不退不换，</w:t>
      </w:r>
      <w:r>
        <w:rPr>
          <w:rFonts w:ascii="Times New Roman" w:hAnsi="Times New Roman" w:eastAsia="宋体"/>
          <w:b/>
          <w:bCs/>
          <w:sz w:val="24"/>
          <w:szCs w:val="24"/>
          <w:u w:val="single"/>
        </w:rPr>
        <w:t>最终解释权归属管理人</w:t>
      </w:r>
      <w:r>
        <w:rPr>
          <w:rFonts w:hint="eastAsia" w:ascii="Times New Roman" w:hAnsi="Times New Roman" w:eastAsia="宋体"/>
          <w:b/>
          <w:bCs/>
          <w:sz w:val="24"/>
          <w:szCs w:val="24"/>
          <w:u w:val="single"/>
        </w:rPr>
        <w:t>！</w:t>
      </w:r>
    </w:p>
    <w:p w14:paraId="297B8032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drawing>
          <wp:inline distT="0" distB="0" distL="114300" distR="114300">
            <wp:extent cx="5259070" cy="3944620"/>
            <wp:effectExtent l="0" t="0" r="11430" b="5080"/>
            <wp:docPr id="3" name="图片 3" descr="f053f1d3c702ea6f1b93abfade456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53f1d3c702ea6f1b93abfade456f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C2DD">
      <w:pPr>
        <w:spacing w:before="156" w:beforeLines="50" w:after="156" w:afterLines="50" w:line="360" w:lineRule="auto"/>
        <w:jc w:val="center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drawing>
          <wp:inline distT="0" distB="0" distL="114300" distR="114300">
            <wp:extent cx="5259070" cy="3944620"/>
            <wp:effectExtent l="0" t="0" r="11430" b="5080"/>
            <wp:docPr id="4" name="图片 4" descr="66c66ddb6e27142709889049a0cd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c66ddb6e27142709889049a0cdfe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53A1">
      <w:pPr>
        <w:spacing w:before="156" w:beforeLines="50" w:after="156" w:afterLines="50" w:line="360" w:lineRule="auto"/>
        <w:jc w:val="center"/>
        <w:rPr>
          <w:rFonts w:ascii="Times New Roman" w:hAnsi="Times New Roman" w:eastAsia="宋体"/>
          <w:b/>
          <w:bCs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>翡翠，能够给您留下的，</w:t>
      </w:r>
    </w:p>
    <w:p w14:paraId="555332EF">
      <w:pPr>
        <w:spacing w:before="156" w:beforeLines="50" w:after="156" w:afterLines="50" w:line="360" w:lineRule="auto"/>
        <w:jc w:val="center"/>
        <w:rPr>
          <w:rFonts w:ascii="Times New Roman" w:hAnsi="Times New Roman" w:eastAsia="宋体"/>
          <w:b/>
          <w:bCs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>不止是美丽，更是价值和传承，</w:t>
      </w:r>
    </w:p>
    <w:p w14:paraId="73D5E6CB">
      <w:pPr>
        <w:spacing w:before="156" w:beforeLines="50" w:after="156" w:afterLines="50" w:line="360" w:lineRule="auto"/>
        <w:jc w:val="center"/>
        <w:rPr>
          <w:rFonts w:ascii="Times New Roman" w:hAnsi="Times New Roman" w:eastAsia="宋体"/>
          <w:b/>
          <w:bCs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>千古风韵，</w:t>
      </w:r>
      <w:r>
        <w:rPr>
          <w:rFonts w:ascii="Times New Roman" w:hAnsi="Times New Roman" w:eastAsia="宋体"/>
          <w:b/>
          <w:bCs/>
          <w:sz w:val="24"/>
          <w:szCs w:val="24"/>
        </w:rPr>
        <w:t>一翠惊艳，</w:t>
      </w:r>
    </w:p>
    <w:p w14:paraId="7003F021">
      <w:pPr>
        <w:spacing w:before="156" w:beforeLines="50" w:after="156" w:afterLines="50" w:line="360" w:lineRule="auto"/>
        <w:jc w:val="center"/>
        <w:rPr>
          <w:rFonts w:ascii="Times New Roman" w:hAnsi="Times New Roman" w:eastAsia="宋体"/>
          <w:b/>
          <w:bCs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>期待</w:t>
      </w:r>
    </w:p>
    <w:p w14:paraId="622021E4">
      <w:pPr>
        <w:spacing w:before="156" w:beforeLines="50" w:after="156" w:afterLines="50" w:line="360" w:lineRule="auto"/>
        <w:jc w:val="center"/>
        <w:rPr>
          <w:rFonts w:ascii="Times New Roman" w:hAnsi="Times New Roman" w:eastAsia="宋体"/>
          <w:b/>
          <w:bCs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</w:rPr>
        <w:t>“玉”见最美的你！</w:t>
      </w:r>
    </w:p>
    <w:p w14:paraId="681ACABE">
      <w:pPr>
        <w:spacing w:before="156" w:beforeLines="50" w:after="156" w:afterLines="50" w:line="360" w:lineRule="auto"/>
        <w:jc w:val="center"/>
        <w:rPr>
          <w:rFonts w:ascii="Times New Roman" w:hAnsi="Times New Roman" w:eastAsia="宋体"/>
          <w:b/>
          <w:bCs/>
          <w:i/>
          <w:iCs/>
          <w:sz w:val="24"/>
          <w:szCs w:val="24"/>
          <w:u w:val="single"/>
        </w:rPr>
      </w:pPr>
      <w:r>
        <w:rPr>
          <w:rFonts w:hint="eastAsia" w:ascii="Times New Roman" w:hAnsi="Times New Roman" w:eastAsia="宋体"/>
          <w:b/>
          <w:bCs/>
          <w:i/>
          <w:iCs/>
          <w:sz w:val="24"/>
          <w:szCs w:val="24"/>
          <w:u w:val="single"/>
        </w:rPr>
        <w:t>另管理人在</w:t>
      </w:r>
      <w:r>
        <w:rPr>
          <w:rFonts w:hint="eastAsia" w:ascii="Times New Roman" w:hAnsi="Times New Roman" w:eastAsia="宋体"/>
          <w:b/>
          <w:bCs/>
          <w:i/>
          <w:iCs/>
          <w:sz w:val="24"/>
          <w:szCs w:val="24"/>
          <w:u w:val="single"/>
          <w:lang w:val="en-US" w:eastAsia="zh-CN"/>
        </w:rPr>
        <w:t>淘宝</w:t>
      </w:r>
      <w:r>
        <w:rPr>
          <w:rFonts w:hint="eastAsia" w:ascii="Times New Roman" w:hAnsi="Times New Roman" w:eastAsia="宋体"/>
          <w:b/>
          <w:bCs/>
          <w:i/>
          <w:iCs/>
          <w:sz w:val="24"/>
          <w:szCs w:val="24"/>
          <w:u w:val="single"/>
        </w:rPr>
        <w:t>平台持续推出大型翡翠摆件的拍卖</w:t>
      </w:r>
      <w:r>
        <w:rPr>
          <w:rFonts w:hint="eastAsia" w:ascii="Times New Roman" w:hAnsi="Times New Roman" w:eastAsia="宋体"/>
          <w:b/>
          <w:bCs/>
          <w:i/>
          <w:iCs/>
          <w:sz w:val="24"/>
          <w:szCs w:val="24"/>
          <w:u w:val="single"/>
          <w:lang w:eastAsia="zh-CN"/>
        </w:rPr>
        <w:t>，</w:t>
      </w:r>
      <w:r>
        <w:rPr>
          <w:rFonts w:hint="eastAsia" w:ascii="Times New Roman" w:hAnsi="Times New Roman" w:eastAsia="宋体"/>
          <w:b/>
          <w:bCs/>
          <w:i/>
          <w:iCs/>
          <w:sz w:val="24"/>
          <w:szCs w:val="24"/>
          <w:u w:val="single"/>
          <w:lang w:val="en-US" w:eastAsia="zh-CN"/>
        </w:rPr>
        <w:t>敬请关注</w:t>
      </w:r>
      <w:r>
        <w:rPr>
          <w:rFonts w:hint="eastAsia" w:ascii="Times New Roman" w:hAnsi="Times New Roman" w:eastAsia="宋体"/>
          <w:b/>
          <w:bCs/>
          <w:i/>
          <w:iCs/>
          <w:sz w:val="24"/>
          <w:szCs w:val="24"/>
          <w:u w:val="single"/>
        </w:rPr>
        <w:t>。</w:t>
      </w:r>
    </w:p>
    <w:p w14:paraId="05C10412">
      <w:pPr>
        <w:spacing w:before="156" w:beforeLines="50" w:after="156" w:afterLines="50" w:line="360" w:lineRule="auto"/>
        <w:jc w:val="right"/>
        <w:rPr>
          <w:rFonts w:ascii="Times New Roman" w:hAnsi="Times New Roman" w:eastAsia="宋体"/>
          <w:sz w:val="24"/>
          <w:szCs w:val="24"/>
        </w:rPr>
      </w:pPr>
    </w:p>
    <w:p w14:paraId="58C5CAA7">
      <w:pPr>
        <w:spacing w:before="156" w:beforeLines="50" w:after="156" w:afterLines="50" w:line="360" w:lineRule="auto"/>
        <w:jc w:val="righ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上海张铁军翡翠股份有限公司管理人</w:t>
      </w:r>
    </w:p>
    <w:p w14:paraId="36FC57A3">
      <w:pPr>
        <w:spacing w:before="156" w:beforeLines="50" w:after="156" w:afterLines="50" w:line="360" w:lineRule="auto"/>
        <w:jc w:val="righ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2025年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12</w:t>
      </w:r>
      <w:r>
        <w:rPr>
          <w:rFonts w:hint="eastAsia" w:ascii="Times New Roman" w:hAnsi="Times New Roman" w:eastAsia="宋体"/>
          <w:sz w:val="24"/>
          <w:szCs w:val="24"/>
        </w:rPr>
        <w:t>月1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宋体"/>
          <w:sz w:val="24"/>
          <w:szCs w:val="24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86D"/>
    <w:rsid w:val="001C1167"/>
    <w:rsid w:val="0021194D"/>
    <w:rsid w:val="00471722"/>
    <w:rsid w:val="00694737"/>
    <w:rsid w:val="006F686D"/>
    <w:rsid w:val="008549DE"/>
    <w:rsid w:val="00855E68"/>
    <w:rsid w:val="0086793D"/>
    <w:rsid w:val="008D1B1C"/>
    <w:rsid w:val="009943A2"/>
    <w:rsid w:val="00A74C7C"/>
    <w:rsid w:val="00AE6D1A"/>
    <w:rsid w:val="00AF005D"/>
    <w:rsid w:val="00B278B9"/>
    <w:rsid w:val="00C21F56"/>
    <w:rsid w:val="00E140C0"/>
    <w:rsid w:val="00EB56D5"/>
    <w:rsid w:val="00EB5F2E"/>
    <w:rsid w:val="00F23339"/>
    <w:rsid w:val="00F93D42"/>
    <w:rsid w:val="00FC7ECB"/>
    <w:rsid w:val="03DD1CE2"/>
    <w:rsid w:val="09B95A2F"/>
    <w:rsid w:val="0A536495"/>
    <w:rsid w:val="0AC16290"/>
    <w:rsid w:val="0BAC7CA5"/>
    <w:rsid w:val="0C2C773C"/>
    <w:rsid w:val="0E323572"/>
    <w:rsid w:val="0E4532A6"/>
    <w:rsid w:val="1218482D"/>
    <w:rsid w:val="12F42BA4"/>
    <w:rsid w:val="140D6614"/>
    <w:rsid w:val="165A18B8"/>
    <w:rsid w:val="19197809"/>
    <w:rsid w:val="1C582E89"/>
    <w:rsid w:val="1E9F6A81"/>
    <w:rsid w:val="21B300CF"/>
    <w:rsid w:val="26DF7A5E"/>
    <w:rsid w:val="27E547DE"/>
    <w:rsid w:val="2A831DDB"/>
    <w:rsid w:val="2B7F799F"/>
    <w:rsid w:val="2C8763E0"/>
    <w:rsid w:val="3112096E"/>
    <w:rsid w:val="3148438F"/>
    <w:rsid w:val="363E24E7"/>
    <w:rsid w:val="3727713D"/>
    <w:rsid w:val="3A6A5BAE"/>
    <w:rsid w:val="3FC7326B"/>
    <w:rsid w:val="43866888"/>
    <w:rsid w:val="48223734"/>
    <w:rsid w:val="48B84099"/>
    <w:rsid w:val="4B06733D"/>
    <w:rsid w:val="4BFA1701"/>
    <w:rsid w:val="4E775E5C"/>
    <w:rsid w:val="52884ADC"/>
    <w:rsid w:val="52F061DD"/>
    <w:rsid w:val="57D936E4"/>
    <w:rsid w:val="5A504131"/>
    <w:rsid w:val="5D2E6280"/>
    <w:rsid w:val="5E262E92"/>
    <w:rsid w:val="5FB077C9"/>
    <w:rsid w:val="6291178B"/>
    <w:rsid w:val="66CF4630"/>
    <w:rsid w:val="6D9143ED"/>
    <w:rsid w:val="71BB2380"/>
    <w:rsid w:val="71CF3736"/>
    <w:rsid w:val="760E76B0"/>
    <w:rsid w:val="7EDB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明显强调1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明显参考1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  <w:style w:type="paragraph" w:customStyle="1" w:styleId="37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801</Words>
  <Characters>841</Characters>
  <Lines>17</Lines>
  <Paragraphs>20</Paragraphs>
  <TotalTime>16</TotalTime>
  <ScaleCrop>false</ScaleCrop>
  <LinksUpToDate>false</LinksUpToDate>
  <CharactersWithSpaces>841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2025-08-17T04:44:00Z</dcterms:created>
  <dc:creator>沈 之昊</dc:creator>
  <cp:lastModifiedBy>syp</cp:lastModifiedBy>
  <dcterms:modified xsi:type="dcterms:W3CDTF">2025-12-10T03:49:37Z</dcterms:modified>
  <cp:revision>101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eyJoZGlkIjoiM2JhNjNmZGU4OWI0MTQxYTRkNjAxMzUzNjI4ODViZGMiLCJ1c2VySWQiOiIyNDA5NDIyODkifQ==</vt:lpwstr>
  </property>
  <property fmtid="{D5CDD505-2E9C-101B-9397-08002B2CF9AE}" pid="3" name="KSOProductBuildVer">
    <vt:lpwstr>2052-12.1.0.24034</vt:lpwstr>
  </property>
  <property fmtid="{D5CDD505-2E9C-101B-9397-08002B2CF9AE}" pid="4" name="ICV">
    <vt:lpwstr>69BCF67E10D04AEAB3BC1F5FA9BFB443_13</vt:lpwstr>
  </property>
</Properties>
</file>