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37DBAE">
      <w:pPr>
        <w:widowControl/>
        <w:shd w:val="clear" w:color="auto" w:fill="FFFFFF"/>
        <w:spacing w:before="330" w:after="330" w:line="315" w:lineRule="atLeast"/>
        <w:jc w:val="center"/>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关于第一次拍卖</w:t>
      </w:r>
      <w:r>
        <w:rPr>
          <w:rFonts w:ascii="仿宋" w:hAnsi="仿宋" w:eastAsia="仿宋" w:cs="仿宋"/>
          <w:b/>
          <w:bCs/>
          <w:color w:val="000000"/>
          <w:kern w:val="0"/>
          <w:sz w:val="32"/>
          <w:szCs w:val="32"/>
        </w:rPr>
        <w:t>上海其昌不锈钢集团有限公司</w:t>
      </w:r>
      <w:r>
        <w:rPr>
          <w:rFonts w:hint="eastAsia" w:ascii="仿宋" w:hAnsi="仿宋" w:eastAsia="仿宋" w:cs="仿宋"/>
          <w:b/>
          <w:bCs/>
          <w:color w:val="000000"/>
          <w:kern w:val="0"/>
          <w:sz w:val="32"/>
          <w:szCs w:val="32"/>
        </w:rPr>
        <w:t>持有的</w:t>
      </w:r>
    </w:p>
    <w:p w14:paraId="748A5609">
      <w:pPr>
        <w:widowControl/>
        <w:shd w:val="clear" w:color="auto" w:fill="FFFFFF"/>
        <w:spacing w:before="330" w:after="330" w:line="315" w:lineRule="atLeast"/>
        <w:jc w:val="center"/>
        <w:rPr>
          <w:rFonts w:hint="eastAsia" w:ascii="仿宋" w:hAnsi="仿宋" w:eastAsia="仿宋" w:cs="仿宋"/>
          <w:b/>
          <w:bCs/>
          <w:color w:val="333333"/>
          <w:kern w:val="0"/>
          <w:sz w:val="32"/>
          <w:szCs w:val="32"/>
        </w:rPr>
      </w:pPr>
      <w:r>
        <w:rPr>
          <w:rFonts w:ascii="仿宋" w:hAnsi="仿宋" w:eastAsia="仿宋" w:cs="仿宋"/>
          <w:b/>
          <w:bCs/>
          <w:color w:val="000000"/>
          <w:kern w:val="0"/>
          <w:sz w:val="32"/>
          <w:szCs w:val="32"/>
        </w:rPr>
        <w:t>温州市其昌不锈钢制品有限公司51%股权</w:t>
      </w:r>
      <w:r>
        <w:rPr>
          <w:rFonts w:hint="eastAsia" w:ascii="仿宋" w:hAnsi="仿宋" w:eastAsia="仿宋" w:cs="仿宋"/>
          <w:b/>
          <w:bCs/>
          <w:color w:val="000000"/>
          <w:kern w:val="0"/>
          <w:sz w:val="32"/>
          <w:szCs w:val="32"/>
        </w:rPr>
        <w:t>的公告</w:t>
      </w:r>
    </w:p>
    <w:p w14:paraId="7A138D6E">
      <w:pPr>
        <w:pStyle w:val="12"/>
        <w:widowControl/>
        <w:numPr>
          <w:ilvl w:val="0"/>
          <w:numId w:val="1"/>
        </w:numPr>
        <w:spacing w:line="360" w:lineRule="auto"/>
        <w:ind w:firstLineChars="0"/>
        <w:jc w:val="righ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沪0115破157号</w:t>
      </w:r>
    </w:p>
    <w:p w14:paraId="5B25A008">
      <w:pPr>
        <w:widowControl/>
        <w:spacing w:line="360" w:lineRule="auto"/>
        <w:ind w:firstLine="560" w:firstLineChars="200"/>
        <w:jc w:val="left"/>
        <w:rPr>
          <w:rFonts w:hint="eastAsia" w:ascii="仿宋" w:hAnsi="仿宋" w:eastAsia="仿宋" w:cs="仿宋"/>
          <w:color w:val="000000" w:themeColor="text1"/>
          <w:kern w:val="0"/>
          <w:sz w:val="28"/>
          <w:szCs w:val="28"/>
          <w14:textFill>
            <w14:solidFill>
              <w14:schemeClr w14:val="tx1"/>
            </w14:solidFill>
          </w14:textFill>
        </w:rPr>
      </w:pPr>
      <w:r>
        <w:rPr>
          <w:rFonts w:ascii="仿宋" w:hAnsi="仿宋" w:eastAsia="仿宋" w:cs="仿宋"/>
          <w:color w:val="000000" w:themeColor="text1"/>
          <w:kern w:val="0"/>
          <w:sz w:val="28"/>
          <w:szCs w:val="28"/>
          <w14:textFill>
            <w14:solidFill>
              <w14:schemeClr w14:val="tx1"/>
            </w14:solidFill>
          </w14:textFill>
        </w:rPr>
        <w:t>上海其昌不锈钢集团有限公司</w:t>
      </w:r>
      <w:r>
        <w:rPr>
          <w:rFonts w:hint="eastAsia" w:ascii="仿宋" w:hAnsi="仿宋" w:eastAsia="仿宋" w:cs="仿宋"/>
          <w:color w:val="000000" w:themeColor="text1"/>
          <w:kern w:val="0"/>
          <w:sz w:val="28"/>
          <w:szCs w:val="28"/>
          <w14:textFill>
            <w14:solidFill>
              <w14:schemeClr w14:val="tx1"/>
            </w14:solidFill>
          </w14:textFill>
        </w:rPr>
        <w:t>管理人拟于</w:t>
      </w:r>
      <w:r>
        <w:rPr>
          <w:rFonts w:hint="eastAsia" w:ascii="仿宋" w:hAnsi="仿宋" w:eastAsia="仿宋" w:cs="仿宋"/>
          <w:color w:val="000000" w:themeColor="text1"/>
          <w:kern w:val="0"/>
          <w:sz w:val="28"/>
          <w:szCs w:val="28"/>
          <w:highlight w:val="yellow"/>
          <w14:textFill>
            <w14:solidFill>
              <w14:schemeClr w14:val="tx1"/>
            </w14:solidFill>
          </w14:textFill>
        </w:rPr>
        <w:t>2026年2月8日10时至2026年2月9日10时止（延时除外）</w:t>
      </w:r>
      <w:r>
        <w:rPr>
          <w:rFonts w:hint="eastAsia" w:ascii="仿宋" w:hAnsi="仿宋" w:eastAsia="仿宋" w:cs="仿宋"/>
          <w:color w:val="000000" w:themeColor="text1"/>
          <w:kern w:val="0"/>
          <w:sz w:val="28"/>
          <w:szCs w:val="28"/>
          <w14:textFill>
            <w14:solidFill>
              <w14:schemeClr w14:val="tx1"/>
            </w14:solidFill>
          </w14:textFill>
        </w:rPr>
        <w:t>在京东拍卖破产强清平台进行公开拍卖活动（处置单位：</w:t>
      </w:r>
      <w:r>
        <w:rPr>
          <w:rFonts w:ascii="仿宋" w:hAnsi="仿宋" w:eastAsia="仿宋" w:cs="仿宋"/>
          <w:color w:val="000000" w:themeColor="text1"/>
          <w:kern w:val="0"/>
          <w:sz w:val="28"/>
          <w:szCs w:val="28"/>
          <w14:textFill>
            <w14:solidFill>
              <w14:schemeClr w14:val="tx1"/>
            </w14:solidFill>
          </w14:textFill>
        </w:rPr>
        <w:t>上海其昌不锈钢集团有限公司</w:t>
      </w:r>
      <w:r>
        <w:rPr>
          <w:rFonts w:hint="eastAsia" w:ascii="仿宋" w:hAnsi="仿宋" w:eastAsia="仿宋" w:cs="仿宋"/>
          <w:color w:val="000000" w:themeColor="text1"/>
          <w:kern w:val="0"/>
          <w:sz w:val="28"/>
          <w:szCs w:val="28"/>
          <w14:textFill>
            <w14:solidFill>
              <w14:schemeClr w14:val="tx1"/>
            </w14:solidFill>
          </w14:textFill>
        </w:rPr>
        <w:t>管理人，监督单位：上海市第三中级人民法院。</w:t>
      </w:r>
    </w:p>
    <w:p w14:paraId="4D794279">
      <w:pPr>
        <w:widowControl/>
        <w:spacing w:line="360" w:lineRule="auto"/>
        <w:ind w:firstLine="560" w:firstLineChars="2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网址：</w:t>
      </w:r>
      <w:r>
        <w:fldChar w:fldCharType="begin"/>
      </w:r>
      <w:r>
        <w:instrText xml:space="preserve"> HYPERLINK "https://susong.taobao.com/court_item.htm?user_%EF%BC%89%E8%BF%9B%E8%A1%8C%E5%85%AC%E5%BC%80%E6%8B%8D%E5%8D%96%E6%B4%BB%E5%8A%A8" \t "_blank" </w:instrText>
      </w:r>
      <w:r>
        <w:fldChar w:fldCharType="separate"/>
      </w:r>
      <w:bookmarkStart w:id="0" w:name="OLE_LINK1"/>
      <w:r>
        <w:rPr>
          <w:rFonts w:hint="eastAsia" w:ascii="仿宋" w:hAnsi="仿宋" w:eastAsia="仿宋" w:cs="仿宋"/>
          <w:color w:val="000000" w:themeColor="text1"/>
          <w:kern w:val="0"/>
          <w:sz w:val="28"/>
          <w:szCs w:val="28"/>
          <w:highlight w:val="yellow"/>
          <w14:textFill>
            <w14:solidFill>
              <w14:schemeClr w14:val="tx1"/>
            </w14:solidFill>
          </w14:textFill>
        </w:rPr>
        <w:t>https://auction.jd.com/bankrupt.html</w:t>
      </w:r>
      <w:bookmarkEnd w:id="0"/>
      <w:r>
        <w:rPr>
          <w:rFonts w:hint="eastAsia" w:ascii="仿宋" w:hAnsi="仿宋" w:eastAsia="仿宋" w:cs="仿宋"/>
          <w:color w:val="000000" w:themeColor="text1"/>
          <w:kern w:val="0"/>
          <w:sz w:val="28"/>
          <w:szCs w:val="28"/>
          <w:highlight w:val="yellow"/>
          <w14:textFill>
            <w14:solidFill>
              <w14:schemeClr w14:val="tx1"/>
            </w14:solidFill>
          </w14:textFill>
        </w:rPr>
        <w:t>）</w:t>
      </w:r>
      <w:r>
        <w:rPr>
          <w:rFonts w:hint="eastAsia" w:ascii="仿宋" w:hAnsi="仿宋" w:eastAsia="仿宋" w:cs="仿宋"/>
          <w:color w:val="000000" w:themeColor="text1"/>
          <w:kern w:val="0"/>
          <w:sz w:val="28"/>
          <w:szCs w:val="28"/>
          <w14:textFill>
            <w14:solidFill>
              <w14:schemeClr w14:val="tx1"/>
            </w14:solidFill>
          </w14:textFill>
        </w:rPr>
        <w:t>进行公开拍卖活动</w:t>
      </w:r>
      <w:r>
        <w:rPr>
          <w:rFonts w:hint="eastAsia" w:ascii="仿宋" w:hAnsi="仿宋" w:eastAsia="仿宋" w:cs="仿宋"/>
          <w:color w:val="000000" w:themeColor="text1"/>
          <w:kern w:val="0"/>
          <w:sz w:val="28"/>
          <w:szCs w:val="28"/>
          <w14:textFill>
            <w14:solidFill>
              <w14:schemeClr w14:val="tx1"/>
            </w14:solidFill>
          </w14:textFill>
        </w:rPr>
        <w:fldChar w:fldCharType="end"/>
      </w:r>
      <w:r>
        <w:rPr>
          <w:rFonts w:hint="eastAsia" w:ascii="仿宋" w:hAnsi="仿宋" w:eastAsia="仿宋" w:cs="仿宋"/>
          <w:color w:val="000000" w:themeColor="text1"/>
          <w:kern w:val="0"/>
          <w:sz w:val="28"/>
          <w:szCs w:val="28"/>
          <w14:textFill>
            <w14:solidFill>
              <w14:schemeClr w14:val="tx1"/>
            </w14:solidFill>
          </w14:textFill>
        </w:rPr>
        <w:t>，现公告如下：</w:t>
      </w:r>
    </w:p>
    <w:p w14:paraId="3FF8078E">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一、重要提示</w:t>
      </w:r>
    </w:p>
    <w:p w14:paraId="2946A622">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1、郑重声明：本标的系管理人依法独立履行《中华人民共和国企业破产法》第25条6项的职责在破产强清平台处分债务人财产，并承担相应责任。</w:t>
      </w:r>
    </w:p>
    <w:p w14:paraId="16602E23">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 竞拍前请务必遵照《竞买公告》、《竞买须知》要求、调查标的物信息、了解竞买资质、委托代理及尾款支付方式等内容。如违反相关约定，您的保证金可能会被划扣并产生其他法律责任，请理性参拍。</w:t>
      </w:r>
    </w:p>
    <w:p w14:paraId="02D6A8A5">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3、管理人将配合买受人办理标的股权转让手续，可能产生的变更登记等费用由买受人承担。（或者管理人将配合买受人办理拍品交付或者邮寄手续，可能产生的交付或者邮寄等费用由买受人承担。）</w:t>
      </w:r>
    </w:p>
    <w:p w14:paraId="001070B3">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4、本次拍卖公告所作的情况说明，仅为竞买人参与竞买提供参考，不能作为竞买人判断、权衡价值的最终依据，竞买人根据自身需求可自行调查、了解、核实。未尽事宜，管理人不承担任何责任。</w:t>
      </w:r>
    </w:p>
    <w:p w14:paraId="11C043B2">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5、本次拍卖标的情况较为复杂，标的物以其现状为准，法院与管理人不承担资产的瑕疵保证责任。除拍卖文件披露外，竞买人应对拍卖标的的实际状况以及瑕疵（含显性、隐性瑕疵）等自行调查核实、承担投资风险。</w:t>
      </w:r>
    </w:p>
    <w:p w14:paraId="17F1C4C6">
      <w:pPr>
        <w:widowControl/>
        <w:numPr>
          <w:ilvl w:val="0"/>
          <w:numId w:val="2"/>
        </w:numPr>
        <w:spacing w:line="360" w:lineRule="auto"/>
        <w:jc w:val="left"/>
        <w:rPr>
          <w:rFonts w:hint="eastAsia" w:ascii="仿宋" w:hAnsi="仿宋" w:eastAsia="仿宋" w:cs="仿宋"/>
          <w:b/>
          <w:bCs/>
          <w:color w:val="333333"/>
          <w:kern w:val="0"/>
          <w:sz w:val="28"/>
          <w:szCs w:val="28"/>
        </w:rPr>
      </w:pPr>
      <w:r>
        <w:rPr>
          <w:rFonts w:hint="eastAsia" w:ascii="仿宋" w:hAnsi="仿宋" w:eastAsia="仿宋" w:cs="仿宋"/>
          <w:b/>
          <w:bCs/>
          <w:color w:val="333333"/>
          <w:kern w:val="0"/>
          <w:sz w:val="28"/>
          <w:szCs w:val="28"/>
        </w:rPr>
        <w:t>  拍卖标的及起拍价</w:t>
      </w:r>
    </w:p>
    <w:p w14:paraId="3116A2E1">
      <w:pPr>
        <w:widowControl/>
        <w:numPr>
          <w:ilvl w:val="0"/>
          <w:numId w:val="3"/>
        </w:numPr>
        <w:spacing w:line="360" w:lineRule="auto"/>
        <w:jc w:val="left"/>
        <w:rPr>
          <w:rFonts w:hint="eastAsia" w:ascii="仿宋" w:hAnsi="仿宋" w:eastAsia="仿宋" w:cs="仿宋"/>
          <w:b/>
          <w:bCs/>
          <w:color w:val="333333"/>
          <w:kern w:val="0"/>
          <w:sz w:val="28"/>
          <w:szCs w:val="28"/>
        </w:rPr>
      </w:pPr>
      <w:r>
        <w:rPr>
          <w:rFonts w:hint="eastAsia" w:ascii="仿宋" w:hAnsi="仿宋" w:eastAsia="仿宋" w:cs="仿宋"/>
          <w:b/>
          <w:bCs/>
          <w:color w:val="333333"/>
          <w:kern w:val="0"/>
          <w:sz w:val="28"/>
          <w:szCs w:val="28"/>
        </w:rPr>
        <w:t>拍卖标的</w:t>
      </w:r>
    </w:p>
    <w:p w14:paraId="01C67BF5">
      <w:pPr>
        <w:widowControl/>
        <w:spacing w:line="315" w:lineRule="atLeast"/>
        <w:jc w:val="left"/>
        <w:rPr>
          <w:rFonts w:ascii="仿宋" w:hAnsi="仿宋" w:eastAsia="仿宋" w:cs="仿宋"/>
          <w:b/>
          <w:bCs/>
          <w:color w:val="333333"/>
          <w:kern w:val="0"/>
          <w:sz w:val="28"/>
          <w:szCs w:val="28"/>
        </w:rPr>
      </w:pPr>
      <w:r>
        <w:rPr>
          <w:rFonts w:ascii="仿宋" w:hAnsi="仿宋" w:eastAsia="仿宋" w:cs="仿宋"/>
          <w:b/>
          <w:bCs/>
          <w:color w:val="333333"/>
          <w:kern w:val="0"/>
          <w:sz w:val="28"/>
          <w:szCs w:val="28"/>
        </w:rPr>
        <w:t>温州市其昌不锈钢制品有限公司51%股权</w:t>
      </w:r>
    </w:p>
    <w:tbl>
      <w:tblPr>
        <w:tblStyle w:val="6"/>
        <w:tblW w:w="7785" w:type="dxa"/>
        <w:jc w:val="center"/>
        <w:tblLayout w:type="fixed"/>
        <w:tblCellMar>
          <w:top w:w="0" w:type="dxa"/>
          <w:left w:w="108" w:type="dxa"/>
          <w:bottom w:w="0" w:type="dxa"/>
          <w:right w:w="108" w:type="dxa"/>
        </w:tblCellMar>
      </w:tblPr>
      <w:tblGrid>
        <w:gridCol w:w="957"/>
        <w:gridCol w:w="2856"/>
        <w:gridCol w:w="656"/>
        <w:gridCol w:w="1787"/>
        <w:gridCol w:w="1529"/>
      </w:tblGrid>
      <w:tr w14:paraId="3D2AEC44">
        <w:tblPrEx>
          <w:tblCellMar>
            <w:top w:w="0" w:type="dxa"/>
            <w:left w:w="108" w:type="dxa"/>
            <w:bottom w:w="0" w:type="dxa"/>
            <w:right w:w="108" w:type="dxa"/>
          </w:tblCellMar>
        </w:tblPrEx>
        <w:trPr>
          <w:trHeight w:val="575" w:hRule="atLeast"/>
          <w:jc w:val="center"/>
        </w:trPr>
        <w:tc>
          <w:tcPr>
            <w:tcW w:w="957" w:type="dxa"/>
            <w:tcBorders>
              <w:top w:val="single" w:color="000000" w:sz="4" w:space="0"/>
              <w:left w:val="single" w:color="000000" w:sz="4" w:space="0"/>
              <w:bottom w:val="single" w:color="000000" w:sz="4" w:space="0"/>
              <w:right w:val="single" w:color="000000" w:sz="4" w:space="0"/>
            </w:tcBorders>
            <w:noWrap/>
            <w:vAlign w:val="bottom"/>
          </w:tcPr>
          <w:p w14:paraId="668AE787">
            <w:pPr>
              <w:widowControl/>
              <w:jc w:val="center"/>
              <w:textAlignment w:val="bottom"/>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序号</w:t>
            </w:r>
          </w:p>
        </w:tc>
        <w:tc>
          <w:tcPr>
            <w:tcW w:w="2856" w:type="dxa"/>
            <w:tcBorders>
              <w:top w:val="single" w:color="000000" w:sz="4" w:space="0"/>
              <w:left w:val="single" w:color="000000" w:sz="4" w:space="0"/>
              <w:bottom w:val="single" w:color="000000" w:sz="4" w:space="0"/>
              <w:right w:val="single" w:color="000000" w:sz="4" w:space="0"/>
            </w:tcBorders>
            <w:noWrap/>
            <w:vAlign w:val="bottom"/>
          </w:tcPr>
          <w:p w14:paraId="79E108DF">
            <w:pPr>
              <w:widowControl/>
              <w:jc w:val="center"/>
              <w:textAlignment w:val="bottom"/>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名称</w:t>
            </w:r>
          </w:p>
        </w:tc>
        <w:tc>
          <w:tcPr>
            <w:tcW w:w="656" w:type="dxa"/>
            <w:tcBorders>
              <w:top w:val="single" w:color="000000" w:sz="4" w:space="0"/>
              <w:left w:val="single" w:color="000000" w:sz="4" w:space="0"/>
              <w:bottom w:val="single" w:color="000000" w:sz="4" w:space="0"/>
              <w:right w:val="single" w:color="000000" w:sz="4" w:space="0"/>
            </w:tcBorders>
            <w:noWrap/>
            <w:vAlign w:val="bottom"/>
          </w:tcPr>
          <w:p w14:paraId="491E4341">
            <w:pPr>
              <w:widowControl/>
              <w:jc w:val="center"/>
              <w:textAlignment w:val="bottom"/>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工商状态</w:t>
            </w:r>
          </w:p>
        </w:tc>
        <w:tc>
          <w:tcPr>
            <w:tcW w:w="1787" w:type="dxa"/>
            <w:tcBorders>
              <w:top w:val="single" w:color="000000" w:sz="4" w:space="0"/>
              <w:left w:val="single" w:color="000000" w:sz="4" w:space="0"/>
              <w:bottom w:val="single" w:color="000000" w:sz="4" w:space="0"/>
              <w:right w:val="single" w:color="000000" w:sz="4" w:space="0"/>
            </w:tcBorders>
            <w:noWrap/>
            <w:vAlign w:val="bottom"/>
          </w:tcPr>
          <w:p w14:paraId="2906F25A">
            <w:pPr>
              <w:widowControl/>
              <w:jc w:val="both"/>
              <w:textAlignment w:val="bottom"/>
              <w:rPr>
                <w:rFonts w:hint="eastAsia" w:ascii="仿宋" w:hAnsi="仿宋" w:eastAsia="仿宋" w:cs="仿宋"/>
                <w:b/>
                <w:bCs/>
                <w:color w:val="000000"/>
                <w:sz w:val="20"/>
                <w:szCs w:val="20"/>
              </w:rPr>
            </w:pPr>
            <w:bookmarkStart w:id="1" w:name="_GoBack"/>
            <w:bookmarkEnd w:id="1"/>
            <w:r>
              <w:rPr>
                <w:rFonts w:hint="eastAsia" w:ascii="仿宋" w:hAnsi="仿宋" w:eastAsia="仿宋" w:cs="仿宋"/>
                <w:b/>
                <w:bCs/>
                <w:color w:val="000000"/>
                <w:sz w:val="20"/>
                <w:szCs w:val="20"/>
              </w:rPr>
              <w:t>认缴出资额</w:t>
            </w:r>
          </w:p>
        </w:tc>
        <w:tc>
          <w:tcPr>
            <w:tcW w:w="1529" w:type="dxa"/>
            <w:tcBorders>
              <w:top w:val="single" w:color="000000" w:sz="4" w:space="0"/>
              <w:left w:val="single" w:color="000000" w:sz="4" w:space="0"/>
              <w:bottom w:val="single" w:color="000000" w:sz="4" w:space="0"/>
              <w:right w:val="single" w:color="000000" w:sz="4" w:space="0"/>
            </w:tcBorders>
            <w:noWrap/>
            <w:vAlign w:val="bottom"/>
          </w:tcPr>
          <w:p w14:paraId="0A8C2317">
            <w:pPr>
              <w:widowControl/>
              <w:jc w:val="center"/>
              <w:textAlignment w:val="bottom"/>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持股比例</w:t>
            </w:r>
          </w:p>
        </w:tc>
      </w:tr>
      <w:tr w14:paraId="79CB48DC">
        <w:tblPrEx>
          <w:tblCellMar>
            <w:top w:w="0" w:type="dxa"/>
            <w:left w:w="108" w:type="dxa"/>
            <w:bottom w:w="0" w:type="dxa"/>
            <w:right w:w="108" w:type="dxa"/>
          </w:tblCellMar>
        </w:tblPrEx>
        <w:trPr>
          <w:trHeight w:val="292" w:hRule="atLeast"/>
          <w:jc w:val="center"/>
        </w:trPr>
        <w:tc>
          <w:tcPr>
            <w:tcW w:w="957" w:type="dxa"/>
            <w:tcBorders>
              <w:top w:val="single" w:color="000000" w:sz="4" w:space="0"/>
              <w:left w:val="single" w:color="000000" w:sz="4" w:space="0"/>
              <w:bottom w:val="single" w:color="000000" w:sz="4" w:space="0"/>
              <w:right w:val="single" w:color="000000" w:sz="4" w:space="0"/>
            </w:tcBorders>
            <w:noWrap/>
            <w:vAlign w:val="center"/>
          </w:tcPr>
          <w:p w14:paraId="32B6CE6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28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96697">
            <w:pPr>
              <w:widowControl/>
              <w:jc w:val="center"/>
              <w:textAlignment w:val="center"/>
              <w:rPr>
                <w:rFonts w:hint="eastAsia" w:ascii="仿宋" w:hAnsi="仿宋" w:eastAsia="仿宋" w:cs="仿宋"/>
                <w:color w:val="000000"/>
                <w:sz w:val="22"/>
              </w:rPr>
            </w:pPr>
            <w:r>
              <w:rPr>
                <w:rFonts w:ascii="仿宋" w:hAnsi="仿宋" w:eastAsia="仿宋" w:cs="仿宋"/>
                <w:color w:val="000000"/>
                <w:sz w:val="22"/>
              </w:rPr>
              <w:t>温州市其昌不锈钢制品有限公司</w:t>
            </w:r>
          </w:p>
        </w:tc>
        <w:tc>
          <w:tcPr>
            <w:tcW w:w="6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17D8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存续</w:t>
            </w:r>
          </w:p>
        </w:tc>
        <w:tc>
          <w:tcPr>
            <w:tcW w:w="178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B9999C">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5552.88万元</w:t>
            </w:r>
          </w:p>
        </w:tc>
        <w:tc>
          <w:tcPr>
            <w:tcW w:w="15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6A8EC">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51%</w:t>
            </w:r>
          </w:p>
        </w:tc>
      </w:tr>
    </w:tbl>
    <w:p w14:paraId="7A7E9E46">
      <w:pPr>
        <w:widowControl/>
        <w:spacing w:line="315" w:lineRule="atLeast"/>
        <w:jc w:val="left"/>
        <w:rPr>
          <w:rFonts w:hint="eastAsia" w:ascii="仿宋" w:hAnsi="仿宋" w:eastAsia="仿宋" w:cs="仿宋"/>
          <w:b/>
          <w:bCs/>
          <w:color w:val="333333"/>
          <w:kern w:val="0"/>
          <w:sz w:val="28"/>
          <w:szCs w:val="28"/>
        </w:rPr>
      </w:pPr>
    </w:p>
    <w:p w14:paraId="368E0E77">
      <w:pPr>
        <w:widowControl/>
        <w:spacing w:line="315" w:lineRule="atLeast"/>
        <w:jc w:val="left"/>
        <w:rPr>
          <w:rFonts w:hint="eastAsia" w:ascii="仿宋" w:hAnsi="仿宋" w:eastAsia="仿宋" w:cs="仿宋"/>
          <w:b/>
          <w:bCs/>
          <w:color w:val="333333"/>
          <w:kern w:val="0"/>
          <w:sz w:val="28"/>
          <w:szCs w:val="28"/>
        </w:rPr>
      </w:pPr>
      <w:r>
        <w:rPr>
          <w:rFonts w:hint="eastAsia" w:ascii="仿宋" w:hAnsi="仿宋" w:eastAsia="仿宋" w:cs="仿宋"/>
          <w:b/>
          <w:bCs/>
          <w:color w:val="333333"/>
          <w:kern w:val="0"/>
          <w:sz w:val="28"/>
          <w:szCs w:val="28"/>
        </w:rPr>
        <w:t>（二）标的详情</w:t>
      </w:r>
    </w:p>
    <w:tbl>
      <w:tblPr>
        <w:tblStyle w:val="6"/>
        <w:tblW w:w="0" w:type="auto"/>
        <w:tblInd w:w="0" w:type="dxa"/>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78"/>
        <w:gridCol w:w="6308"/>
      </w:tblGrid>
      <w:tr w14:paraId="2B8CA686">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57" w:hRule="atLeast"/>
        </w:trPr>
        <w:tc>
          <w:tcPr>
            <w:tcW w:w="828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02CDC85F">
            <w:pPr>
              <w:pStyle w:val="5"/>
              <w:spacing w:before="0" w:beforeAutospacing="0" w:after="0" w:afterAutospacing="0" w:line="242" w:lineRule="atLeast"/>
              <w:jc w:val="center"/>
              <w:rPr>
                <w:rFonts w:hint="eastAsia" w:ascii="仿宋" w:hAnsi="仿宋" w:eastAsia="仿宋" w:cs="仿宋"/>
              </w:rPr>
            </w:pPr>
            <w:r>
              <w:rPr>
                <w:rFonts w:hint="eastAsia" w:ascii="仿宋" w:hAnsi="仿宋" w:eastAsia="仿宋" w:cs="仿宋"/>
                <w:b/>
                <w:bCs/>
                <w:color w:val="1B253A"/>
              </w:rPr>
              <w:t>拍卖标的物调查情况表</w:t>
            </w:r>
          </w:p>
        </w:tc>
      </w:tr>
      <w:tr w14:paraId="2B781B2D">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DDD3D7F">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b/>
                <w:bCs/>
                <w:color w:val="000000"/>
              </w:rPr>
              <w:t>拍品名称</w:t>
            </w:r>
          </w:p>
        </w:tc>
        <w:tc>
          <w:tcPr>
            <w:tcW w:w="630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3B8D0150">
            <w:pPr>
              <w:pStyle w:val="5"/>
              <w:spacing w:before="0" w:beforeAutospacing="0" w:after="0" w:afterAutospacing="0" w:line="242" w:lineRule="atLeast"/>
              <w:rPr>
                <w:rFonts w:hint="eastAsia" w:ascii="仿宋" w:hAnsi="仿宋" w:eastAsia="仿宋" w:cs="仿宋"/>
              </w:rPr>
            </w:pPr>
            <w:r>
              <w:rPr>
                <w:rFonts w:ascii="仿宋" w:hAnsi="仿宋" w:eastAsia="仿宋" w:cs="仿宋"/>
              </w:rPr>
              <w:t>上海其昌不锈钢集团有限公司持有的温州市其昌不锈钢制品有限公司51%股权</w:t>
            </w:r>
          </w:p>
        </w:tc>
      </w:tr>
      <w:tr w14:paraId="73185432">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39B76145">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b/>
                <w:bCs/>
                <w:color w:val="000000"/>
              </w:rPr>
              <w:t>拍卖依据</w:t>
            </w:r>
          </w:p>
        </w:tc>
        <w:tc>
          <w:tcPr>
            <w:tcW w:w="630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B1B5853">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color w:val="000000"/>
              </w:rPr>
              <w:t>（2025）沪0115破157号</w:t>
            </w:r>
          </w:p>
        </w:tc>
      </w:tr>
      <w:tr w14:paraId="7701F6B3">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0762FF86">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b/>
                <w:bCs/>
                <w:color w:val="000000"/>
              </w:rPr>
              <w:t>拍品所有人</w:t>
            </w:r>
          </w:p>
        </w:tc>
        <w:tc>
          <w:tcPr>
            <w:tcW w:w="630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7BF166CE">
            <w:pPr>
              <w:pStyle w:val="5"/>
              <w:spacing w:before="0" w:beforeAutospacing="0" w:after="0" w:afterAutospacing="0" w:line="242" w:lineRule="atLeast"/>
              <w:rPr>
                <w:rFonts w:hint="eastAsia" w:ascii="仿宋" w:hAnsi="仿宋" w:eastAsia="仿宋" w:cs="仿宋"/>
              </w:rPr>
            </w:pPr>
            <w:r>
              <w:rPr>
                <w:rFonts w:ascii="仿宋" w:hAnsi="仿宋" w:eastAsia="仿宋" w:cs="仿宋"/>
              </w:rPr>
              <w:t>上海其昌不锈钢集团有限公司</w:t>
            </w:r>
          </w:p>
        </w:tc>
      </w:tr>
      <w:tr w14:paraId="0B86FCCF">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CF96392">
            <w:pPr>
              <w:pStyle w:val="5"/>
              <w:spacing w:before="0" w:beforeAutospacing="0" w:after="0" w:afterAutospacing="0" w:line="242" w:lineRule="atLeast"/>
              <w:rPr>
                <w:rFonts w:hint="eastAsia" w:ascii="仿宋" w:hAnsi="仿宋" w:eastAsia="仿宋" w:cs="仿宋"/>
                <w:b/>
                <w:bCs/>
                <w:color w:val="000000"/>
              </w:rPr>
            </w:pPr>
            <w:r>
              <w:rPr>
                <w:rFonts w:hint="eastAsia" w:ascii="仿宋" w:hAnsi="仿宋" w:eastAsia="仿宋" w:cs="仿宋"/>
                <w:b/>
                <w:bCs/>
                <w:color w:val="000000"/>
              </w:rPr>
              <w:t>拍品权证情况</w:t>
            </w:r>
          </w:p>
        </w:tc>
        <w:tc>
          <w:tcPr>
            <w:tcW w:w="630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166DC0B7">
            <w:pPr>
              <w:pStyle w:val="5"/>
              <w:spacing w:before="0" w:beforeAutospacing="0" w:after="0" w:afterAutospacing="0" w:line="242" w:lineRule="atLeast"/>
              <w:rPr>
                <w:rFonts w:ascii="仿宋" w:hAnsi="仿宋" w:eastAsia="仿宋" w:cs="仿宋"/>
              </w:rPr>
            </w:pPr>
            <w:r>
              <w:rPr>
                <w:rFonts w:hint="eastAsia" w:ascii="仿宋" w:hAnsi="仿宋" w:eastAsia="仿宋" w:cs="仿宋"/>
              </w:rPr>
              <w:t>无</w:t>
            </w:r>
          </w:p>
        </w:tc>
      </w:tr>
      <w:tr w14:paraId="6F8B1B36">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216239A0">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b/>
                <w:bCs/>
                <w:color w:val="000000"/>
              </w:rPr>
              <w:t>拍卖权利限制及瑕疵等情况</w:t>
            </w:r>
          </w:p>
        </w:tc>
        <w:tc>
          <w:tcPr>
            <w:tcW w:w="630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504967B2">
            <w:pPr>
              <w:pStyle w:val="5"/>
              <w:spacing w:before="48" w:beforeAutospacing="0" w:after="48" w:afterAutospacing="0" w:line="242" w:lineRule="atLeast"/>
              <w:ind w:left="240" w:hanging="240" w:hangingChars="100"/>
              <w:rPr>
                <w:rFonts w:hint="eastAsia" w:ascii="仿宋" w:hAnsi="仿宋" w:eastAsia="仿宋" w:cs="仿宋"/>
              </w:rPr>
            </w:pPr>
            <w:r>
              <w:rPr>
                <w:rFonts w:hint="eastAsia" w:ascii="仿宋" w:hAnsi="仿宋" w:eastAsia="仿宋" w:cs="仿宋"/>
                <w:color w:val="000000"/>
              </w:rPr>
              <w:t>1.买受人在竞拍前，需自行向标的公司登记机关</w:t>
            </w:r>
            <w:r>
              <w:rPr>
                <w:rFonts w:hint="eastAsia" w:ascii="仿宋" w:hAnsi="仿宋" w:eastAsia="仿宋" w:cs="仿宋"/>
                <w:color w:val="000000"/>
                <w:lang w:val="en-US" w:eastAsia="zh-CN"/>
              </w:rPr>
              <w:t>咨询股权</w:t>
            </w:r>
            <w:r>
              <w:rPr>
                <w:rFonts w:hint="eastAsia" w:ascii="仿宋" w:hAnsi="仿宋" w:eastAsia="仿宋" w:cs="仿宋"/>
                <w:color w:val="000000"/>
              </w:rPr>
              <w:t>过户等相关事宜；</w:t>
            </w:r>
          </w:p>
          <w:p w14:paraId="2B1BF6D3">
            <w:pPr>
              <w:pStyle w:val="5"/>
              <w:spacing w:before="48" w:beforeAutospacing="0" w:after="48" w:afterAutospacing="0" w:line="242" w:lineRule="atLeast"/>
              <w:rPr>
                <w:rFonts w:hint="eastAsia" w:ascii="仿宋" w:hAnsi="仿宋" w:eastAsia="仿宋" w:cs="仿宋"/>
              </w:rPr>
            </w:pPr>
            <w:r>
              <w:rPr>
                <w:rFonts w:hint="eastAsia" w:ascii="仿宋" w:hAnsi="仿宋" w:eastAsia="仿宋" w:cs="仿宋"/>
                <w:color w:val="000000"/>
              </w:rPr>
              <w:t>2.拍卖成交后，有关手续由买受人自行办理，</w:t>
            </w:r>
            <w:r>
              <w:rPr>
                <w:rFonts w:hint="eastAsia" w:ascii="仿宋" w:hAnsi="仿宋" w:eastAsia="仿宋" w:cs="仿宋"/>
                <w:color w:val="000000"/>
                <w:lang w:val="en-US" w:eastAsia="zh-CN"/>
              </w:rPr>
              <w:t>股权</w:t>
            </w:r>
            <w:r>
              <w:rPr>
                <w:rFonts w:hint="eastAsia" w:ascii="仿宋" w:hAnsi="仿宋" w:eastAsia="仿宋" w:cs="仿宋"/>
                <w:color w:val="000000"/>
              </w:rPr>
              <w:t>份额转让时涉及的税、费等一切费用由买受人自行承担；</w:t>
            </w:r>
          </w:p>
          <w:p w14:paraId="6AD8CA5A">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color w:val="000000"/>
              </w:rPr>
              <w:t>3.经公开查询，</w:t>
            </w:r>
            <w:r>
              <w:rPr>
                <w:rFonts w:ascii="仿宋" w:hAnsi="仿宋" w:eastAsia="仿宋" w:cs="仿宋"/>
                <w:color w:val="000000"/>
              </w:rPr>
              <w:t>上海其昌不锈钢集团有限公司持有的温州市其昌不锈钢制品有限公司5</w:t>
            </w:r>
            <w:r>
              <w:rPr>
                <w:rFonts w:ascii="仿宋" w:hAnsi="仿宋" w:eastAsia="仿宋" w:cs="仿宋"/>
                <w:color w:val="000000"/>
                <w:highlight w:val="none"/>
              </w:rPr>
              <w:t>1%股权</w:t>
            </w:r>
            <w:r>
              <w:rPr>
                <w:rFonts w:hint="eastAsia" w:ascii="仿宋" w:hAnsi="仿宋" w:eastAsia="仿宋" w:cs="仿宋"/>
                <w:color w:val="000000"/>
                <w:highlight w:val="none"/>
              </w:rPr>
              <w:t>存在司法冻结，</w:t>
            </w:r>
            <w:r>
              <w:rPr>
                <w:rFonts w:hint="eastAsia" w:ascii="仿宋" w:hAnsi="仿宋" w:eastAsia="仿宋" w:cs="仿宋"/>
                <w:color w:val="000000"/>
              </w:rPr>
              <w:t>具体情况以工商登记信息为准；</w:t>
            </w:r>
          </w:p>
          <w:p w14:paraId="19D7C666">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color w:val="000000"/>
              </w:rPr>
              <w:t>4.经公开查询，查询到</w:t>
            </w:r>
            <w:r>
              <w:rPr>
                <w:rFonts w:ascii="仿宋" w:hAnsi="仿宋" w:eastAsia="仿宋" w:cs="仿宋"/>
                <w:color w:val="000000"/>
              </w:rPr>
              <w:t>温州市其昌不锈钢制品有限公司</w:t>
            </w:r>
            <w:r>
              <w:rPr>
                <w:rFonts w:hint="eastAsia" w:ascii="仿宋" w:hAnsi="仿宋" w:eastAsia="仿宋" w:cs="仿宋"/>
                <w:color w:val="000000"/>
              </w:rPr>
              <w:t>存在诉讼案件4起，具体情况由买受人自行查询了解；</w:t>
            </w:r>
          </w:p>
          <w:p w14:paraId="05E2F985">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color w:val="000000"/>
              </w:rPr>
              <w:t>5.本次拍卖标的情况较为复杂，标的物以其现状为准，</w:t>
            </w:r>
            <w:r>
              <w:rPr>
                <w:rFonts w:hint="eastAsia" w:ascii="仿宋" w:hAnsi="仿宋" w:eastAsia="仿宋" w:cs="仿宋"/>
                <w:color w:val="000000"/>
                <w:highlight w:val="yellow"/>
              </w:rPr>
              <w:t>管理人不清楚</w:t>
            </w:r>
            <w:r>
              <w:rPr>
                <w:rFonts w:ascii="仿宋" w:hAnsi="仿宋" w:eastAsia="仿宋" w:cs="仿宋"/>
                <w:color w:val="000000"/>
                <w:highlight w:val="yellow"/>
              </w:rPr>
              <w:t>温州市其昌不锈钢制品有限公司</w:t>
            </w:r>
            <w:r>
              <w:rPr>
                <w:rFonts w:hint="eastAsia" w:ascii="仿宋" w:hAnsi="仿宋" w:eastAsia="仿宋" w:cs="仿宋"/>
                <w:color w:val="000000"/>
                <w:highlight w:val="yellow"/>
              </w:rPr>
              <w:t>财务实际状况，亦不承担拍卖标的的瑕疵保证责任；</w:t>
            </w:r>
            <w:r>
              <w:rPr>
                <w:rFonts w:hint="eastAsia" w:ascii="仿宋" w:hAnsi="仿宋" w:eastAsia="仿宋" w:cs="仿宋"/>
                <w:color w:val="000000"/>
              </w:rPr>
              <w:t>除拍卖文件披露外，竞买人应对拍卖标的的实际状况以及瑕疵（含显性、隐性瑕疵）等自行调查核实、承担投资风险。</w:t>
            </w:r>
          </w:p>
        </w:tc>
      </w:tr>
      <w:tr w14:paraId="01B4DEA0">
        <w:tblPrEx>
          <w:tblBorders>
            <w:top w:val="single" w:color="E9E9E9" w:sz="6" w:space="0"/>
            <w:left w:val="single" w:color="E9E9E9" w:sz="6" w:space="0"/>
            <w:bottom w:val="single" w:color="E9E9E9" w:sz="6" w:space="0"/>
            <w:right w:val="single" w:color="E9E9E9"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9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69FD3CA">
            <w:pPr>
              <w:pStyle w:val="5"/>
              <w:spacing w:before="0" w:beforeAutospacing="0" w:after="0" w:afterAutospacing="0" w:line="242" w:lineRule="atLeast"/>
              <w:rPr>
                <w:rFonts w:hint="eastAsia" w:ascii="仿宋" w:hAnsi="仿宋" w:eastAsia="仿宋" w:cs="仿宋"/>
              </w:rPr>
            </w:pPr>
            <w:r>
              <w:rPr>
                <w:rFonts w:hint="eastAsia" w:ascii="仿宋" w:hAnsi="仿宋" w:eastAsia="仿宋" w:cs="仿宋"/>
                <w:b/>
                <w:bCs/>
                <w:color w:val="000000"/>
              </w:rPr>
              <w:t>拍卖标的介绍</w:t>
            </w:r>
          </w:p>
        </w:tc>
        <w:tc>
          <w:tcPr>
            <w:tcW w:w="630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7C8CB8E2">
            <w:pPr>
              <w:pStyle w:val="5"/>
              <w:spacing w:before="48" w:beforeAutospacing="0" w:after="48" w:afterAutospacing="0" w:line="242" w:lineRule="atLeast"/>
              <w:rPr>
                <w:rFonts w:hint="eastAsia" w:ascii="仿宋" w:hAnsi="仿宋" w:eastAsia="仿宋" w:cs="仿宋"/>
              </w:rPr>
            </w:pPr>
            <w:r>
              <w:rPr>
                <w:rFonts w:hint="eastAsia" w:ascii="仿宋" w:hAnsi="仿宋" w:eastAsia="仿宋" w:cs="仿宋"/>
                <w:color w:val="000000"/>
              </w:rPr>
              <w:t>1、工商档案</w:t>
            </w:r>
            <w:r>
              <w:rPr>
                <w:rFonts w:hint="eastAsia" w:ascii="仿宋" w:hAnsi="仿宋" w:eastAsia="仿宋" w:cs="仿宋"/>
                <w:color w:val="000000"/>
                <w:lang w:val="en-US" w:eastAsia="zh-CN"/>
              </w:rPr>
              <w:t>资料显示</w:t>
            </w:r>
            <w:r>
              <w:rPr>
                <w:rFonts w:hint="eastAsia" w:ascii="仿宋" w:hAnsi="仿宋" w:eastAsia="仿宋" w:cs="仿宋"/>
                <w:color w:val="000000"/>
              </w:rPr>
              <w:t>：</w:t>
            </w:r>
            <w:r>
              <w:rPr>
                <w:rFonts w:ascii="仿宋" w:hAnsi="仿宋" w:eastAsia="仿宋" w:cs="仿宋"/>
                <w:color w:val="000000"/>
                <w:highlight w:val="yellow"/>
              </w:rPr>
              <w:t>2012年11月由温州申诚会计师事务所（普通合伙）出具验资报告：温申变验字（2012）009号，报告载</w:t>
            </w:r>
            <w:r>
              <w:rPr>
                <w:rFonts w:ascii="仿宋" w:hAnsi="仿宋" w:eastAsia="仿宋" w:cs="仿宋"/>
                <w:color w:val="000000"/>
                <w:highlight w:val="yellow"/>
                <w:shd w:val="clear" w:color="auto" w:fill="FFFF00"/>
              </w:rPr>
              <w:t>明</w:t>
            </w:r>
            <w:r>
              <w:rPr>
                <w:rFonts w:ascii="仿宋" w:hAnsi="仿宋" w:eastAsia="仿宋" w:cs="仿宋"/>
                <w:color w:val="000000"/>
                <w:shd w:val="clear" w:color="auto" w:fill="FFFF00"/>
              </w:rPr>
              <w:t>上海其昌不锈钢集团有限公司</w:t>
            </w:r>
            <w:r>
              <w:rPr>
                <w:rFonts w:ascii="仿宋" w:hAnsi="仿宋" w:eastAsia="仿宋" w:cs="仿宋"/>
                <w:color w:val="000000"/>
                <w:highlight w:val="yellow"/>
                <w:shd w:val="clear" w:color="auto" w:fill="FFFF00"/>
              </w:rPr>
              <w:t>已完</w:t>
            </w:r>
            <w:r>
              <w:rPr>
                <w:rFonts w:ascii="仿宋" w:hAnsi="仿宋" w:eastAsia="仿宋" w:cs="仿宋"/>
                <w:color w:val="000000"/>
                <w:highlight w:val="yellow"/>
              </w:rPr>
              <w:t>成对该标的公司的注册资本实缴义</w:t>
            </w:r>
            <w:r>
              <w:rPr>
                <w:rFonts w:ascii="仿宋" w:hAnsi="仿宋" w:eastAsia="仿宋" w:cs="仿宋"/>
                <w:color w:val="000000"/>
                <w:highlight w:val="yellow"/>
                <w:shd w:val="clear" w:color="auto" w:fill="FFFF00"/>
              </w:rPr>
              <w:t>务</w:t>
            </w:r>
            <w:r>
              <w:rPr>
                <w:rFonts w:hint="eastAsia" w:ascii="仿宋" w:hAnsi="仿宋" w:eastAsia="仿宋" w:cs="仿宋"/>
                <w:color w:val="000000"/>
                <w:shd w:val="clear" w:color="auto" w:fill="FFFF00"/>
              </w:rPr>
              <w:t>。由于管理人未掌握标的公司账册、银行流水等情况</w:t>
            </w:r>
            <w:r>
              <w:rPr>
                <w:rFonts w:hint="eastAsia" w:ascii="仿宋" w:hAnsi="仿宋" w:eastAsia="仿宋" w:cs="仿宋"/>
                <w:color w:val="000000"/>
              </w:rPr>
              <w:t>，无法完全确认是否存在转出资本或抽逃出资的情况，请谨慎竞拍。</w:t>
            </w:r>
          </w:p>
          <w:p w14:paraId="6345A416">
            <w:pPr>
              <w:pStyle w:val="5"/>
              <w:spacing w:before="48" w:beforeAutospacing="0" w:after="48" w:afterAutospacing="0" w:line="242" w:lineRule="atLeast"/>
              <w:rPr>
                <w:rFonts w:hint="eastAsia" w:ascii="仿宋" w:hAnsi="仿宋" w:eastAsia="仿宋" w:cs="仿宋"/>
              </w:rPr>
            </w:pPr>
            <w:r>
              <w:rPr>
                <w:rFonts w:hint="eastAsia" w:ascii="仿宋" w:hAnsi="仿宋" w:eastAsia="仿宋" w:cs="仿宋"/>
                <w:color w:val="000000"/>
              </w:rPr>
              <w:t>2、现状：截至拍品发布日，标的企业现状为存续。</w:t>
            </w:r>
          </w:p>
        </w:tc>
      </w:tr>
    </w:tbl>
    <w:p w14:paraId="12CD528E">
      <w:pPr>
        <w:widowControl/>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特别说明：</w:t>
      </w:r>
    </w:p>
    <w:p w14:paraId="69E4CE6E">
      <w:pPr>
        <w:widowControl/>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标的可能存在瑕疵或缺陷，以至于买受人预期利益无法最终实现。可能存在的瑕疵或缺陷包括但不限于下列一项或多项：</w:t>
      </w:r>
    </w:p>
    <w:p w14:paraId="09D02F53">
      <w:pPr>
        <w:widowControl/>
        <w:numPr>
          <w:ilvl w:val="0"/>
          <w:numId w:val="4"/>
        </w:numPr>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标的未经评估，管理人根据《</w:t>
      </w:r>
      <w:r>
        <w:rPr>
          <w:rFonts w:ascii="仿宋" w:hAnsi="仿宋" w:eastAsia="仿宋" w:cs="仿宋"/>
          <w:b/>
          <w:bCs/>
          <w:color w:val="FF0000"/>
          <w:spacing w:val="-17"/>
          <w:kern w:val="0"/>
          <w:sz w:val="28"/>
          <w:szCs w:val="28"/>
        </w:rPr>
        <w:t>上海其昌不锈钢集团有限公司</w:t>
      </w:r>
      <w:r>
        <w:rPr>
          <w:rFonts w:hint="eastAsia" w:ascii="仿宋" w:hAnsi="仿宋" w:eastAsia="仿宋" w:cs="仿宋"/>
          <w:b/>
          <w:bCs/>
          <w:color w:val="FF0000"/>
          <w:spacing w:val="-17"/>
          <w:kern w:val="0"/>
          <w:sz w:val="28"/>
          <w:szCs w:val="28"/>
        </w:rPr>
        <w:t>破产财产变价方案》确定起拍价。</w:t>
      </w:r>
    </w:p>
    <w:p w14:paraId="12B44312">
      <w:pPr>
        <w:widowControl/>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2.标的物以相关部门登记现状为准，如有未明确缴费义务人的费用买受人自行负责处理，拍卖人不承担上述费用。请竞买人自行了解公司经营状况，自行查证拍卖标的物的现状，慎重决定竞买行为，竞买人一旦作出竞买决定，即表明已完全了解并接受标的物的现状和一切已知和未知的瑕疵，并愿意承担一切法律风险，该等风险包括但不限于</w:t>
      </w:r>
      <w:r>
        <w:rPr>
          <w:rFonts w:ascii="仿宋" w:hAnsi="仿宋" w:eastAsia="仿宋" w:cs="仿宋"/>
          <w:b/>
          <w:bCs/>
          <w:color w:val="FF0000"/>
          <w:spacing w:val="-17"/>
          <w:kern w:val="0"/>
          <w:sz w:val="28"/>
          <w:szCs w:val="28"/>
        </w:rPr>
        <w:t>温州市其昌不锈钢制品有限公司</w:t>
      </w:r>
      <w:r>
        <w:rPr>
          <w:rFonts w:hint="eastAsia" w:ascii="仿宋" w:hAnsi="仿宋" w:eastAsia="仿宋" w:cs="仿宋"/>
          <w:b/>
          <w:bCs/>
          <w:color w:val="FF0000"/>
          <w:spacing w:val="-17"/>
          <w:kern w:val="0"/>
          <w:sz w:val="28"/>
          <w:szCs w:val="28"/>
        </w:rPr>
        <w:t>累积欠付的各种税费、资产负债状况、股东未实际足额出资、生产经营风险、国家机关的处罚、印章证照遗失、财务账册遗失、文件资料遗失、欠付职工工资、职工安置等，管理人对前述风险不做任何保证。如标的企业涉及违法，由买受人自行与相关部门沟通并依照有关规定进行处理，管理人不协助买受人处理前述违法问题，买受人不得向管理人索赔。</w:t>
      </w:r>
    </w:p>
    <w:p w14:paraId="287DBAB2">
      <w:pPr>
        <w:widowControl/>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3.标的物如需办理转让登记手续，则由买受人自行办理，对能否办理过户手续、办理时间以及过户所需材料等情况，请竞买人在竞买前自行到相关部门咨询确认，所涉及的一切费用均由买受人承担。买受人办理转让登记手续时，管理人将给予职权范围内的协助，但不对股权变更登记成功做任何承诺与保证。如管理人提供职权范围内的协助后仍无法成功办理过户的，相应后果由买受人自行承担，相关拍卖价款不予退还。</w:t>
      </w:r>
    </w:p>
    <w:p w14:paraId="7A6FF821">
      <w:pPr>
        <w:widowControl/>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4.因管理人未接管到标的企业</w:t>
      </w:r>
      <w:r>
        <w:rPr>
          <w:rFonts w:ascii="仿宋" w:hAnsi="仿宋" w:eastAsia="仿宋" w:cs="仿宋"/>
          <w:b/>
          <w:bCs/>
          <w:color w:val="FF0000"/>
          <w:spacing w:val="-17"/>
          <w:kern w:val="0"/>
          <w:sz w:val="28"/>
          <w:szCs w:val="28"/>
        </w:rPr>
        <w:t>的财务账册等材料，导致管理人无法披露公司的资产负债情况</w:t>
      </w:r>
      <w:r>
        <w:rPr>
          <w:rFonts w:hint="eastAsia" w:ascii="仿宋" w:hAnsi="仿宋" w:eastAsia="仿宋" w:cs="仿宋"/>
          <w:b/>
          <w:bCs/>
          <w:color w:val="FF0000"/>
          <w:spacing w:val="-17"/>
          <w:kern w:val="0"/>
          <w:sz w:val="28"/>
          <w:szCs w:val="28"/>
        </w:rPr>
        <w:t>。</w:t>
      </w:r>
    </w:p>
    <w:p w14:paraId="348F1668">
      <w:pPr>
        <w:widowControl/>
        <w:spacing w:line="315" w:lineRule="atLeast"/>
        <w:jc w:val="left"/>
        <w:rPr>
          <w:rFonts w:hint="eastAsia" w:ascii="仿宋" w:hAnsi="仿宋" w:eastAsia="仿宋" w:cs="仿宋"/>
          <w:b/>
          <w:bCs/>
          <w:color w:val="FF0000"/>
          <w:spacing w:val="-17"/>
          <w:kern w:val="0"/>
          <w:sz w:val="28"/>
          <w:szCs w:val="28"/>
        </w:rPr>
      </w:pPr>
      <w:r>
        <w:rPr>
          <w:rFonts w:hint="eastAsia" w:ascii="仿宋" w:hAnsi="仿宋" w:eastAsia="仿宋" w:cs="仿宋"/>
          <w:b/>
          <w:bCs/>
          <w:color w:val="FF0000"/>
          <w:spacing w:val="-17"/>
          <w:kern w:val="0"/>
          <w:sz w:val="28"/>
          <w:szCs w:val="28"/>
        </w:rPr>
        <w:t>5.管理人郑重提醒各竞买人，标的企业股权价值与企业资产及经营情况、市场风险等多种因素相关，具有一定的不确定性，故管理人不承诺本次拍品的价值，管理人所披露的信息仅作参考，具体以该拍卖标的物的资产现状为准，请谨慎竞拍。</w:t>
      </w:r>
    </w:p>
    <w:p w14:paraId="705B568A">
      <w:pPr>
        <w:widowControl/>
        <w:numPr>
          <w:ilvl w:val="0"/>
          <w:numId w:val="5"/>
        </w:numPr>
        <w:spacing w:line="315" w:lineRule="atLeast"/>
        <w:jc w:val="left"/>
        <w:rPr>
          <w:rFonts w:hint="eastAsia" w:ascii="仿宋" w:hAnsi="仿宋" w:eastAsia="仿宋" w:cs="仿宋"/>
          <w:b/>
          <w:bCs/>
          <w:spacing w:val="-17"/>
          <w:kern w:val="0"/>
          <w:sz w:val="28"/>
          <w:szCs w:val="28"/>
        </w:rPr>
      </w:pPr>
      <w:r>
        <w:rPr>
          <w:rFonts w:hint="eastAsia" w:ascii="仿宋" w:hAnsi="仿宋" w:eastAsia="仿宋" w:cs="仿宋"/>
          <w:b/>
          <w:bCs/>
          <w:spacing w:val="-17"/>
          <w:kern w:val="0"/>
          <w:sz w:val="28"/>
          <w:szCs w:val="28"/>
        </w:rPr>
        <w:t>起拍价、保证金及增加幅度</w:t>
      </w:r>
    </w:p>
    <w:tbl>
      <w:tblPr>
        <w:tblStyle w:val="6"/>
        <w:tblW w:w="8638" w:type="dxa"/>
        <w:jc w:val="center"/>
        <w:tblLayout w:type="fixed"/>
        <w:tblCellMar>
          <w:top w:w="0" w:type="dxa"/>
          <w:left w:w="108" w:type="dxa"/>
          <w:bottom w:w="0" w:type="dxa"/>
          <w:right w:w="108" w:type="dxa"/>
        </w:tblCellMar>
      </w:tblPr>
      <w:tblGrid>
        <w:gridCol w:w="434"/>
        <w:gridCol w:w="3195"/>
        <w:gridCol w:w="1687"/>
        <w:gridCol w:w="1547"/>
        <w:gridCol w:w="1775"/>
      </w:tblGrid>
      <w:tr w14:paraId="1103BC38">
        <w:tblPrEx>
          <w:tblCellMar>
            <w:top w:w="0" w:type="dxa"/>
            <w:left w:w="108" w:type="dxa"/>
            <w:bottom w:w="0" w:type="dxa"/>
            <w:right w:w="108" w:type="dxa"/>
          </w:tblCellMar>
        </w:tblPrEx>
        <w:trPr>
          <w:trHeight w:val="473" w:hRule="atLeast"/>
          <w:jc w:val="center"/>
        </w:trPr>
        <w:tc>
          <w:tcPr>
            <w:tcW w:w="434" w:type="dxa"/>
            <w:tcBorders>
              <w:top w:val="single" w:color="000000" w:sz="4" w:space="0"/>
              <w:left w:val="single" w:color="000000" w:sz="4" w:space="0"/>
              <w:bottom w:val="single" w:color="000000" w:sz="4" w:space="0"/>
              <w:right w:val="single" w:color="000000" w:sz="4" w:space="0"/>
            </w:tcBorders>
            <w:noWrap/>
            <w:vAlign w:val="bottom"/>
          </w:tcPr>
          <w:p w14:paraId="7B13E643">
            <w:pPr>
              <w:widowControl/>
              <w:jc w:val="center"/>
              <w:textAlignment w:val="bottom"/>
              <w:rPr>
                <w:rFonts w:hint="eastAsia" w:ascii="仿宋" w:hAnsi="仿宋" w:eastAsia="仿宋" w:cs="仿宋"/>
                <w:b/>
                <w:bCs/>
                <w:color w:val="000000"/>
                <w:szCs w:val="21"/>
              </w:rPr>
            </w:pPr>
            <w:r>
              <w:rPr>
                <w:rFonts w:hint="eastAsia" w:ascii="仿宋" w:hAnsi="仿宋" w:eastAsia="仿宋" w:cs="仿宋"/>
                <w:b/>
                <w:bCs/>
                <w:color w:val="000000"/>
                <w:kern w:val="0"/>
                <w:szCs w:val="21"/>
                <w:lang w:bidi="ar"/>
              </w:rPr>
              <w:t>序号</w:t>
            </w:r>
          </w:p>
        </w:tc>
        <w:tc>
          <w:tcPr>
            <w:tcW w:w="3195" w:type="dxa"/>
            <w:tcBorders>
              <w:top w:val="single" w:color="000000" w:sz="4" w:space="0"/>
              <w:left w:val="single" w:color="000000" w:sz="4" w:space="0"/>
              <w:bottom w:val="single" w:color="000000" w:sz="4" w:space="0"/>
              <w:right w:val="single" w:color="000000" w:sz="4" w:space="0"/>
            </w:tcBorders>
            <w:noWrap/>
            <w:vAlign w:val="bottom"/>
          </w:tcPr>
          <w:p w14:paraId="45759B8A">
            <w:pPr>
              <w:widowControl/>
              <w:jc w:val="center"/>
              <w:textAlignment w:val="bottom"/>
              <w:rPr>
                <w:rFonts w:hint="eastAsia" w:ascii="仿宋" w:hAnsi="仿宋" w:eastAsia="仿宋" w:cs="仿宋"/>
                <w:b/>
                <w:bCs/>
                <w:color w:val="000000"/>
                <w:szCs w:val="21"/>
              </w:rPr>
            </w:pPr>
            <w:r>
              <w:rPr>
                <w:rFonts w:hint="eastAsia" w:ascii="仿宋" w:hAnsi="仿宋" w:eastAsia="仿宋" w:cs="仿宋"/>
                <w:b/>
                <w:bCs/>
                <w:color w:val="000000"/>
                <w:kern w:val="0"/>
                <w:szCs w:val="21"/>
                <w:lang w:bidi="ar"/>
              </w:rPr>
              <w:t>标的名称</w:t>
            </w:r>
          </w:p>
        </w:tc>
        <w:tc>
          <w:tcPr>
            <w:tcW w:w="1687" w:type="dxa"/>
            <w:tcBorders>
              <w:top w:val="single" w:color="000000" w:sz="4" w:space="0"/>
              <w:left w:val="single" w:color="000000" w:sz="4" w:space="0"/>
              <w:bottom w:val="single" w:color="000000" w:sz="4" w:space="0"/>
              <w:right w:val="single" w:color="000000" w:sz="4" w:space="0"/>
            </w:tcBorders>
            <w:noWrap/>
            <w:vAlign w:val="bottom"/>
          </w:tcPr>
          <w:p w14:paraId="4BDCD912">
            <w:pPr>
              <w:widowControl/>
              <w:jc w:val="center"/>
              <w:textAlignment w:val="bottom"/>
              <w:rPr>
                <w:rFonts w:hint="eastAsia" w:ascii="仿宋" w:hAnsi="仿宋" w:eastAsia="仿宋" w:cs="仿宋"/>
                <w:b/>
                <w:bCs/>
                <w:color w:val="000000"/>
                <w:szCs w:val="21"/>
              </w:rPr>
            </w:pPr>
            <w:r>
              <w:rPr>
                <w:rFonts w:hint="eastAsia" w:ascii="仿宋" w:hAnsi="仿宋" w:eastAsia="仿宋" w:cs="仿宋"/>
                <w:b/>
                <w:bCs/>
                <w:color w:val="000000"/>
                <w:kern w:val="0"/>
                <w:szCs w:val="21"/>
                <w:lang w:bidi="ar"/>
              </w:rPr>
              <w:t>起拍价</w:t>
            </w:r>
          </w:p>
        </w:tc>
        <w:tc>
          <w:tcPr>
            <w:tcW w:w="1547" w:type="dxa"/>
            <w:tcBorders>
              <w:top w:val="single" w:color="000000" w:sz="4" w:space="0"/>
              <w:left w:val="single" w:color="000000" w:sz="4" w:space="0"/>
              <w:bottom w:val="single" w:color="000000" w:sz="4" w:space="0"/>
              <w:right w:val="single" w:color="000000" w:sz="4" w:space="0"/>
            </w:tcBorders>
            <w:noWrap/>
            <w:vAlign w:val="bottom"/>
          </w:tcPr>
          <w:p w14:paraId="72805C81">
            <w:pPr>
              <w:widowControl/>
              <w:jc w:val="center"/>
              <w:textAlignment w:val="bottom"/>
              <w:rPr>
                <w:rFonts w:hint="eastAsia" w:ascii="仿宋" w:hAnsi="仿宋" w:eastAsia="仿宋" w:cs="仿宋"/>
                <w:b/>
                <w:bCs/>
                <w:color w:val="000000"/>
                <w:szCs w:val="21"/>
              </w:rPr>
            </w:pPr>
            <w:r>
              <w:rPr>
                <w:rFonts w:hint="eastAsia" w:ascii="仿宋" w:hAnsi="仿宋" w:eastAsia="仿宋" w:cs="仿宋"/>
                <w:b/>
                <w:bCs/>
                <w:color w:val="000000"/>
                <w:kern w:val="0"/>
                <w:szCs w:val="21"/>
                <w:lang w:bidi="ar"/>
              </w:rPr>
              <w:t>保证金</w:t>
            </w:r>
          </w:p>
        </w:tc>
        <w:tc>
          <w:tcPr>
            <w:tcW w:w="1775" w:type="dxa"/>
            <w:tcBorders>
              <w:top w:val="single" w:color="000000" w:sz="4" w:space="0"/>
              <w:left w:val="single" w:color="000000" w:sz="4" w:space="0"/>
              <w:bottom w:val="single" w:color="000000" w:sz="4" w:space="0"/>
              <w:right w:val="single" w:color="000000" w:sz="4" w:space="0"/>
            </w:tcBorders>
            <w:noWrap/>
            <w:vAlign w:val="bottom"/>
          </w:tcPr>
          <w:p w14:paraId="4169C051">
            <w:pPr>
              <w:widowControl/>
              <w:jc w:val="center"/>
              <w:textAlignment w:val="bottom"/>
              <w:rPr>
                <w:rFonts w:hint="eastAsia" w:ascii="仿宋" w:hAnsi="仿宋" w:eastAsia="仿宋" w:cs="仿宋"/>
                <w:b/>
                <w:bCs/>
                <w:color w:val="000000"/>
                <w:szCs w:val="21"/>
              </w:rPr>
            </w:pPr>
            <w:r>
              <w:rPr>
                <w:rFonts w:hint="eastAsia" w:ascii="仿宋" w:hAnsi="仿宋" w:eastAsia="仿宋" w:cs="仿宋"/>
                <w:b/>
                <w:bCs/>
                <w:color w:val="000000"/>
                <w:szCs w:val="21"/>
              </w:rPr>
              <w:t>增加幅度</w:t>
            </w:r>
          </w:p>
        </w:tc>
      </w:tr>
      <w:tr w14:paraId="04B61582">
        <w:tblPrEx>
          <w:tblCellMar>
            <w:top w:w="0" w:type="dxa"/>
            <w:left w:w="108" w:type="dxa"/>
            <w:bottom w:w="0" w:type="dxa"/>
            <w:right w:w="108" w:type="dxa"/>
          </w:tblCellMar>
        </w:tblPrEx>
        <w:trPr>
          <w:trHeight w:val="362" w:hRule="atLeast"/>
          <w:jc w:val="center"/>
        </w:trPr>
        <w:tc>
          <w:tcPr>
            <w:tcW w:w="434" w:type="dxa"/>
            <w:tcBorders>
              <w:top w:val="single" w:color="000000" w:sz="4" w:space="0"/>
              <w:left w:val="single" w:color="000000" w:sz="4" w:space="0"/>
              <w:bottom w:val="single" w:color="000000" w:sz="4" w:space="0"/>
              <w:right w:val="single" w:color="000000" w:sz="4" w:space="0"/>
            </w:tcBorders>
            <w:noWrap/>
            <w:vAlign w:val="center"/>
          </w:tcPr>
          <w:p w14:paraId="57586D2F">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w:t>
            </w:r>
          </w:p>
        </w:tc>
        <w:tc>
          <w:tcPr>
            <w:tcW w:w="3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6190CB">
            <w:pPr>
              <w:widowControl/>
              <w:jc w:val="center"/>
              <w:textAlignment w:val="center"/>
              <w:rPr>
                <w:rFonts w:hint="eastAsia" w:ascii="仿宋" w:hAnsi="仿宋" w:eastAsia="仿宋" w:cs="仿宋"/>
                <w:color w:val="000000"/>
                <w:sz w:val="24"/>
                <w:szCs w:val="24"/>
              </w:rPr>
            </w:pPr>
            <w:r>
              <w:rPr>
                <w:rFonts w:ascii="仿宋" w:hAnsi="仿宋" w:eastAsia="仿宋" w:cs="仿宋"/>
                <w:sz w:val="24"/>
                <w:szCs w:val="24"/>
              </w:rPr>
              <w:t>温州市其昌不锈钢制品有限公司51%股权</w:t>
            </w:r>
          </w:p>
        </w:tc>
        <w:tc>
          <w:tcPr>
            <w:tcW w:w="168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FCAB18">
            <w:pPr>
              <w:widowControl/>
              <w:jc w:val="center"/>
              <w:textAlignment w:val="center"/>
              <w:rPr>
                <w:rFonts w:hint="eastAsia" w:ascii="仿宋" w:hAnsi="仿宋" w:eastAsia="仿宋" w:cs="仿宋"/>
                <w:color w:val="000000"/>
                <w:sz w:val="24"/>
                <w:szCs w:val="24"/>
              </w:rPr>
            </w:pPr>
            <w:r>
              <w:rPr>
                <w:rFonts w:ascii="仿宋" w:hAnsi="仿宋" w:eastAsia="仿宋" w:cs="仿宋"/>
                <w:color w:val="000000"/>
                <w:sz w:val="24"/>
                <w:szCs w:val="24"/>
              </w:rPr>
              <w:t>5552.88</w:t>
            </w:r>
            <w:r>
              <w:rPr>
                <w:rFonts w:hint="eastAsia" w:ascii="仿宋" w:hAnsi="仿宋" w:eastAsia="仿宋" w:cs="仿宋"/>
                <w:color w:val="000000"/>
                <w:sz w:val="24"/>
                <w:szCs w:val="24"/>
              </w:rPr>
              <w:t>万元</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C6832">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highlight w:val="yellow"/>
                <w:lang w:val="en-US" w:eastAsia="zh-CN"/>
              </w:rPr>
              <w:t>555万</w:t>
            </w:r>
            <w:r>
              <w:rPr>
                <w:rFonts w:hint="eastAsia" w:ascii="仿宋" w:hAnsi="仿宋" w:eastAsia="仿宋" w:cs="仿宋"/>
                <w:color w:val="000000"/>
                <w:sz w:val="24"/>
                <w:szCs w:val="24"/>
                <w:highlight w:val="yellow"/>
              </w:rPr>
              <w:t>元</w:t>
            </w:r>
          </w:p>
        </w:tc>
        <w:tc>
          <w:tcPr>
            <w:tcW w:w="17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763402">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 w:val="24"/>
                <w:szCs w:val="24"/>
                <w:lang w:bidi="ar"/>
              </w:rPr>
              <w:t>1,000元/次</w:t>
            </w:r>
          </w:p>
        </w:tc>
      </w:tr>
    </w:tbl>
    <w:p w14:paraId="5863DB77">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三、  咨询看样</w:t>
      </w:r>
    </w:p>
    <w:p w14:paraId="09E749C3">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因拍卖标的为股权（仅有国家企业信用信息公示系统报告），本标的不安排现场看样，有意者请自行向相关工商管理部门进行联系。</w:t>
      </w:r>
    </w:p>
    <w:p w14:paraId="0905760A">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四、竞买人条件：</w:t>
      </w:r>
    </w:p>
    <w:p w14:paraId="318E19F4">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 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3866196">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 竞买人可委托代理人（具备完全民事行为能力的自然人）进行，但须在竞买开始前五个工作日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0DD673C6">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 竞买人是否符合各项过户、登记条件，请各竞买人自行到当地相关部门进行了解确认，管理人不承担任何责任。</w:t>
      </w:r>
    </w:p>
    <w:p w14:paraId="455A76F5">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五、优先购买权人</w:t>
      </w:r>
    </w:p>
    <w:p w14:paraId="3A926913">
      <w:pPr>
        <w:widowControl/>
        <w:shd w:val="clear" w:color="auto" w:fill="FFFFFF"/>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 申请优先购买权的竞买人，请在正式拍卖前五日向管理人提交合法有效的证明，资格经管理人确认后才能参与竞买，逾期不提交的，视为放弃对本标的物享有优先购买权。</w:t>
      </w:r>
    </w:p>
    <w:p w14:paraId="1DD5D01A">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 优先购买权人参与竞买的，以与其他竞买人以相同的价格出价，没有更高出价的，拍卖财产由优先购买权人竞得。</w:t>
      </w:r>
    </w:p>
    <w:p w14:paraId="2E9D32E3">
      <w:pPr>
        <w:widowControl/>
        <w:spacing w:line="315" w:lineRule="atLeast"/>
        <w:jc w:val="lef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 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FB60634">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六、拍卖方式</w:t>
      </w:r>
    </w:p>
    <w:p w14:paraId="6518EDA1">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1.竞价从起拍价开始以递增出价方式竞价，增价幅度由管理人确定，竞买人以低于起拍价出价的无效。</w:t>
      </w:r>
    </w:p>
    <w:p w14:paraId="0861132E">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2.本次竞价活动设置延时出价功能，在竞价活动结束前，每最后</w:t>
      </w:r>
      <w:r>
        <w:rPr>
          <w:rFonts w:ascii="仿宋" w:hAnsi="仿宋" w:eastAsia="仿宋" w:cs="仿宋"/>
          <w:color w:val="000000" w:themeColor="text1"/>
          <w:kern w:val="0"/>
          <w:sz w:val="28"/>
          <w:szCs w:val="28"/>
          <w14:textFill>
            <w14:solidFill>
              <w14:schemeClr w14:val="tx1"/>
            </w14:solidFill>
          </w14:textFill>
        </w:rPr>
        <w:t>5分钟如果有竞买人出价，就自动延迟5分钟。</w:t>
      </w:r>
    </w:p>
    <w:p w14:paraId="0F298F73">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3.本次拍卖保留价为起拍价。</w:t>
      </w:r>
    </w:p>
    <w:p w14:paraId="4870EA0C">
      <w:pPr>
        <w:widowControl/>
        <w:spacing w:line="315" w:lineRule="atLeast"/>
        <w:jc w:val="lef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七、权属争议</w:t>
      </w:r>
    </w:p>
    <w:p w14:paraId="2ECF9BD6">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Cs/>
          <w:color w:val="000000" w:themeColor="text1"/>
          <w:kern w:val="0"/>
          <w:sz w:val="28"/>
          <w:szCs w:val="28"/>
          <w14:textFill>
            <w14:solidFill>
              <w14:schemeClr w14:val="tx1"/>
            </w14:solidFill>
          </w14:textFill>
        </w:rPr>
        <w:t>对标的资产权属有异议者，请在开拍前与管理人联系(021-58794880)。若其异议确有理由导致中止拍卖或者撤拍的，除已缴纳的保证金将全额无息退还之外，管理人和拍卖</w:t>
      </w:r>
      <w:r>
        <w:rPr>
          <w:rFonts w:ascii="仿宋" w:hAnsi="仿宋" w:eastAsia="仿宋" w:cs="仿宋"/>
          <w:bCs/>
          <w:color w:val="000000" w:themeColor="text1"/>
          <w:kern w:val="0"/>
          <w:sz w:val="28"/>
          <w:szCs w:val="28"/>
          <w14:textFill>
            <w14:solidFill>
              <w14:schemeClr w14:val="tx1"/>
            </w14:solidFill>
          </w14:textFill>
        </w:rPr>
        <w:t>公司均不承担其他责任。</w:t>
      </w:r>
    </w:p>
    <w:p w14:paraId="6D9A3389">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八、税费及其他费用承担</w:t>
      </w:r>
    </w:p>
    <w:p w14:paraId="4FB803F5">
      <w:pPr>
        <w:widowControl/>
        <w:spacing w:line="315" w:lineRule="atLeast"/>
        <w:jc w:val="left"/>
        <w:rPr>
          <w:rFonts w:hint="eastAsia" w:ascii="仿宋" w:hAnsi="仿宋" w:eastAsia="仿宋" w:cs="仿宋"/>
          <w:b/>
          <w:bCs/>
          <w:color w:val="FF0000"/>
          <w:kern w:val="0"/>
          <w:sz w:val="28"/>
          <w:szCs w:val="28"/>
        </w:rPr>
      </w:pPr>
      <w:r>
        <w:rPr>
          <w:rFonts w:hint="eastAsia" w:ascii="仿宋" w:hAnsi="仿宋" w:eastAsia="仿宋" w:cs="仿宋"/>
          <w:b/>
          <w:bCs/>
          <w:color w:val="FF0000"/>
          <w:kern w:val="0"/>
          <w:sz w:val="28"/>
          <w:szCs w:val="28"/>
        </w:rPr>
        <w:t>1.标的物的各项变更登记手续由买受人自行办理并承担相应费用及风险。</w:t>
      </w:r>
    </w:p>
    <w:p w14:paraId="617CAB23">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本次拍卖活动计价货币为人民币，拍卖时的起拍价、成交价均不含买受人在竞拍成功后拍得标的物交割、转让/变更时所发生的全部费用和税费。标的物交割、转让/变更所涉及的应交纳或补交的一切税费，依照相关法律、行政法规的规定有明确缴纳义务主体的，由相关主体各自承担，没有规定或者规定不明的，由买受人自行负责处理。标的物交割、转让/变更所涉及的应交纳或补交的其它明确的或不明确关联费用(包括但不限于保全费、执行费用、罚款等)均由买受人承担。</w:t>
      </w:r>
    </w:p>
    <w:p w14:paraId="06BE5574">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3.由买受人应当承担的有关税费、费用、转让/变更等问题由买受人自行向有关的税务、工商、法院等相关部门了解确认。</w:t>
      </w:r>
    </w:p>
    <w:p w14:paraId="4EE100A8">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九、保证金和余款支付</w:t>
      </w:r>
    </w:p>
    <w:p w14:paraId="28E30BBE">
      <w:pPr>
        <w:widowControl/>
        <w:spacing w:line="315" w:lineRule="atLeast"/>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w:t>
      </w:r>
      <w:r>
        <w:rPr>
          <w:rFonts w:hint="eastAsia"/>
        </w:rPr>
        <w:t xml:space="preserve"> </w:t>
      </w:r>
      <w:r>
        <w:rPr>
          <w:rFonts w:hint="eastAsia" w:ascii="仿宋" w:hAnsi="仿宋" w:eastAsia="仿宋" w:cs="仿宋"/>
          <w:color w:val="000000" w:themeColor="text1"/>
          <w:kern w:val="0"/>
          <w:sz w:val="28"/>
          <w:szCs w:val="28"/>
          <w14:textFill>
            <w14:solidFill>
              <w14:schemeClr w14:val="tx1"/>
            </w14:solidFill>
          </w14:textFill>
        </w:rPr>
        <w:t>第一次出价前，竞买人或其委托代理人须在京东注册账号并通过实名认证（已注册京东账号需通过实名认证），在线支付竞买保证金，支付后系统自动冻结该笔保证金。竞价成交的，本标的物竞得者冻结保证金将自动转为部分成交款，由京东结算给管理人指定账户。竞价结束之后，未能竞得者的保证金以及竞价未成交的（即流拍的）竞买人的保证金在竞价活动结束后即时解冻，保证金冻结期间不计利息。</w:t>
      </w:r>
    </w:p>
    <w:p w14:paraId="29464247">
      <w:pPr>
        <w:widowControl/>
        <w:spacing w:line="360" w:lineRule="auto"/>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 竞价成交后，标的物竞得者原锁定的保证金自动转入管理人指定账户。拍卖成交后，买受人应当在成交之日起</w:t>
      </w:r>
      <w:r>
        <w:rPr>
          <w:rFonts w:ascii="仿宋" w:hAnsi="仿宋" w:eastAsia="仿宋" w:cs="仿宋"/>
          <w:b/>
          <w:color w:val="000000" w:themeColor="text1"/>
          <w:kern w:val="0"/>
          <w:sz w:val="28"/>
          <w:szCs w:val="28"/>
          <w14:textFill>
            <w14:solidFill>
              <w14:schemeClr w14:val="tx1"/>
            </w14:solidFill>
          </w14:textFill>
        </w:rPr>
        <w:t>5日内</w:t>
      </w:r>
      <w:r>
        <w:rPr>
          <w:rFonts w:ascii="仿宋" w:hAnsi="仿宋" w:eastAsia="仿宋" w:cs="仿宋"/>
          <w:color w:val="000000" w:themeColor="text1"/>
          <w:kern w:val="0"/>
          <w:sz w:val="28"/>
          <w:szCs w:val="28"/>
          <w14:textFill>
            <w14:solidFill>
              <w14:schemeClr w14:val="tx1"/>
            </w14:solidFill>
          </w14:textFill>
        </w:rPr>
        <w:t>，将拍卖成交扣除保证金后的余款缴入上海其昌不锈钢集团有限公司</w:t>
      </w:r>
      <w:r>
        <w:rPr>
          <w:rFonts w:hint="eastAsia" w:ascii="仿宋" w:hAnsi="仿宋" w:eastAsia="仿宋" w:cs="仿宋"/>
          <w:color w:val="000000" w:themeColor="text1"/>
          <w:kern w:val="0"/>
          <w:sz w:val="28"/>
          <w:szCs w:val="28"/>
          <w14:textFill>
            <w14:solidFill>
              <w14:schemeClr w14:val="tx1"/>
            </w14:solidFill>
          </w14:textFill>
        </w:rPr>
        <w:t>管理人指定</w:t>
      </w:r>
      <w:r>
        <w:rPr>
          <w:rFonts w:ascii="仿宋" w:hAnsi="仿宋" w:eastAsia="仿宋" w:cs="仿宋"/>
          <w:color w:val="000000" w:themeColor="text1"/>
          <w:kern w:val="0"/>
          <w:sz w:val="28"/>
          <w:szCs w:val="28"/>
          <w14:textFill>
            <w14:solidFill>
              <w14:schemeClr w14:val="tx1"/>
            </w14:solidFill>
          </w14:textFill>
        </w:rPr>
        <w:t>账户</w:t>
      </w:r>
      <w:r>
        <w:rPr>
          <w:rFonts w:hint="eastAsia" w:ascii="仿宋" w:hAnsi="仿宋" w:eastAsia="仿宋" w:cs="仿宋"/>
          <w:color w:val="000000" w:themeColor="text1"/>
          <w:kern w:val="0"/>
          <w:sz w:val="28"/>
          <w:szCs w:val="28"/>
          <w14:textFill>
            <w14:solidFill>
              <w14:schemeClr w14:val="tx1"/>
            </w14:solidFill>
          </w14:textFill>
        </w:rPr>
        <w:t>（</w:t>
      </w:r>
      <w:r>
        <w:rPr>
          <w:rFonts w:hint="eastAsia" w:ascii="仿宋" w:hAnsi="仿宋" w:eastAsia="仿宋" w:cs="仿宋"/>
          <w:b/>
          <w:bCs/>
          <w:color w:val="000000" w:themeColor="text1"/>
          <w:kern w:val="0"/>
          <w:sz w:val="28"/>
          <w:szCs w:val="28"/>
          <w14:textFill>
            <w14:solidFill>
              <w14:schemeClr w14:val="tx1"/>
            </w14:solidFill>
          </w14:textFill>
        </w:rPr>
        <w:t>尾款备注：股权拍卖尾款</w:t>
      </w:r>
      <w:r>
        <w:rPr>
          <w:rFonts w:hint="eastAsia" w:ascii="仿宋" w:hAnsi="仿宋" w:eastAsia="仿宋" w:cs="仿宋"/>
          <w:color w:val="000000" w:themeColor="text1"/>
          <w:kern w:val="0"/>
          <w:sz w:val="28"/>
          <w:szCs w:val="28"/>
          <w14:textFill>
            <w14:solidFill>
              <w14:schemeClr w14:val="tx1"/>
            </w14:solidFill>
          </w14:textFill>
        </w:rPr>
        <w:t>）</w:t>
      </w:r>
      <w:r>
        <w:rPr>
          <w:rFonts w:ascii="仿宋" w:hAnsi="仿宋" w:eastAsia="仿宋" w:cs="仿宋"/>
          <w:color w:val="000000" w:themeColor="text1"/>
          <w:kern w:val="0"/>
          <w:sz w:val="28"/>
          <w:szCs w:val="28"/>
          <w14:textFill>
            <w14:solidFill>
              <w14:schemeClr w14:val="tx1"/>
            </w14:solidFill>
          </w14:textFill>
        </w:rPr>
        <w:t>。若竞拍成功而悔拍、逾期未付款或拒不办理后续手续的，管理人有权罚没该违约竞买人的竞拍保证金且已付成交款不予以退还。</w:t>
      </w:r>
    </w:p>
    <w:p w14:paraId="076977DC">
      <w:pPr>
        <w:widowControl/>
        <w:spacing w:line="315" w:lineRule="atLeast"/>
        <w:jc w:val="lef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账户：</w:t>
      </w:r>
      <w:r>
        <w:rPr>
          <w:rFonts w:ascii="仿宋" w:hAnsi="仿宋" w:eastAsia="仿宋" w:cs="仿宋"/>
          <w:b/>
          <w:bCs/>
          <w:color w:val="000000" w:themeColor="text1"/>
          <w:kern w:val="0"/>
          <w:sz w:val="28"/>
          <w:szCs w:val="28"/>
          <w14:textFill>
            <w14:solidFill>
              <w14:schemeClr w14:val="tx1"/>
            </w14:solidFill>
          </w14:textFill>
        </w:rPr>
        <w:t>上海其昌不锈钢集团有限公司</w:t>
      </w:r>
      <w:r>
        <w:rPr>
          <w:rFonts w:hint="eastAsia" w:ascii="仿宋" w:hAnsi="仿宋" w:eastAsia="仿宋" w:cs="仿宋"/>
          <w:b/>
          <w:bCs/>
          <w:color w:val="000000" w:themeColor="text1"/>
          <w:kern w:val="0"/>
          <w:sz w:val="28"/>
          <w:szCs w:val="28"/>
          <w14:textFill>
            <w14:solidFill>
              <w14:schemeClr w14:val="tx1"/>
            </w14:solidFill>
          </w14:textFill>
        </w:rPr>
        <w:t>管理人</w:t>
      </w:r>
    </w:p>
    <w:p w14:paraId="7427F322">
      <w:pPr>
        <w:widowControl/>
        <w:spacing w:line="315" w:lineRule="atLeast"/>
        <w:jc w:val="lef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账号：</w:t>
      </w:r>
      <w:r>
        <w:rPr>
          <w:rFonts w:ascii="仿宋" w:hAnsi="仿宋" w:eastAsia="仿宋" w:cs="仿宋"/>
          <w:b/>
          <w:bCs/>
          <w:color w:val="000000" w:themeColor="text1"/>
          <w:kern w:val="0"/>
          <w:sz w:val="28"/>
          <w:szCs w:val="28"/>
          <w14:textFill>
            <w14:solidFill>
              <w14:schemeClr w14:val="tx1"/>
            </w14:solidFill>
          </w14:textFill>
        </w:rPr>
        <w:t>4507</w:t>
      </w:r>
      <w:r>
        <w:rPr>
          <w:rFonts w:hint="eastAsia" w:ascii="仿宋" w:hAnsi="仿宋" w:eastAsia="仿宋" w:cs="仿宋"/>
          <w:b/>
          <w:bCs/>
          <w:color w:val="000000" w:themeColor="text1"/>
          <w:kern w:val="0"/>
          <w:sz w:val="28"/>
          <w:szCs w:val="28"/>
          <w14:textFill>
            <w14:solidFill>
              <w14:schemeClr w14:val="tx1"/>
            </w14:solidFill>
          </w14:textFill>
        </w:rPr>
        <w:t xml:space="preserve"> </w:t>
      </w:r>
      <w:r>
        <w:rPr>
          <w:rFonts w:ascii="仿宋" w:hAnsi="仿宋" w:eastAsia="仿宋" w:cs="仿宋"/>
          <w:b/>
          <w:bCs/>
          <w:color w:val="000000" w:themeColor="text1"/>
          <w:kern w:val="0"/>
          <w:sz w:val="28"/>
          <w:szCs w:val="28"/>
          <w14:textFill>
            <w14:solidFill>
              <w14:schemeClr w14:val="tx1"/>
            </w14:solidFill>
          </w14:textFill>
        </w:rPr>
        <w:t>8975</w:t>
      </w:r>
      <w:r>
        <w:rPr>
          <w:rFonts w:hint="eastAsia" w:ascii="仿宋" w:hAnsi="仿宋" w:eastAsia="仿宋" w:cs="仿宋"/>
          <w:b/>
          <w:bCs/>
          <w:color w:val="000000" w:themeColor="text1"/>
          <w:kern w:val="0"/>
          <w:sz w:val="28"/>
          <w:szCs w:val="28"/>
          <w14:textFill>
            <w14:solidFill>
              <w14:schemeClr w14:val="tx1"/>
            </w14:solidFill>
          </w14:textFill>
        </w:rPr>
        <w:t xml:space="preserve"> </w:t>
      </w:r>
      <w:r>
        <w:rPr>
          <w:rFonts w:ascii="仿宋" w:hAnsi="仿宋" w:eastAsia="仿宋" w:cs="仿宋"/>
          <w:b/>
          <w:bCs/>
          <w:color w:val="000000" w:themeColor="text1"/>
          <w:kern w:val="0"/>
          <w:sz w:val="28"/>
          <w:szCs w:val="28"/>
          <w14:textFill>
            <w14:solidFill>
              <w14:schemeClr w14:val="tx1"/>
            </w14:solidFill>
          </w14:textFill>
        </w:rPr>
        <w:t>2262</w:t>
      </w:r>
    </w:p>
    <w:p w14:paraId="3BA752BE">
      <w:pPr>
        <w:widowControl/>
        <w:spacing w:line="315" w:lineRule="atLeast"/>
        <w:jc w:val="lef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开户行：中国银行上海市巨峰路支行</w:t>
      </w:r>
    </w:p>
    <w:p w14:paraId="1D1E1260">
      <w:pPr>
        <w:widowControl/>
        <w:spacing w:line="315" w:lineRule="atLeast"/>
        <w:jc w:val="left"/>
        <w:rPr>
          <w:rFonts w:ascii="仿宋" w:hAnsi="仿宋" w:eastAsia="仿宋" w:cs="仿宋"/>
          <w:b/>
          <w:bCs/>
          <w:color w:val="000000"/>
          <w:kern w:val="0"/>
          <w:sz w:val="28"/>
          <w:szCs w:val="28"/>
        </w:rPr>
      </w:pPr>
      <w:r>
        <w:rPr>
          <w:rFonts w:hint="eastAsia" w:ascii="仿宋" w:hAnsi="仿宋" w:eastAsia="仿宋" w:cs="仿宋"/>
          <w:color w:val="000000" w:themeColor="text1"/>
          <w:kern w:val="0"/>
          <w:sz w:val="28"/>
          <w:szCs w:val="28"/>
          <w14:textFill>
            <w14:solidFill>
              <w14:schemeClr w14:val="tx1"/>
            </w14:solidFill>
          </w14:textFill>
        </w:rPr>
        <w:t>买受人不符合竞拍资质或者逾期未支付拍卖款，管理人可决定重新拍卖。重新拍卖时，原买受人不得参加竞买。拍卖成交后拍卖成交后买受人悔拍的，交纳的保证金不予退还，计入债务人财产。保证金数额不足以弥补拍卖费用损失以及重新拍卖价款低于原拍卖价款的差价的，管理人可向悔拍人追索。</w:t>
      </w:r>
      <w:r>
        <w:rPr>
          <w:rFonts w:ascii="仿宋" w:hAnsi="仿宋" w:eastAsia="仿宋" w:cs="仿宋"/>
          <w:b/>
          <w:bCs/>
          <w:color w:val="000000"/>
          <w:kern w:val="0"/>
          <w:sz w:val="28"/>
          <w:szCs w:val="28"/>
        </w:rPr>
        <w:t xml:space="preserve"> </w:t>
      </w:r>
    </w:p>
    <w:p w14:paraId="25B3AE11">
      <w:pPr>
        <w:widowControl/>
        <w:numPr>
          <w:numId w:val="0"/>
        </w:numPr>
        <w:spacing w:line="315" w:lineRule="atLeast"/>
        <w:ind w:leftChars="0"/>
        <w:jc w:val="left"/>
        <w:rPr>
          <w:rFonts w:hint="eastAsia" w:ascii="仿宋" w:hAnsi="仿宋" w:eastAsia="仿宋" w:cs="仿宋"/>
          <w:color w:val="333333"/>
          <w:kern w:val="0"/>
          <w:sz w:val="28"/>
          <w:szCs w:val="28"/>
        </w:rPr>
      </w:pPr>
      <w:r>
        <w:rPr>
          <w:rFonts w:hint="eastAsia" w:ascii="仿宋" w:hAnsi="仿宋" w:eastAsia="仿宋" w:cs="仿宋"/>
          <w:b/>
          <w:bCs/>
          <w:color w:val="000000"/>
          <w:kern w:val="0"/>
          <w:sz w:val="28"/>
          <w:szCs w:val="28"/>
        </w:rPr>
        <w:t>十、拍品交付</w:t>
      </w:r>
    </w:p>
    <w:p w14:paraId="792976B3">
      <w:pPr>
        <w:widowControl/>
        <w:spacing w:line="315" w:lineRule="atLeast"/>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现场办理要求：买受人需在付清全部拍卖成交款后的五个工作日内（若期间遇法定节假日，则办理期限相应顺延），凭完整的付款凭证（包括但不限于银行转账凭证、付款回执等）及有效身份材料（自然人需提供身份证原件及复印件，法人或其他组织需提供营业执照副本、法定代表人身份证明、授权委托书及受托人身份证等），前往破产管理人办公地点（地址：上海市浦东新区五莲路 1717 号）签署拍卖成交确认文件。</w:t>
      </w:r>
      <w:r>
        <w:rPr>
          <w:rFonts w:hint="eastAsia" w:ascii="仿宋" w:hAnsi="仿宋" w:eastAsia="仿宋" w:cs="仿宋"/>
          <w:b/>
          <w:bCs/>
          <w:color w:val="FF0000"/>
          <w:kern w:val="0"/>
          <w:sz w:val="28"/>
          <w:szCs w:val="28"/>
        </w:rPr>
        <w:t>管理人未接管到该股权的权属凭证，亦无法向买受人交付该股权的权属凭证。</w:t>
      </w:r>
    </w:p>
    <w:p w14:paraId="46BB9787">
      <w:pPr>
        <w:widowControl/>
        <w:spacing w:line="315" w:lineRule="atLeast"/>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2.异地办理要求：若买受人为异地（非上海市行政区域内），需在付清全部拍卖成交款后 5个工作日内主动联系管理人（联系电话：021-58794880），提交本条第 1 款约定的身份材料扫描件（需确保清晰可辨，法人或其他组织提交的材料需加盖公章）以核实身份；管理人在收到材料并完成身份核验后的 3个工作日内，将根据买受人明确告知的收件地址（需提供详细街道门牌号、收件人及联系电话），通过快递方式将拍卖成交确认文件快递至指定地点，快递费用由“买受人承担”。</w:t>
      </w:r>
    </w:p>
    <w:p w14:paraId="25B10277">
      <w:pPr>
        <w:widowControl/>
        <w:spacing w:line="315" w:lineRule="atLeast"/>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3.逾期责任提示：若买受人未在上述约定期限内办理签署手续或提交身份材料，导致拍卖成交确认文件无法按时出具、交付的，由此产生的延迟交付拍品等后果，均由买受人自行承担。</w:t>
      </w:r>
    </w:p>
    <w:p w14:paraId="12B862B4">
      <w:pPr>
        <w:widowControl/>
        <w:spacing w:line="315" w:lineRule="atLeast"/>
        <w:jc w:val="left"/>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十一、特别提醒</w:t>
      </w:r>
    </w:p>
    <w:p w14:paraId="46AF5434">
      <w:pPr>
        <w:widowControl/>
        <w:spacing w:after="120" w:line="360" w:lineRule="auto"/>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4F3E2D4D">
      <w:pPr>
        <w:widowControl/>
        <w:spacing w:after="120" w:line="360" w:lineRule="auto"/>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2.竞买人在竞价前请务必仔细阅读《标的物介绍》《竞买公告》和《竞买须知》。本公告其他未尽事宜，请向管理人和京东平台咨询。</w:t>
      </w:r>
    </w:p>
    <w:p w14:paraId="1F5CB7B8">
      <w:pPr>
        <w:widowControl/>
        <w:spacing w:after="120" w:line="360" w:lineRule="auto"/>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管理人咨询电话：021-58794880 </w:t>
      </w:r>
    </w:p>
    <w:p w14:paraId="4300D207">
      <w:pPr>
        <w:widowControl/>
        <w:spacing w:after="120" w:line="360" w:lineRule="auto"/>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京东技术咨询电话：4006229586</w:t>
      </w:r>
    </w:p>
    <w:p w14:paraId="11863BA0">
      <w:pPr>
        <w:widowControl/>
        <w:spacing w:after="120" w:line="360" w:lineRule="auto"/>
        <w:jc w:val="left"/>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                   </w:t>
      </w:r>
    </w:p>
    <w:p w14:paraId="65AA1DDF">
      <w:pPr>
        <w:widowControl/>
        <w:spacing w:after="120" w:line="360" w:lineRule="auto"/>
        <w:jc w:val="right"/>
        <w:rPr>
          <w:rFonts w:hint="eastAsia" w:ascii="仿宋" w:hAnsi="仿宋" w:eastAsia="仿宋" w:cs="仿宋"/>
          <w:color w:val="333333"/>
          <w:kern w:val="0"/>
          <w:sz w:val="28"/>
          <w:szCs w:val="28"/>
        </w:rPr>
      </w:pPr>
    </w:p>
    <w:p w14:paraId="4A48EF6B">
      <w:pPr>
        <w:widowControl/>
        <w:spacing w:after="120" w:line="360" w:lineRule="auto"/>
        <w:jc w:val="right"/>
        <w:rPr>
          <w:rFonts w:hint="eastAsia" w:ascii="仿宋" w:hAnsi="仿宋" w:eastAsia="仿宋" w:cs="仿宋"/>
          <w:color w:val="333333"/>
          <w:kern w:val="0"/>
          <w:sz w:val="28"/>
          <w:szCs w:val="28"/>
        </w:rPr>
      </w:pPr>
      <w:r>
        <w:rPr>
          <w:rFonts w:ascii="仿宋" w:hAnsi="仿宋" w:eastAsia="仿宋" w:cs="仿宋"/>
          <w:color w:val="333333"/>
          <w:kern w:val="0"/>
          <w:sz w:val="28"/>
          <w:szCs w:val="28"/>
        </w:rPr>
        <w:t>上海其昌不锈钢集团有限公司管理人</w:t>
      </w:r>
    </w:p>
    <w:p w14:paraId="6B15BBED">
      <w:pPr>
        <w:widowControl/>
        <w:spacing w:after="120" w:line="360" w:lineRule="auto"/>
        <w:jc w:val="right"/>
        <w:rPr>
          <w:rFonts w:hint="eastAsia" w:ascii="仿宋" w:hAnsi="仿宋" w:eastAsia="仿宋" w:cs="仿宋"/>
          <w:color w:val="333333"/>
          <w:kern w:val="0"/>
          <w:sz w:val="24"/>
          <w:szCs w:val="24"/>
        </w:rPr>
      </w:pPr>
      <w:r>
        <w:rPr>
          <w:rFonts w:hint="eastAsia" w:ascii="仿宋" w:hAnsi="仿宋" w:eastAsia="仿宋" w:cs="仿宋"/>
          <w:color w:val="333333"/>
          <w:kern w:val="0"/>
          <w:sz w:val="28"/>
          <w:szCs w:val="28"/>
        </w:rPr>
        <w:t>2026年1月20日</w:t>
      </w:r>
    </w:p>
    <w:p w14:paraId="3BD76E0E">
      <w:pPr>
        <w:widowControl/>
        <w:spacing w:line="360" w:lineRule="auto"/>
        <w:jc w:val="right"/>
        <w:rPr>
          <w:rFonts w:hint="eastAsia" w:ascii="仿宋" w:hAnsi="仿宋" w:eastAsia="仿宋" w:cs="仿宋"/>
          <w:color w:val="333333"/>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7FC4CF2A">
    <w:panose1 w:val="020B0604020202020204"/>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D4A2A2"/>
    <w:multiLevelType w:val="singleLevel"/>
    <w:tmpl w:val="A4D4A2A2"/>
    <w:lvl w:ilvl="0" w:tentative="0">
      <w:start w:val="1"/>
      <w:numFmt w:val="decimal"/>
      <w:lvlText w:val="%1."/>
      <w:lvlJc w:val="left"/>
      <w:pPr>
        <w:tabs>
          <w:tab w:val="left" w:pos="312"/>
        </w:tabs>
      </w:pPr>
    </w:lvl>
  </w:abstractNum>
  <w:abstractNum w:abstractNumId="1">
    <w:nsid w:val="AB78E224"/>
    <w:multiLevelType w:val="singleLevel"/>
    <w:tmpl w:val="AB78E224"/>
    <w:lvl w:ilvl="0" w:tentative="0">
      <w:start w:val="3"/>
      <w:numFmt w:val="chineseCounting"/>
      <w:suff w:val="nothing"/>
      <w:lvlText w:val="（%1）"/>
      <w:lvlJc w:val="left"/>
      <w:rPr>
        <w:rFonts w:hint="eastAsia"/>
      </w:rPr>
    </w:lvl>
  </w:abstractNum>
  <w:abstractNum w:abstractNumId="2">
    <w:nsid w:val="CCEA1BE1"/>
    <w:multiLevelType w:val="singleLevel"/>
    <w:tmpl w:val="CCEA1BE1"/>
    <w:lvl w:ilvl="0" w:tentative="0">
      <w:start w:val="2"/>
      <w:numFmt w:val="chineseCounting"/>
      <w:suff w:val="nothing"/>
      <w:lvlText w:val="%1、"/>
      <w:lvlJc w:val="left"/>
      <w:rPr>
        <w:rFonts w:hint="eastAsia"/>
      </w:rPr>
    </w:lvl>
  </w:abstractNum>
  <w:abstractNum w:abstractNumId="3">
    <w:nsid w:val="E3679954"/>
    <w:multiLevelType w:val="singleLevel"/>
    <w:tmpl w:val="E3679954"/>
    <w:lvl w:ilvl="0" w:tentative="0">
      <w:start w:val="1"/>
      <w:numFmt w:val="chineseCounting"/>
      <w:suff w:val="nothing"/>
      <w:lvlText w:val="（%1）"/>
      <w:lvlJc w:val="left"/>
      <w:rPr>
        <w:rFonts w:hint="eastAsia"/>
      </w:rPr>
    </w:lvl>
  </w:abstractNum>
  <w:abstractNum w:abstractNumId="4">
    <w:nsid w:val="2EA3694B"/>
    <w:multiLevelType w:val="multilevel"/>
    <w:tmpl w:val="2EA3694B"/>
    <w:lvl w:ilvl="0" w:tentative="0">
      <w:start w:val="2025"/>
      <w:numFmt w:val="decimal"/>
      <w:lvlText w:val="（%1）"/>
      <w:lvlJc w:val="left"/>
      <w:pPr>
        <w:ind w:left="1170" w:hanging="117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mMzYwN2YxMGUwOTgyZDg3MDBlYzQ4N2YyNTM1ZjEifQ=="/>
  </w:docVars>
  <w:rsids>
    <w:rsidRoot w:val="00114387"/>
    <w:rsid w:val="000E4261"/>
    <w:rsid w:val="00114387"/>
    <w:rsid w:val="0014291F"/>
    <w:rsid w:val="00231227"/>
    <w:rsid w:val="002F2731"/>
    <w:rsid w:val="00325F73"/>
    <w:rsid w:val="00366554"/>
    <w:rsid w:val="00373C37"/>
    <w:rsid w:val="003A1B44"/>
    <w:rsid w:val="00443CFA"/>
    <w:rsid w:val="00470B9B"/>
    <w:rsid w:val="00472BCF"/>
    <w:rsid w:val="00530D7B"/>
    <w:rsid w:val="00550CD2"/>
    <w:rsid w:val="00582565"/>
    <w:rsid w:val="005833F3"/>
    <w:rsid w:val="005F0FFC"/>
    <w:rsid w:val="00633777"/>
    <w:rsid w:val="006720D2"/>
    <w:rsid w:val="00674748"/>
    <w:rsid w:val="00675AF7"/>
    <w:rsid w:val="0076199E"/>
    <w:rsid w:val="00836E48"/>
    <w:rsid w:val="008548D4"/>
    <w:rsid w:val="009200A6"/>
    <w:rsid w:val="00945282"/>
    <w:rsid w:val="00952475"/>
    <w:rsid w:val="00B150CE"/>
    <w:rsid w:val="00B33C08"/>
    <w:rsid w:val="00BC7CAB"/>
    <w:rsid w:val="00C806FF"/>
    <w:rsid w:val="00CE54C2"/>
    <w:rsid w:val="00D30BAE"/>
    <w:rsid w:val="00D34561"/>
    <w:rsid w:val="00DC1EEB"/>
    <w:rsid w:val="00E006AD"/>
    <w:rsid w:val="00E13AE3"/>
    <w:rsid w:val="00E30033"/>
    <w:rsid w:val="00FD5C67"/>
    <w:rsid w:val="03CA4BC5"/>
    <w:rsid w:val="07F06B57"/>
    <w:rsid w:val="098B0AC4"/>
    <w:rsid w:val="0B1C1FC9"/>
    <w:rsid w:val="0B3506F9"/>
    <w:rsid w:val="0D7600E9"/>
    <w:rsid w:val="0E8F56FE"/>
    <w:rsid w:val="11EF79F9"/>
    <w:rsid w:val="16EF1130"/>
    <w:rsid w:val="17E95408"/>
    <w:rsid w:val="1C3E47E5"/>
    <w:rsid w:val="1C7C32D5"/>
    <w:rsid w:val="1E5E1D18"/>
    <w:rsid w:val="224E28B7"/>
    <w:rsid w:val="225B42B0"/>
    <w:rsid w:val="230279FC"/>
    <w:rsid w:val="23883B78"/>
    <w:rsid w:val="23E92871"/>
    <w:rsid w:val="264679CF"/>
    <w:rsid w:val="2C1E56F0"/>
    <w:rsid w:val="2D4D255F"/>
    <w:rsid w:val="2F234777"/>
    <w:rsid w:val="30080F6C"/>
    <w:rsid w:val="33050787"/>
    <w:rsid w:val="348C319D"/>
    <w:rsid w:val="359052D8"/>
    <w:rsid w:val="35F26F41"/>
    <w:rsid w:val="362917DB"/>
    <w:rsid w:val="36C11614"/>
    <w:rsid w:val="3BF302DA"/>
    <w:rsid w:val="408469E4"/>
    <w:rsid w:val="414D77A0"/>
    <w:rsid w:val="439534C0"/>
    <w:rsid w:val="44CB742D"/>
    <w:rsid w:val="4AD77ADD"/>
    <w:rsid w:val="4CB7635B"/>
    <w:rsid w:val="52DB4C0C"/>
    <w:rsid w:val="52E338C4"/>
    <w:rsid w:val="531F4BD4"/>
    <w:rsid w:val="53E75F09"/>
    <w:rsid w:val="53F45DD3"/>
    <w:rsid w:val="599C04B9"/>
    <w:rsid w:val="5C8A1D11"/>
    <w:rsid w:val="5D830100"/>
    <w:rsid w:val="5DD111C5"/>
    <w:rsid w:val="66377726"/>
    <w:rsid w:val="66CF6C7E"/>
    <w:rsid w:val="6C2E783B"/>
    <w:rsid w:val="6CC67E19"/>
    <w:rsid w:val="6E76572C"/>
    <w:rsid w:val="716209D9"/>
    <w:rsid w:val="73E86BB9"/>
    <w:rsid w:val="791B2136"/>
    <w:rsid w:val="795306C7"/>
    <w:rsid w:val="7B930EE4"/>
    <w:rsid w:val="7BED1F0F"/>
    <w:rsid w:val="7C686F3B"/>
    <w:rsid w:val="7E156225"/>
    <w:rsid w:val="7FF56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character" w:styleId="9">
    <w:name w:val="page number"/>
    <w:basedOn w:val="7"/>
    <w:autoRedefine/>
    <w:unhideWhenUsed/>
    <w:qFormat/>
    <w:uiPriority w:val="99"/>
  </w:style>
  <w:style w:type="character" w:styleId="10">
    <w:name w:val="Hyperlink"/>
    <w:basedOn w:val="7"/>
    <w:autoRedefine/>
    <w:semiHidden/>
    <w:unhideWhenUsed/>
    <w:qFormat/>
    <w:uiPriority w:val="99"/>
    <w:rPr>
      <w:color w:val="0000FF"/>
      <w:u w:val="single"/>
    </w:rPr>
  </w:style>
  <w:style w:type="character" w:customStyle="1" w:styleId="11">
    <w:name w:val="fontstyle01"/>
    <w:basedOn w:val="7"/>
    <w:autoRedefine/>
    <w:qFormat/>
    <w:uiPriority w:val="0"/>
    <w:rPr>
      <w:rFonts w:hint="eastAsia" w:ascii="宋体" w:hAnsi="宋体" w:eastAsia="宋体"/>
      <w:color w:val="000000"/>
      <w:sz w:val="28"/>
      <w:szCs w:val="28"/>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4689</Words>
  <Characters>4959</Characters>
  <Lines>38</Lines>
  <Paragraphs>10</Paragraphs>
  <TotalTime>82</TotalTime>
  <ScaleCrop>false</ScaleCrop>
  <LinksUpToDate>false</LinksUpToDate>
  <CharactersWithSpaces>5002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2026-01-16T03:28:00Z</dcterms:created>
  <dc:creator>gabriel</dc:creator>
  <cp:lastModifiedBy>ZOE_JQ</cp:lastModifiedBy>
  <dcterms:modified xsi:type="dcterms:W3CDTF">2026-01-20T08:01:04Z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7D51F890C235472AAE899243E5193FDC_13</vt:lpwstr>
  </property>
  <property fmtid="{D5CDD505-2E9C-101B-9397-08002B2CF9AE}" pid="4" name="KSOTemplateDocerSaveRecord">
    <vt:lpwstr>eyJoZGlkIjoiNzNmMzYwN2YxMGUwOTgyZDg3MDBlYzQ4N2YyNTM1ZjEiLCJ1c2VySWQiOiI2MTM1NDYzMjMifQ==</vt:lpwstr>
  </property>
</Properties>
</file>