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68EB2">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w:t>
      </w:r>
      <w:bookmarkStart w:id="0" w:name="_GoBack"/>
      <w:bookmarkEnd w:id="0"/>
      <w:r>
        <w:rPr>
          <w:rStyle w:val="5"/>
          <w:rFonts w:ascii="黑体" w:hAnsi="宋体" w:eastAsia="黑体" w:cs="黑体"/>
          <w:i w:val="0"/>
          <w:iCs w:val="0"/>
          <w:caps w:val="0"/>
          <w:color w:val="000000"/>
          <w:spacing w:val="0"/>
          <w:sz w:val="28"/>
          <w:szCs w:val="28"/>
          <w:shd w:val="clear" w:fill="FFFFFF"/>
        </w:rPr>
        <w:t>置公告</w:t>
      </w:r>
    </w:p>
    <w:p w14:paraId="365A210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2026年01月20日10时至2026年01月21日10时止（延时周期除外）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5984E1E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36C1BFA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0DB0AA8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766A70E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3、竞价结束后，竞买人不得以任何理由悔拍，否则管理人将向悔拍人追究悔拍责任。</w:t>
      </w:r>
    </w:p>
    <w:p w14:paraId="6FDD477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标的:海南优美信息咨询有限公司对北京一马餐饮管理有限公司5%股权（第十次拍卖）</w:t>
      </w:r>
    </w:p>
    <w:p w14:paraId="3CC9747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起拍价：53096.53元；保证金：10000.00元；增价幅度：1000.00元（或整数倍）。</w:t>
      </w:r>
    </w:p>
    <w:p w14:paraId="06FBBBF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60719D9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1、标的公司情况</w:t>
      </w:r>
    </w:p>
    <w:p w14:paraId="17112F81">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公司名称：北京一马餐饮管理有限公司</w:t>
      </w:r>
    </w:p>
    <w:p w14:paraId="3269BFD3">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住所：北京市朝阳区建国门外大街2号院5号楼5层501内B室</w:t>
      </w:r>
    </w:p>
    <w:p w14:paraId="53B15B9A">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法定代表人：徐兴</w:t>
      </w:r>
    </w:p>
    <w:p w14:paraId="6623A5F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注册资本：200万元人民币</w:t>
      </w:r>
    </w:p>
    <w:p w14:paraId="7405471D">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成立日期：2021-01-26</w:t>
      </w:r>
    </w:p>
    <w:p w14:paraId="688DD43C">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公司类型：其他有限责任公司</w:t>
      </w:r>
    </w:p>
    <w:p w14:paraId="13EFB501">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统一社会信用代码：91110105MA0204J43L</w:t>
      </w:r>
    </w:p>
    <w:p w14:paraId="0842D27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销售食品；文艺表演；演出经纪；餐饮服务；餐饮管理；企业管理；出租商业用房；承办展览展示活动；会议服务；组织文化艺术交流活动（不含演出）；企业策划；舞台灯光音响设计；设计、制作、代理、发布广告。（市场主体依法自主选择经营项目，开展经营活动；销售食品、文艺表演、演出经纪、餐饮服务以及依法须经批准的项目，经相关部门批准后依批准的内容开展经营活动；不得从事国家和本市产业政策禁止和限制类项目的经营活动。）</w:t>
      </w:r>
    </w:p>
    <w:p w14:paraId="495F08A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2、根据评估机构沃克森（北京）国际资产评估有限公司出具的评估报告</w:t>
      </w:r>
      <w:r>
        <w:rPr>
          <w:rFonts w:hint="default" w:ascii="黑体" w:hAnsi="宋体" w:eastAsia="黑体" w:cs="黑体"/>
          <w:i w:val="0"/>
          <w:iCs w:val="0"/>
          <w:caps w:val="0"/>
          <w:color w:val="FF0000"/>
          <w:spacing w:val="0"/>
          <w:sz w:val="28"/>
          <w:szCs w:val="28"/>
          <w:shd w:val="clear" w:fill="FFFFFF"/>
        </w:rPr>
        <w:t>(沃克森咨报字（2025）第0325号)显示，北京一马餐饮管理有限公司于2025年04月30日5%的股权价值为39.56万元。</w:t>
      </w:r>
    </w:p>
    <w:p w14:paraId="5C45FAA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1A117DB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3、</w:t>
      </w:r>
      <w:r>
        <w:rPr>
          <w:rFonts w:hint="default" w:ascii="黑体" w:hAnsi="宋体" w:eastAsia="黑体" w:cs="黑体"/>
          <w:i w:val="0"/>
          <w:iCs w:val="0"/>
          <w:caps w:val="0"/>
          <w:color w:val="FF0000"/>
          <w:spacing w:val="0"/>
          <w:sz w:val="28"/>
          <w:szCs w:val="28"/>
          <w:u w:val="single"/>
          <w:shd w:val="clear" w:fill="FFFFFF"/>
        </w:rPr>
        <w:t>对上述拍卖标的权属有异议者，请于开拍前3个工作日以书面形式向管理人提出并附相关证明材料。</w:t>
      </w:r>
    </w:p>
    <w:p w14:paraId="70E9149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7417505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39FC41A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4F6BE73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19B962D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三、优先购买权人：有</w:t>
      </w:r>
    </w:p>
    <w:p w14:paraId="0E0E645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本拍卖标的涉及优先权购买人行权事项，请竞买人、优先购买权人仔细阅读如下内容：</w:t>
      </w:r>
    </w:p>
    <w:p w14:paraId="3D28628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1、管理人目前知悉股杭州黑马娱乐管理有限公司、北京恒宇万轩科技有限公司、夏丹享有优先购买权。</w:t>
      </w:r>
    </w:p>
    <w:p w14:paraId="2741C38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192C0AC5">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67374C58">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2EDB4A3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74F264F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49943FD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566D2D1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4DE01CF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56065A6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25677A5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580FD1F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5061BA6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7D217C16">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3E03668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798CA2C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50F11D1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75259FF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37AE2B1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2CFF23B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0B8091F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4FA1A78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1、竞价结束后，最高报价方缴纳的保证金将转化为股权过户保证金，由北京产权交易所转入管理人指定账户。待股权过户办理完毕后无息退回；</w:t>
      </w:r>
    </w:p>
    <w:p w14:paraId="54959C4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42566DC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7196FC6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5F9D033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65D86C1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1、买受人应于付清全部拍卖成交款后，按照管理人要求时间凭付款凭证及相关身份材料到管理人指定地点签署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w:t>
      </w:r>
      <w:r>
        <w:rPr>
          <w:rFonts w:hint="default" w:ascii="黑体" w:hAnsi="宋体" w:eastAsia="黑体" w:cs="黑体"/>
          <w:i w:val="0"/>
          <w:iCs w:val="0"/>
          <w:caps w:val="0"/>
          <w:color w:val="000000"/>
          <w:spacing w:val="0"/>
          <w:sz w:val="28"/>
          <w:szCs w:val="28"/>
          <w:shd w:val="clear" w:fill="FFFFFF"/>
        </w:rPr>
        <w:t>成交确认文件。</w:t>
      </w:r>
    </w:p>
    <w:p w14:paraId="650779F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2、拍卖成交确认文件签署当时，管理人将持有的拍卖标的相关资料移交买受人即视为履行完全部交付义务，标的股权的一切风险转移至买受人。</w:t>
      </w:r>
    </w:p>
    <w:p w14:paraId="7F7835C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1A4CC14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4、买受人应于拍卖成交确认文件签署之日起30日内完成股权过户登记事项。如因股权查封冻结无法办理的，应在股权解封之日起10日内办理完毕。</w:t>
      </w:r>
    </w:p>
    <w:p w14:paraId="0591794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7800DA2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5F61198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0153F8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1A8F37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4.管理人不承诺和保证本次拍品的价值等。</w:t>
      </w:r>
    </w:p>
    <w:p w14:paraId="0F4770A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6A62452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18B0F37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346DEBF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75748F4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5CB4FB4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6E54F93C">
      <w:pPr>
        <w:pStyle w:val="2"/>
        <w:keepNext w:val="0"/>
        <w:keepLines w:val="0"/>
        <w:widowControl/>
        <w:suppressLineNumbers w:val="0"/>
        <w:shd w:val="clear" w:fill="FFFFFF"/>
        <w:spacing w:before="80" w:beforeAutospacing="0" w:after="80" w:afterAutospacing="0" w:line="360" w:lineRule="atLeast"/>
        <w:ind w:left="0" w:firstLine="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19D9596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04D1952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48B791BD">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1F6ABC66">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64A70426">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60927DCD">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北京文投航美传媒有限公司管理人</w:t>
      </w:r>
    </w:p>
    <w:p w14:paraId="4837E714">
      <w:pPr>
        <w:pStyle w:val="2"/>
        <w:keepNext w:val="0"/>
        <w:keepLines w:val="0"/>
        <w:widowControl/>
        <w:suppressLineNumbers w:val="0"/>
        <w:spacing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二〇二六年一月十二日</w:t>
      </w:r>
    </w:p>
    <w:p w14:paraId="70F5AFAA">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B576B8"/>
    <w:rsid w:val="3BB576B8"/>
    <w:rsid w:val="457F1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2026-01-13T00:04:00Z</dcterms:created>
  <dc:creator>11</dc:creator>
  <cp:lastModifiedBy>11</cp:lastModifiedBy>
  <dcterms:modified xsi:type="dcterms:W3CDTF">2026-01-12T16:10:30Z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921C4606DCEC2F2A1EAB64695ADEFD39_41</vt:lpwstr>
  </property>
</Properties>
</file>