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0705F">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rPr>
        <w:t>北京文投航美传媒有限公司等18家关联企业合并破产清算案</w:t>
      </w:r>
    </w:p>
    <w:p w14:paraId="6B72532A">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rPr>
        <w:t>财产处置公告</w:t>
      </w:r>
    </w:p>
    <w:p w14:paraId="51DF3258">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2026年01月20日10时至2026年01月21日10时止（延时周期除外）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61B0319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58960D9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1、请竞买人在竞拍前务必遵照《竞买公告》及《竞价须知》的要求，进行实地看样、调查标的资产信息、了解竞买资质、委托代理及尾款支付方式等内容。</w:t>
      </w:r>
    </w:p>
    <w:p w14:paraId="36053DC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799739B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3、竞价成交后，竞买人不得以任何理由悔拍，否则管理人将向悔拍人追究悔拍责任。</w:t>
      </w:r>
    </w:p>
    <w:p w14:paraId="326FCFC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一、拍卖标的:</w:t>
      </w:r>
      <w:bookmarkStart w:id="0" w:name="_GoBack"/>
      <w:r>
        <w:rPr>
          <w:rFonts w:hint="default" w:ascii="黑体" w:hAnsi="宋体" w:eastAsia="黑体" w:cs="黑体"/>
          <w:i w:val="0"/>
          <w:iCs w:val="0"/>
          <w:caps w:val="0"/>
          <w:color w:val="000000"/>
          <w:spacing w:val="0"/>
          <w:sz w:val="28"/>
          <w:szCs w:val="28"/>
        </w:rPr>
        <w:t>白酒及葡萄酒一批（明细详见附件）（第十次拍卖）</w:t>
      </w:r>
    </w:p>
    <w:bookmarkEnd w:id="0"/>
    <w:p w14:paraId="3C4FFE7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起拍价：110740.20元；保证金：22000.00元；增价幅度：1100.00元（或整数倍）。</w:t>
      </w:r>
    </w:p>
    <w:tbl>
      <w:tblPr>
        <w:tblW w:w="8658" w:type="dxa"/>
        <w:tblInd w:w="0" w:type="dxa"/>
        <w:tblBorders>
          <w:top w:val="single" w:color="666666" w:sz="8" w:space="0"/>
          <w:left w:val="single" w:color="666666" w:sz="8"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918"/>
        <w:gridCol w:w="3742"/>
        <w:gridCol w:w="1760"/>
        <w:gridCol w:w="2238"/>
      </w:tblGrid>
      <w:tr w14:paraId="09119C1A">
        <w:trPr>
          <w:trHeight w:val="920" w:hRule="atLeast"/>
        </w:trPr>
        <w:tc>
          <w:tcPr>
            <w:tcW w:w="918" w:type="dxa"/>
            <w:tcBorders>
              <w:top w:val="single" w:color="000000" w:sz="8" w:space="0"/>
              <w:left w:val="single" w:color="000000" w:sz="8" w:space="0"/>
              <w:bottom w:val="single" w:color="666666" w:sz="8" w:space="0"/>
              <w:right w:val="single" w:color="666666" w:sz="8" w:space="0"/>
            </w:tcBorders>
            <w:shd w:val="clear"/>
            <w:tcMar>
              <w:top w:w="100" w:type="dxa"/>
              <w:left w:w="100" w:type="dxa"/>
              <w:bottom w:w="100" w:type="dxa"/>
              <w:right w:w="100" w:type="dxa"/>
            </w:tcMar>
            <w:vAlign w:val="center"/>
          </w:tcPr>
          <w:p w14:paraId="6708AA43">
            <w:pPr>
              <w:pStyle w:val="2"/>
              <w:keepNext w:val="0"/>
              <w:keepLines w:val="0"/>
              <w:widowControl/>
              <w:suppressLineNumbers w:val="0"/>
              <w:spacing w:line="540" w:lineRule="atLeast"/>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序号</w:t>
            </w:r>
          </w:p>
        </w:tc>
        <w:tc>
          <w:tcPr>
            <w:tcW w:w="3742" w:type="dxa"/>
            <w:tcBorders>
              <w:top w:val="single" w:color="000000" w:sz="8" w:space="0"/>
              <w:left w:val="nil"/>
              <w:bottom w:val="single" w:color="666666" w:sz="8" w:space="0"/>
              <w:right w:val="single" w:color="666666" w:sz="8" w:space="0"/>
            </w:tcBorders>
            <w:shd w:val="clear"/>
            <w:tcMar>
              <w:top w:w="100" w:type="dxa"/>
              <w:left w:w="100" w:type="dxa"/>
              <w:bottom w:w="100" w:type="dxa"/>
              <w:right w:w="100" w:type="dxa"/>
            </w:tcMar>
            <w:vAlign w:val="center"/>
          </w:tcPr>
          <w:p w14:paraId="006CA5FB">
            <w:pPr>
              <w:pStyle w:val="2"/>
              <w:keepNext w:val="0"/>
              <w:keepLines w:val="0"/>
              <w:widowControl/>
              <w:suppressLineNumbers w:val="0"/>
              <w:spacing w:line="540" w:lineRule="atLeast"/>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债务人财产清单名称</w:t>
            </w:r>
          </w:p>
        </w:tc>
        <w:tc>
          <w:tcPr>
            <w:tcW w:w="1760" w:type="dxa"/>
            <w:tcBorders>
              <w:top w:val="single" w:color="000000" w:sz="8" w:space="0"/>
              <w:left w:val="nil"/>
              <w:bottom w:val="single" w:color="666666" w:sz="8" w:space="0"/>
              <w:right w:val="single" w:color="666666" w:sz="8" w:space="0"/>
            </w:tcBorders>
            <w:shd w:val="clear"/>
            <w:noWrap/>
            <w:tcMar>
              <w:top w:w="100" w:type="dxa"/>
              <w:left w:w="100" w:type="dxa"/>
              <w:bottom w:w="100" w:type="dxa"/>
              <w:right w:w="100" w:type="dxa"/>
            </w:tcMar>
            <w:vAlign w:val="center"/>
          </w:tcPr>
          <w:p w14:paraId="12EDFFC4">
            <w:pPr>
              <w:pStyle w:val="2"/>
              <w:keepNext w:val="0"/>
              <w:keepLines w:val="0"/>
              <w:widowControl/>
              <w:suppressLineNumbers w:val="0"/>
              <w:spacing w:line="540" w:lineRule="atLeast"/>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单位</w:t>
            </w:r>
          </w:p>
        </w:tc>
        <w:tc>
          <w:tcPr>
            <w:tcW w:w="2238" w:type="dxa"/>
            <w:tcBorders>
              <w:top w:val="single" w:color="000000" w:sz="8" w:space="0"/>
              <w:left w:val="nil"/>
              <w:bottom w:val="single" w:color="666666" w:sz="8" w:space="0"/>
              <w:right w:val="single" w:color="666666" w:sz="8" w:space="0"/>
            </w:tcBorders>
            <w:shd w:val="clear"/>
            <w:noWrap/>
            <w:tcMar>
              <w:top w:w="100" w:type="dxa"/>
              <w:left w:w="100" w:type="dxa"/>
              <w:bottom w:w="100" w:type="dxa"/>
              <w:right w:w="100" w:type="dxa"/>
            </w:tcMar>
            <w:vAlign w:val="center"/>
          </w:tcPr>
          <w:p w14:paraId="2F549562">
            <w:pPr>
              <w:pStyle w:val="2"/>
              <w:keepNext w:val="0"/>
              <w:keepLines w:val="0"/>
              <w:widowControl/>
              <w:suppressLineNumbers w:val="0"/>
              <w:spacing w:line="540" w:lineRule="atLeast"/>
              <w:jc w:val="center"/>
              <w:textAlignment w:val="center"/>
              <w:rPr>
                <w:sz w:val="28"/>
                <w:szCs w:val="28"/>
              </w:rPr>
            </w:pPr>
            <w:r>
              <w:rPr>
                <w:rStyle w:val="5"/>
                <w:rFonts w:hint="default" w:ascii="黑体" w:hAnsi="宋体" w:eastAsia="黑体" w:cs="黑体"/>
                <w:i w:val="0"/>
                <w:iCs w:val="0"/>
                <w:caps w:val="0"/>
                <w:color w:val="000000"/>
                <w:spacing w:val="0"/>
                <w:sz w:val="28"/>
                <w:szCs w:val="28"/>
                <w:bdr w:val="none" w:color="auto" w:sz="0" w:space="0"/>
              </w:rPr>
              <w:t>数量</w:t>
            </w:r>
          </w:p>
        </w:tc>
      </w:tr>
      <w:tr w14:paraId="59D302BF">
        <w:trPr>
          <w:trHeight w:val="899" w:hRule="atLeast"/>
        </w:trPr>
        <w:tc>
          <w:tcPr>
            <w:tcW w:w="918" w:type="dxa"/>
            <w:tcBorders>
              <w:top w:val="nil"/>
              <w:left w:val="single" w:color="000000" w:sz="8" w:space="0"/>
              <w:bottom w:val="single" w:color="666666" w:sz="8" w:space="0"/>
              <w:right w:val="single" w:color="666666" w:sz="8" w:space="0"/>
            </w:tcBorders>
            <w:shd w:val="clear"/>
            <w:tcMar>
              <w:top w:w="100" w:type="dxa"/>
              <w:left w:w="100" w:type="dxa"/>
              <w:bottom w:w="100" w:type="dxa"/>
              <w:right w:w="100" w:type="dxa"/>
            </w:tcMar>
            <w:vAlign w:val="center"/>
          </w:tcPr>
          <w:p w14:paraId="50DD66E6">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1</w:t>
            </w:r>
          </w:p>
        </w:tc>
        <w:tc>
          <w:tcPr>
            <w:tcW w:w="3742" w:type="dxa"/>
            <w:tcBorders>
              <w:top w:val="nil"/>
              <w:left w:val="nil"/>
              <w:bottom w:val="single" w:color="666666" w:sz="8" w:space="0"/>
              <w:right w:val="single" w:color="666666" w:sz="8" w:space="0"/>
            </w:tcBorders>
            <w:shd w:val="clear"/>
            <w:tcMar>
              <w:top w:w="100" w:type="dxa"/>
              <w:left w:w="100" w:type="dxa"/>
              <w:bottom w:w="100" w:type="dxa"/>
              <w:right w:w="100" w:type="dxa"/>
            </w:tcMar>
            <w:vAlign w:val="center"/>
          </w:tcPr>
          <w:p w14:paraId="63C38C1E">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白酒</w:t>
            </w:r>
          </w:p>
        </w:tc>
        <w:tc>
          <w:tcPr>
            <w:tcW w:w="1760" w:type="dxa"/>
            <w:tcBorders>
              <w:top w:val="nil"/>
              <w:left w:val="nil"/>
              <w:bottom w:val="single" w:color="666666" w:sz="8" w:space="0"/>
              <w:right w:val="single" w:color="666666" w:sz="8" w:space="0"/>
            </w:tcBorders>
            <w:shd w:val="clear"/>
            <w:noWrap/>
            <w:tcMar>
              <w:top w:w="100" w:type="dxa"/>
              <w:left w:w="100" w:type="dxa"/>
              <w:bottom w:w="100" w:type="dxa"/>
              <w:right w:w="100" w:type="dxa"/>
            </w:tcMar>
            <w:vAlign w:val="center"/>
          </w:tcPr>
          <w:p w14:paraId="6B7D18ED">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箱+瓶</w:t>
            </w:r>
          </w:p>
        </w:tc>
        <w:tc>
          <w:tcPr>
            <w:tcW w:w="2238" w:type="dxa"/>
            <w:tcBorders>
              <w:top w:val="nil"/>
              <w:left w:val="nil"/>
              <w:bottom w:val="single" w:color="666666" w:sz="8" w:space="0"/>
              <w:right w:val="single" w:color="666666" w:sz="8" w:space="0"/>
            </w:tcBorders>
            <w:shd w:val="clear"/>
            <w:noWrap/>
            <w:tcMar>
              <w:top w:w="100" w:type="dxa"/>
              <w:left w:w="100" w:type="dxa"/>
              <w:bottom w:w="100" w:type="dxa"/>
              <w:right w:w="100" w:type="dxa"/>
            </w:tcMar>
            <w:vAlign w:val="center"/>
          </w:tcPr>
          <w:p w14:paraId="19787E1C">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770箱+25瓶</w:t>
            </w:r>
          </w:p>
        </w:tc>
      </w:tr>
      <w:tr w14:paraId="06EDE293">
        <w:trPr>
          <w:trHeight w:val="899" w:hRule="atLeast"/>
        </w:trPr>
        <w:tc>
          <w:tcPr>
            <w:tcW w:w="918" w:type="dxa"/>
            <w:tcBorders>
              <w:top w:val="nil"/>
              <w:left w:val="single" w:color="000000" w:sz="8" w:space="0"/>
              <w:bottom w:val="single" w:color="666666" w:sz="8" w:space="0"/>
              <w:right w:val="single" w:color="666666" w:sz="8" w:space="0"/>
            </w:tcBorders>
            <w:shd w:val="clear"/>
            <w:tcMar>
              <w:top w:w="100" w:type="dxa"/>
              <w:left w:w="100" w:type="dxa"/>
              <w:bottom w:w="100" w:type="dxa"/>
              <w:right w:w="100" w:type="dxa"/>
            </w:tcMar>
            <w:vAlign w:val="center"/>
          </w:tcPr>
          <w:p w14:paraId="6607D179">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2</w:t>
            </w:r>
          </w:p>
        </w:tc>
        <w:tc>
          <w:tcPr>
            <w:tcW w:w="3742" w:type="dxa"/>
            <w:tcBorders>
              <w:top w:val="nil"/>
              <w:left w:val="nil"/>
              <w:bottom w:val="single" w:color="666666" w:sz="8" w:space="0"/>
              <w:right w:val="single" w:color="666666" w:sz="8" w:space="0"/>
            </w:tcBorders>
            <w:shd w:val="clear"/>
            <w:tcMar>
              <w:top w:w="100" w:type="dxa"/>
              <w:left w:w="100" w:type="dxa"/>
              <w:bottom w:w="100" w:type="dxa"/>
              <w:right w:w="100" w:type="dxa"/>
            </w:tcMar>
            <w:vAlign w:val="center"/>
          </w:tcPr>
          <w:p w14:paraId="3E3B70A9">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葡萄酒</w:t>
            </w:r>
          </w:p>
        </w:tc>
        <w:tc>
          <w:tcPr>
            <w:tcW w:w="1760" w:type="dxa"/>
            <w:tcBorders>
              <w:top w:val="nil"/>
              <w:left w:val="nil"/>
              <w:bottom w:val="single" w:color="666666" w:sz="8" w:space="0"/>
              <w:right w:val="single" w:color="666666" w:sz="8" w:space="0"/>
            </w:tcBorders>
            <w:shd w:val="clear"/>
            <w:noWrap/>
            <w:tcMar>
              <w:top w:w="100" w:type="dxa"/>
              <w:left w:w="100" w:type="dxa"/>
              <w:bottom w:w="100" w:type="dxa"/>
              <w:right w:w="100" w:type="dxa"/>
            </w:tcMar>
            <w:vAlign w:val="center"/>
          </w:tcPr>
          <w:p w14:paraId="00F3C46F">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箱+瓶</w:t>
            </w:r>
          </w:p>
        </w:tc>
        <w:tc>
          <w:tcPr>
            <w:tcW w:w="2238" w:type="dxa"/>
            <w:tcBorders>
              <w:top w:val="nil"/>
              <w:left w:val="nil"/>
              <w:bottom w:val="single" w:color="666666" w:sz="8" w:space="0"/>
              <w:right w:val="single" w:color="666666" w:sz="8" w:space="0"/>
            </w:tcBorders>
            <w:shd w:val="clear"/>
            <w:noWrap/>
            <w:tcMar>
              <w:top w:w="100" w:type="dxa"/>
              <w:left w:w="100" w:type="dxa"/>
              <w:bottom w:w="100" w:type="dxa"/>
              <w:right w:w="100" w:type="dxa"/>
            </w:tcMar>
            <w:vAlign w:val="center"/>
          </w:tcPr>
          <w:p w14:paraId="19F2D9B4">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340箱+125瓶</w:t>
            </w:r>
          </w:p>
        </w:tc>
      </w:tr>
      <w:tr w14:paraId="2328D2A8">
        <w:trPr>
          <w:trHeight w:val="899" w:hRule="atLeast"/>
        </w:trPr>
        <w:tc>
          <w:tcPr>
            <w:tcW w:w="6420" w:type="dxa"/>
            <w:gridSpan w:val="3"/>
            <w:tcBorders>
              <w:top w:val="nil"/>
              <w:left w:val="single" w:color="000000" w:sz="8" w:space="0"/>
              <w:bottom w:val="single" w:color="666666" w:sz="8" w:space="0"/>
              <w:right w:val="single" w:color="666666" w:sz="8" w:space="0"/>
            </w:tcBorders>
            <w:shd w:val="clear"/>
            <w:tcMar>
              <w:top w:w="100" w:type="dxa"/>
              <w:left w:w="100" w:type="dxa"/>
              <w:bottom w:w="100" w:type="dxa"/>
              <w:right w:w="100" w:type="dxa"/>
            </w:tcMar>
            <w:vAlign w:val="center"/>
          </w:tcPr>
          <w:p w14:paraId="31A88C68">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合计</w:t>
            </w:r>
          </w:p>
        </w:tc>
        <w:tc>
          <w:tcPr>
            <w:tcW w:w="2238" w:type="dxa"/>
            <w:tcBorders>
              <w:top w:val="nil"/>
              <w:left w:val="nil"/>
              <w:bottom w:val="single" w:color="666666" w:sz="8" w:space="0"/>
              <w:right w:val="single" w:color="666666" w:sz="8" w:space="0"/>
            </w:tcBorders>
            <w:shd w:val="clear"/>
            <w:tcMar>
              <w:top w:w="100" w:type="dxa"/>
              <w:left w:w="100" w:type="dxa"/>
              <w:bottom w:w="100" w:type="dxa"/>
              <w:right w:w="100" w:type="dxa"/>
            </w:tcMar>
            <w:vAlign w:val="center"/>
          </w:tcPr>
          <w:p w14:paraId="7AE8098B">
            <w:pPr>
              <w:pStyle w:val="2"/>
              <w:keepNext w:val="0"/>
              <w:keepLines w:val="0"/>
              <w:widowControl/>
              <w:suppressLineNumbers w:val="0"/>
              <w:spacing w:line="540" w:lineRule="atLeast"/>
              <w:jc w:val="center"/>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1110箱+150瓶</w:t>
            </w:r>
          </w:p>
        </w:tc>
      </w:tr>
      <w:tr w14:paraId="71344A78">
        <w:trPr>
          <w:trHeight w:val="2588" w:hRule="atLeast"/>
        </w:trPr>
        <w:tc>
          <w:tcPr>
            <w:tcW w:w="8658" w:type="dxa"/>
            <w:gridSpan w:val="4"/>
            <w:tcBorders>
              <w:top w:val="nil"/>
              <w:left w:val="single" w:color="000000" w:sz="8" w:space="0"/>
              <w:bottom w:val="single" w:color="666666" w:sz="8" w:space="0"/>
              <w:right w:val="single" w:color="666666" w:sz="8" w:space="0"/>
            </w:tcBorders>
            <w:shd w:val="clear"/>
            <w:tcMar>
              <w:top w:w="100" w:type="dxa"/>
              <w:left w:w="100" w:type="dxa"/>
              <w:bottom w:w="100" w:type="dxa"/>
              <w:right w:w="100" w:type="dxa"/>
            </w:tcMar>
            <w:vAlign w:val="center"/>
          </w:tcPr>
          <w:p w14:paraId="1B17783D">
            <w:pPr>
              <w:pStyle w:val="2"/>
              <w:keepNext w:val="0"/>
              <w:keepLines w:val="0"/>
              <w:widowControl/>
              <w:suppressLineNumbers w:val="0"/>
              <w:spacing w:line="540" w:lineRule="atLeast"/>
              <w:jc w:val="both"/>
              <w:textAlignment w:val="center"/>
              <w:rPr>
                <w:sz w:val="28"/>
                <w:szCs w:val="28"/>
              </w:rPr>
            </w:pPr>
            <w:r>
              <w:rPr>
                <w:rFonts w:hint="default" w:ascii="黑体" w:hAnsi="宋体" w:eastAsia="黑体" w:cs="黑体"/>
                <w:i w:val="0"/>
                <w:iCs w:val="0"/>
                <w:caps w:val="0"/>
                <w:color w:val="000000"/>
                <w:spacing w:val="0"/>
                <w:sz w:val="28"/>
                <w:szCs w:val="28"/>
                <w:bdr w:val="none" w:color="auto" w:sz="0" w:space="0"/>
              </w:rPr>
              <w:t>1、拍卖标的标签及包装显示“董事长老酒、多彩贵州酒（传承匠心）、黄标小教堂干红葡萄酒、西域沙地赤霞珠干红葡萄酒（精酿）”等字样（明细详见附件）；</w:t>
            </w:r>
          </w:p>
          <w:p w14:paraId="063884F1">
            <w:pPr>
              <w:pStyle w:val="2"/>
              <w:keepNext w:val="0"/>
              <w:keepLines w:val="0"/>
              <w:widowControl/>
              <w:suppressLineNumbers w:val="0"/>
              <w:spacing w:line="540" w:lineRule="atLeast"/>
              <w:jc w:val="both"/>
              <w:textAlignment w:val="center"/>
              <w:rPr>
                <w:sz w:val="28"/>
                <w:szCs w:val="28"/>
              </w:rPr>
            </w:pPr>
            <w:r>
              <w:rPr>
                <w:rFonts w:hint="default" w:ascii="黑体" w:hAnsi="宋体" w:eastAsia="黑体" w:cs="黑体"/>
                <w:i w:val="0"/>
                <w:iCs w:val="0"/>
                <w:caps w:val="0"/>
                <w:color w:val="FF0000"/>
                <w:spacing w:val="0"/>
                <w:sz w:val="28"/>
                <w:szCs w:val="28"/>
                <w:bdr w:val="none" w:color="auto" w:sz="0" w:space="0"/>
              </w:rPr>
              <w:t>2、拍卖标的以实物现状为准，以上信息仅供参考。</w:t>
            </w:r>
          </w:p>
        </w:tc>
      </w:tr>
    </w:tbl>
    <w:p w14:paraId="533BC92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拍卖标的特别说明：</w:t>
      </w:r>
    </w:p>
    <w:p w14:paraId="20E3FC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20" w:lineRule="atLeast"/>
        <w:ind w:left="0" w:firstLine="50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1、拍卖标的以实物现状为准，有意者须亲自实地看样，查验、鉴定、核实，未看样的竞买人视为对拍卖标的实物现状的确认。竞买人一旦作出竞买决定，即表明已完全了解并接受拍卖标的现状及一切已知及未知的瑕疵。法院、管理人、辅拍机构及拍卖平台不承担拍卖标的瑕疵保证，对拍卖标的材质、外观、质量、损坏程度等不作担保，无售后服务。</w:t>
      </w:r>
    </w:p>
    <w:p w14:paraId="35098D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38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2、拍卖标的展示图片、描述等仅供参考，管理人未接管到原始购置凭证，不能确定拍卖标的来源，不能确定内容物与表面标识一致，是否能按原用途使用不详。上传图片可能因拍摄光线、角度、电脑显示器或手机屏幕等差异而存在一定的色差，保管存储情况一般，可能存在挥发、变质的情况，不排除个别标的介绍信息不准确的情况，一切以实物为准。</w:t>
      </w:r>
    </w:p>
    <w:p w14:paraId="197D09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20" w:lineRule="atLeast"/>
        <w:ind w:left="0" w:firstLine="50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3、本次拍卖标的财产清单的数量、品牌、年份等与现场情况可能存在差异，清单仅供参考。存放地拍卖标的的数量、品牌、年份等与财产清单列出的明细如有不符，以现场实际情况为准，现场现状的数量、品牌、年份等作为最终交付的标准。</w:t>
      </w:r>
    </w:p>
    <w:p w14:paraId="534CCD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20" w:lineRule="atLeast"/>
        <w:ind w:left="0" w:firstLine="50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none"/>
          <w:bdr w:val="none" w:color="auto" w:sz="0" w:space="0"/>
          <w:shd w:val="clear" w:fill="FFFFFF"/>
        </w:rPr>
        <w:t>4、上述白酒分别存放于地下室和燕郊云仓简易仓库，夏季仓库内气温较高。鉴于贮存环境，不排除白酒有持续挥发问题，请竞买人务必现场实勘，参拍视为对上述描述认可，由竞买人自担风险，介意者勿拍。</w:t>
      </w:r>
    </w:p>
    <w:p w14:paraId="1A021F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20" w:lineRule="atLeast"/>
        <w:ind w:left="0" w:firstLine="50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5、有意者应提前亲自实地看样，竞买人参拍即表示对拍卖标的现状、数量、品牌、年份、价格及瑕疵等予以认可。一旦竞拍成功后不得以任何理由悔拍，否则已交保证金不予退还，由于悔拍造成的拍卖标的重新拍卖产生的损失由原竞买人承担。</w:t>
      </w:r>
    </w:p>
    <w:p w14:paraId="62DCDE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20" w:lineRule="atLeast"/>
        <w:ind w:left="0" w:firstLine="50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bdr w:val="none" w:color="auto" w:sz="0" w:space="0"/>
          <w:shd w:val="clear" w:fill="FFFFFF"/>
        </w:rPr>
        <w:t>6、竞买人对拍卖标的现状认知的疏忽和误解由竞买人自行承担责任。竞买人的出价直接影响到其他竞买人的竞拍机会，一旦出价即表示竞买人已了解并认同本场拍卖的公告、须知及相关的拍卖文件，并愿意承担相应的违约责任。</w:t>
      </w:r>
    </w:p>
    <w:p w14:paraId="7E6BFC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20" w:lineRule="atLeast"/>
        <w:ind w:left="0" w:firstLine="50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bdr w:val="none" w:color="auto" w:sz="0" w:space="0"/>
          <w:shd w:val="clear" w:fill="FFFFFF"/>
        </w:rPr>
        <w:t>7、对上述拍卖标的权属有异议者，请于开拍前3个工作日以书面形式向管理人提出并附相关证明材料。</w:t>
      </w:r>
    </w:p>
    <w:p w14:paraId="0F5602F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二、保证金交纳</w:t>
      </w:r>
    </w:p>
    <w:p w14:paraId="722D99B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竞价前，竞买人须在北交互联平台注册账号并通过实名认证（已注册北交互联平台账号的需通过实名认证）。</w:t>
      </w:r>
    </w:p>
    <w:p w14:paraId="5A026B7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竞买人应认真阅读本公告、《竞价须知》、《拍卖标的调查表》等竞买文件，一经出价即视为接受全部竞买文件内容且无异议。</w:t>
      </w:r>
    </w:p>
    <w:p w14:paraId="10D990FF">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应在竞价结束前交纳保证金，取得竞买资格。保证金金额一般较大，建议提前1-2天交纳保证金，以免错过竞价时间。具体要求请阅读竞价页面内的《竞价须知》及北交互联平台的相关规则。保证金服务热线:400-689-1566。</w:t>
      </w:r>
    </w:p>
    <w:p w14:paraId="6228695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05BD8C7F">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竞价结束前，竞买人缴纳的保证金将被锁定，锁定期间不计利息。</w:t>
      </w:r>
    </w:p>
    <w:p w14:paraId="7397BF4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三、咨询、展示时间与方式：</w:t>
      </w:r>
    </w:p>
    <w:p w14:paraId="7D5084D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1、本拍品组织集中看样，请意向人提前与管理人进行联系，联系方式详见后文。</w:t>
      </w:r>
    </w:p>
    <w:p w14:paraId="53E22DE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管理人已委托辅助机构京道华硕(北京)企业管理有限公司共同办理拍卖标的咨询、看样等相关拍卖辅助事宜。有意者可于项目发布日起至竞价前一个工作日工作时间内咨询上述标的的相关情况。联系人：王经理，电话：13910115551、19102202293。因拍卖标的存放场地限制，有意看样者与联系人沟通具体看样方式。</w:t>
      </w:r>
    </w:p>
    <w:p w14:paraId="2931335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四、拍卖方式：设有保留价的增价拍卖方式，保留价即为起拍价，至少一人报名且出价不低于起拍价，方可成交。本次拍卖活动设置延时出价功能，在拍卖活动结束前，每最后5分钟如果有竞买人出价，将自动延迟5分钟。</w:t>
      </w:r>
    </w:p>
    <w:p w14:paraId="6EC485E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rPr>
        <w:t>五、税费承担</w:t>
      </w:r>
    </w:p>
    <w:p w14:paraId="382FC070">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本次竞价活动计价货币为人民币，起拍价及成交价为含税价（增值税），其他税费由交易双方依法自行承担，对于购买及交付环节可能产生的其他税费问题，请自行向税务部门咨询。</w:t>
      </w:r>
    </w:p>
    <w:p w14:paraId="2F7FDC0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拍卖标的仅支持买受人自提，自提环节涉及的各项费用（如有）由买受人自行承担。</w:t>
      </w:r>
    </w:p>
    <w:p w14:paraId="47C7D59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六、拍卖余款</w:t>
      </w:r>
    </w:p>
    <w:p w14:paraId="7CF2BDCA">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1、竞价成功后，买受人缴纳的保证金将转化为成交价款，由北交互联平台转入管理人指定账户；</w:t>
      </w:r>
    </w:p>
    <w:p w14:paraId="10E8838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2、拍卖余款（成交价款减去保证金差额）请在成交日后3个工作日内汇款至管理人指定账户</w:t>
      </w:r>
      <w:r>
        <w:rPr>
          <w:rStyle w:val="5"/>
          <w:rFonts w:hint="default" w:ascii="黑体" w:hAnsi="宋体" w:eastAsia="黑体" w:cs="黑体"/>
          <w:i w:val="0"/>
          <w:iCs w:val="0"/>
          <w:caps w:val="0"/>
          <w:color w:val="000000"/>
          <w:spacing w:val="0"/>
          <w:sz w:val="28"/>
          <w:szCs w:val="28"/>
          <w:shd w:val="clear" w:fill="FFFFFF"/>
        </w:rPr>
        <w:t>（户名：北京文投航美传媒有限公司管理人，开户银行：中国工商银行股份有限公司北京九龙山支行，帐号：0200096239000462494）。</w:t>
      </w:r>
    </w:p>
    <w:p w14:paraId="13C7938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3、未能竞得的竞买人交纳的保证金在竞价程序结束后二十四小时内发起原路径返还，具体到账时间以银行实际入账为准。</w:t>
      </w:r>
    </w:p>
    <w:p w14:paraId="0775E2D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七、服务费</w:t>
      </w:r>
    </w:p>
    <w:p w14:paraId="51E27B9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交易服务费按照成交价款的0.5%收取，不低于1000元人民币，由北交互联平台收取。竞价成交后系统会按照公示费率计算交易服务费具体金额，买受人应在拍卖成交（即竞价成功日）后3个工作日内在线支付该笔订单。</w:t>
      </w:r>
    </w:p>
    <w:p w14:paraId="1B5AC2A6">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综合服务费按照成交价款的2%由辅助机构收取，买受人应在拍卖成交（即竞价成功日）后3个工作日内前将综合服务费汇款至指定账户【户名：京道华硕（北京）企业管理有限公司；开户银行：中国工商银行股份有限公司北京海淀支行；账号：0200049609201452284；以到账时间为准】。</w:t>
      </w:r>
    </w:p>
    <w:p w14:paraId="2BC5FCE0">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八、拍品交付</w:t>
      </w:r>
    </w:p>
    <w:p w14:paraId="1BF8DB8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1、买受人应在付清拍卖余款之日起5日内，凭付款凭证及相关身份材料到管理人处签署拍卖成交确认文件。上述文件一经签署，即视为拍卖标的所有权已转移至买受人，拍卖标的发生毁损灭失等风险责任转移至买受人。</w:t>
      </w:r>
    </w:p>
    <w:p w14:paraId="6B0718D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2、本次拍卖仅支持买受人自行提货。买受人应于交接确认文件签署之日起5日内完成全部提货并签署交接文件。买受人提货环节，应自行承担运输费用及相关风险。</w:t>
      </w:r>
    </w:p>
    <w:p w14:paraId="2182447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买受人逾期提货的拍卖标的存储费用及可能发生的损毁、灭失风险由买受人承担。</w:t>
      </w:r>
    </w:p>
    <w:p w14:paraId="3178AA4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3、本次拍卖标的不涉及过户事宜。</w:t>
      </w:r>
    </w:p>
    <w:p w14:paraId="6102C3E5">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EE0000"/>
          <w:spacing w:val="0"/>
          <w:sz w:val="28"/>
          <w:szCs w:val="28"/>
        </w:rPr>
        <w:t>4、买受人提货完成后，管理人根据税务流程及要求开具发票，但不对时间进行承诺。</w:t>
      </w:r>
    </w:p>
    <w:p w14:paraId="3A11B30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九、违约处理</w:t>
      </w:r>
    </w:p>
    <w:p w14:paraId="25DB5D0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64C05FF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1、买受人逾期未支付全部成交款的；</w:t>
      </w:r>
    </w:p>
    <w:p w14:paraId="08EB05B8">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2、买受人逾期未签署拍卖成交确认文件的；</w:t>
      </w:r>
    </w:p>
    <w:p w14:paraId="0D26F250">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3、买受人逾期办理交接手续的；</w:t>
      </w:r>
    </w:p>
    <w:p w14:paraId="1D54AD1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十、成交结果公示</w:t>
      </w:r>
    </w:p>
    <w:p w14:paraId="05AFB952">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竞买人成功竞得拍卖标的后，北交互联平台将生成相应《竞价成功确认书》并公示，确认书中载明实际买受人姓名、竞买号等信息（申请不公示的除外）。</w:t>
      </w:r>
    </w:p>
    <w:p w14:paraId="076B25C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十一、其他事项</w:t>
      </w:r>
    </w:p>
    <w:p w14:paraId="471A9A45">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竞买人在拍卖竞价前请务必再仔细阅读管理人发布本公告、《竞价须知》、《拍卖标的调查表》等竞买文件，审慎出价。</w:t>
      </w:r>
    </w:p>
    <w:p w14:paraId="14DC006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本规则其他未尽事宜，请向管理人咨询。</w:t>
      </w:r>
    </w:p>
    <w:p w14:paraId="476790C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管理人联系方式：刘律师 18001106958、魏律师：16601105278</w:t>
      </w:r>
    </w:p>
    <w:p w14:paraId="44DD8DB6">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辅助机构服务热线：马女士：13910115551、19102202293</w:t>
      </w:r>
    </w:p>
    <w:p w14:paraId="3B477BE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7B6A0C4B">
      <w:pPr>
        <w:pStyle w:val="2"/>
        <w:keepNext w:val="0"/>
        <w:keepLines w:val="0"/>
        <w:widowControl/>
        <w:suppressLineNumbers w:val="0"/>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北京文投航美传媒有限公司管理人</w:t>
      </w:r>
    </w:p>
    <w:p w14:paraId="0A034338">
      <w:pPr>
        <w:pStyle w:val="2"/>
        <w:keepNext w:val="0"/>
        <w:keepLines w:val="0"/>
        <w:widowControl/>
        <w:suppressLineNumbers w:val="0"/>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二〇二六年一月十二日</w:t>
      </w:r>
    </w:p>
    <w:p w14:paraId="73B0BCAE">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FFB4B5"/>
    <w:rsid w:val="FEFFB4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2026-01-12T16:14:00Z</dcterms:created>
  <dc:creator>11</dc:creator>
  <cp:lastModifiedBy>11</cp:lastModifiedBy>
  <dcterms:modified xsi:type="dcterms:W3CDTF">2026-01-12T16:15:36Z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69F974FC75D103E94FAD6469FD142AC9_41</vt:lpwstr>
  </property>
</Properties>
</file>