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01815B">
      <w:pPr>
        <w:pStyle w:val="2"/>
        <w:keepNext w:val="0"/>
        <w:keepLines w:val="0"/>
        <w:widowControl/>
        <w:suppressLineNumbers w:val="0"/>
        <w:ind w:left="0" w:firstLine="0"/>
        <w:jc w:val="center"/>
        <w:rPr>
          <w:rFonts w:hint="eastAsia" w:ascii="宋体" w:hAnsi="宋体" w:eastAsia="宋体" w:cs="宋体"/>
          <w:i w:val="0"/>
          <w:iCs w:val="0"/>
          <w:caps w:val="0"/>
          <w:color w:val="000000"/>
          <w:spacing w:val="0"/>
          <w:sz w:val="28"/>
          <w:szCs w:val="28"/>
        </w:rPr>
      </w:pPr>
      <w:r>
        <w:rPr>
          <w:rStyle w:val="5"/>
          <w:rFonts w:ascii="黑体" w:hAnsi="宋体" w:eastAsia="黑体" w:cs="黑体"/>
          <w:i w:val="0"/>
          <w:iCs w:val="0"/>
          <w:caps w:val="0"/>
          <w:color w:val="000000"/>
          <w:spacing w:val="0"/>
          <w:sz w:val="28"/>
          <w:szCs w:val="28"/>
        </w:rPr>
        <w:t>北京文投航美传媒有限公司等18家关联企业合并破产清算案</w:t>
      </w:r>
    </w:p>
    <w:p w14:paraId="2603BD08">
      <w:pPr>
        <w:pStyle w:val="2"/>
        <w:keepNext w:val="0"/>
        <w:keepLines w:val="0"/>
        <w:widowControl/>
        <w:suppressLineNumbers w:val="0"/>
        <w:ind w:left="0" w:firstLine="0"/>
        <w:jc w:val="center"/>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rPr>
        <w:t>财产处置公告</w:t>
      </w:r>
    </w:p>
    <w:p w14:paraId="2F559E14">
      <w:pPr>
        <w:pStyle w:val="2"/>
        <w:keepNext w:val="0"/>
        <w:keepLines w:val="0"/>
        <w:widowControl/>
        <w:suppressLineNumbers w:val="0"/>
        <w:spacing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北京文投航美传媒有限公司等18家关联企业（以下简称“文投航美等18家关联企业”）合并破产清算一案中，管理人在北京产权交易所(以下简称“北交互联”)平台（网址https://otc.cbex.com/page/sszc/index.html）于</w:t>
      </w:r>
      <w:r>
        <w:rPr>
          <w:rFonts w:hint="default" w:ascii="黑体" w:hAnsi="宋体" w:eastAsia="黑体" w:cs="黑体"/>
          <w:i w:val="0"/>
          <w:iCs w:val="0"/>
          <w:caps w:val="0"/>
          <w:color w:val="FF0000"/>
          <w:spacing w:val="0"/>
          <w:sz w:val="28"/>
          <w:szCs w:val="28"/>
        </w:rPr>
        <w:t>2026年01月20日10时至2026年01月21日10时止（延时周期除外）</w:t>
      </w:r>
      <w:r>
        <w:rPr>
          <w:rFonts w:hint="default" w:ascii="黑体" w:hAnsi="宋体" w:eastAsia="黑体" w:cs="黑体"/>
          <w:i w:val="0"/>
          <w:iCs w:val="0"/>
          <w:caps w:val="0"/>
          <w:color w:val="000000"/>
          <w:spacing w:val="0"/>
          <w:sz w:val="28"/>
          <w:szCs w:val="28"/>
        </w:rPr>
        <w:t>以网络竞价方式公开进行竞价处置活动。现公告如下：</w:t>
      </w:r>
    </w:p>
    <w:p w14:paraId="04FA40E9">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重要提示：</w:t>
      </w:r>
    </w:p>
    <w:p w14:paraId="0A5FFBA7">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1、请竞买人在竞拍前务必遵照《竞买公告》及《竞价须知》的要求，进行实地看样、调查标的资产信息、了解竞买资质、委托代理及尾款支付方式等内容。</w:t>
      </w:r>
    </w:p>
    <w:p w14:paraId="02CDAD01">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2、本公告所披露的全部信息，仅为竞买人参与竞买提供参考，不作为竞买人判断、权衡价值的最终依据。竞买人应根据自身需求对标的资产进行调查、了解、核实，在竞价前自行做好尽职调查，竞买人一旦出价，即表明已完全了解并接受标的资产的现状和一切瑕疵。</w:t>
      </w:r>
    </w:p>
    <w:p w14:paraId="4F80593C">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3、竞价成交后，竞买人不得以任何理由悔拍，否则管理人将向悔拍人追究悔拍责任。</w:t>
      </w:r>
    </w:p>
    <w:p w14:paraId="0BFBCC9F">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一、拍卖标的</w:t>
      </w:r>
      <w:bookmarkStart w:id="0" w:name="_GoBack"/>
      <w:r>
        <w:rPr>
          <w:rFonts w:hint="default" w:ascii="黑体" w:hAnsi="宋体" w:eastAsia="黑体" w:cs="黑体"/>
          <w:i w:val="0"/>
          <w:iCs w:val="0"/>
          <w:caps w:val="0"/>
          <w:color w:val="000000"/>
          <w:spacing w:val="0"/>
          <w:sz w:val="28"/>
          <w:szCs w:val="28"/>
        </w:rPr>
        <w:t>:墨镜一批（明细详见附件）（第十次拍卖）</w:t>
      </w:r>
      <w:bookmarkEnd w:id="0"/>
    </w:p>
    <w:p w14:paraId="199DC282">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EE0000"/>
          <w:spacing w:val="0"/>
          <w:sz w:val="28"/>
          <w:szCs w:val="28"/>
        </w:rPr>
        <w:t>起拍价：14190.19元；保证金：2800.00元；增价幅度：280.00元（或整数倍）。</w:t>
      </w:r>
    </w:p>
    <w:tbl>
      <w:tblPr>
        <w:tblW w:w="8318" w:type="dxa"/>
        <w:tblInd w:w="120" w:type="dxa"/>
        <w:tblBorders>
          <w:top w:val="single" w:color="666666" w:sz="8" w:space="0"/>
          <w:left w:val="single" w:color="666666" w:sz="8"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952"/>
        <w:gridCol w:w="2830"/>
        <w:gridCol w:w="952"/>
        <w:gridCol w:w="3584"/>
      </w:tblGrid>
      <w:tr w14:paraId="4A3406AD">
        <w:trPr>
          <w:trHeight w:val="816" w:hRule="atLeast"/>
        </w:trPr>
        <w:tc>
          <w:tcPr>
            <w:tcW w:w="952" w:type="dxa"/>
            <w:tcBorders>
              <w:top w:val="single" w:color="auto" w:sz="8" w:space="0"/>
              <w:left w:val="single" w:color="auto" w:sz="8" w:space="0"/>
              <w:bottom w:val="single" w:color="666666" w:sz="8" w:space="0"/>
              <w:right w:val="single" w:color="666666" w:sz="8" w:space="0"/>
            </w:tcBorders>
            <w:shd w:val="clear"/>
            <w:tcMar>
              <w:top w:w="100" w:type="dxa"/>
              <w:left w:w="100" w:type="dxa"/>
              <w:bottom w:w="100" w:type="dxa"/>
              <w:right w:w="100" w:type="dxa"/>
            </w:tcMar>
            <w:vAlign w:val="center"/>
          </w:tcPr>
          <w:p w14:paraId="275D3521">
            <w:pPr>
              <w:pStyle w:val="2"/>
              <w:keepNext w:val="0"/>
              <w:keepLines w:val="0"/>
              <w:widowControl/>
              <w:suppressLineNumbers w:val="0"/>
              <w:jc w:val="center"/>
              <w:textAlignment w:val="center"/>
              <w:rPr>
                <w:sz w:val="28"/>
                <w:szCs w:val="28"/>
              </w:rPr>
            </w:pPr>
            <w:r>
              <w:rPr>
                <w:rStyle w:val="5"/>
                <w:rFonts w:hint="default" w:ascii="黑体" w:hAnsi="宋体" w:eastAsia="黑体" w:cs="黑体"/>
                <w:i w:val="0"/>
                <w:iCs w:val="0"/>
                <w:caps w:val="0"/>
                <w:color w:val="000000"/>
                <w:spacing w:val="0"/>
                <w:sz w:val="28"/>
                <w:szCs w:val="28"/>
                <w:bdr w:val="none" w:color="auto" w:sz="0" w:space="0"/>
              </w:rPr>
              <w:t>序号</w:t>
            </w:r>
          </w:p>
        </w:tc>
        <w:tc>
          <w:tcPr>
            <w:tcW w:w="2830" w:type="dxa"/>
            <w:tcBorders>
              <w:top w:val="single" w:color="auto" w:sz="8" w:space="0"/>
              <w:left w:val="single" w:color="auto" w:sz="8" w:space="0"/>
              <w:bottom w:val="single" w:color="666666" w:sz="8" w:space="0"/>
              <w:right w:val="single" w:color="666666" w:sz="8" w:space="0"/>
            </w:tcBorders>
            <w:shd w:val="clear"/>
            <w:tcMar>
              <w:top w:w="100" w:type="dxa"/>
              <w:left w:w="100" w:type="dxa"/>
              <w:bottom w:w="100" w:type="dxa"/>
              <w:right w:w="100" w:type="dxa"/>
            </w:tcMar>
            <w:vAlign w:val="center"/>
          </w:tcPr>
          <w:p w14:paraId="70D608AE">
            <w:pPr>
              <w:pStyle w:val="2"/>
              <w:keepNext w:val="0"/>
              <w:keepLines w:val="0"/>
              <w:widowControl/>
              <w:suppressLineNumbers w:val="0"/>
              <w:jc w:val="center"/>
              <w:textAlignment w:val="center"/>
              <w:rPr>
                <w:sz w:val="28"/>
                <w:szCs w:val="28"/>
              </w:rPr>
            </w:pPr>
            <w:r>
              <w:rPr>
                <w:rStyle w:val="5"/>
                <w:rFonts w:hint="default" w:ascii="黑体" w:hAnsi="宋体" w:eastAsia="黑体" w:cs="黑体"/>
                <w:i w:val="0"/>
                <w:iCs w:val="0"/>
                <w:caps w:val="0"/>
                <w:color w:val="000000"/>
                <w:spacing w:val="0"/>
                <w:sz w:val="28"/>
                <w:szCs w:val="28"/>
                <w:bdr w:val="none" w:color="auto" w:sz="0" w:space="0"/>
              </w:rPr>
              <w:t>资产名称</w:t>
            </w:r>
          </w:p>
        </w:tc>
        <w:tc>
          <w:tcPr>
            <w:tcW w:w="952" w:type="dxa"/>
            <w:tcBorders>
              <w:top w:val="single" w:color="auto" w:sz="8" w:space="0"/>
              <w:left w:val="single" w:color="auto" w:sz="8" w:space="0"/>
              <w:bottom w:val="single" w:color="666666" w:sz="8" w:space="0"/>
              <w:right w:val="single" w:color="666666" w:sz="8" w:space="0"/>
            </w:tcBorders>
            <w:shd w:val="clear"/>
            <w:noWrap/>
            <w:tcMar>
              <w:top w:w="100" w:type="dxa"/>
              <w:left w:w="100" w:type="dxa"/>
              <w:bottom w:w="100" w:type="dxa"/>
              <w:right w:w="100" w:type="dxa"/>
            </w:tcMar>
            <w:vAlign w:val="center"/>
          </w:tcPr>
          <w:p w14:paraId="139312C0">
            <w:pPr>
              <w:pStyle w:val="2"/>
              <w:keepNext w:val="0"/>
              <w:keepLines w:val="0"/>
              <w:widowControl/>
              <w:suppressLineNumbers w:val="0"/>
              <w:jc w:val="center"/>
              <w:textAlignment w:val="center"/>
              <w:rPr>
                <w:sz w:val="28"/>
                <w:szCs w:val="28"/>
              </w:rPr>
            </w:pPr>
            <w:r>
              <w:rPr>
                <w:rStyle w:val="5"/>
                <w:rFonts w:hint="default" w:ascii="黑体" w:hAnsi="宋体" w:eastAsia="黑体" w:cs="黑体"/>
                <w:i w:val="0"/>
                <w:iCs w:val="0"/>
                <w:caps w:val="0"/>
                <w:color w:val="000000"/>
                <w:spacing w:val="0"/>
                <w:sz w:val="28"/>
                <w:szCs w:val="28"/>
                <w:bdr w:val="none" w:color="auto" w:sz="0" w:space="0"/>
              </w:rPr>
              <w:t>单位</w:t>
            </w:r>
          </w:p>
        </w:tc>
        <w:tc>
          <w:tcPr>
            <w:tcW w:w="3584" w:type="dxa"/>
            <w:tcBorders>
              <w:top w:val="single" w:color="auto" w:sz="8" w:space="0"/>
              <w:left w:val="single" w:color="auto" w:sz="8" w:space="0"/>
              <w:bottom w:val="single" w:color="666666" w:sz="8" w:space="0"/>
              <w:right w:val="single" w:color="666666" w:sz="8" w:space="0"/>
            </w:tcBorders>
            <w:shd w:val="clear"/>
            <w:tcMar>
              <w:top w:w="100" w:type="dxa"/>
              <w:left w:w="100" w:type="dxa"/>
              <w:bottom w:w="100" w:type="dxa"/>
              <w:right w:w="100" w:type="dxa"/>
            </w:tcMar>
            <w:vAlign w:val="center"/>
          </w:tcPr>
          <w:p w14:paraId="26B0C5A2">
            <w:pPr>
              <w:pStyle w:val="2"/>
              <w:keepNext w:val="0"/>
              <w:keepLines w:val="0"/>
              <w:widowControl/>
              <w:suppressLineNumbers w:val="0"/>
              <w:jc w:val="center"/>
              <w:textAlignment w:val="center"/>
              <w:rPr>
                <w:sz w:val="28"/>
                <w:szCs w:val="28"/>
              </w:rPr>
            </w:pPr>
            <w:r>
              <w:rPr>
                <w:rStyle w:val="5"/>
                <w:rFonts w:hint="default" w:ascii="黑体" w:hAnsi="宋体" w:eastAsia="黑体" w:cs="黑体"/>
                <w:i w:val="0"/>
                <w:iCs w:val="0"/>
                <w:caps w:val="0"/>
                <w:color w:val="000000"/>
                <w:spacing w:val="0"/>
                <w:sz w:val="28"/>
                <w:szCs w:val="28"/>
                <w:bdr w:val="none" w:color="auto" w:sz="0" w:space="0"/>
              </w:rPr>
              <w:t>数量</w:t>
            </w:r>
          </w:p>
        </w:tc>
      </w:tr>
      <w:tr w14:paraId="0D6098F1">
        <w:trPr>
          <w:trHeight w:val="797" w:hRule="atLeast"/>
        </w:trPr>
        <w:tc>
          <w:tcPr>
            <w:tcW w:w="952" w:type="dxa"/>
            <w:tcBorders>
              <w:top w:val="nil"/>
              <w:left w:val="single" w:color="auto" w:sz="8" w:space="0"/>
              <w:bottom w:val="single" w:color="666666" w:sz="8" w:space="0"/>
              <w:right w:val="single" w:color="666666" w:sz="8" w:space="0"/>
            </w:tcBorders>
            <w:shd w:val="clear"/>
            <w:tcMar>
              <w:top w:w="100" w:type="dxa"/>
              <w:left w:w="100" w:type="dxa"/>
              <w:bottom w:w="100" w:type="dxa"/>
              <w:right w:w="100" w:type="dxa"/>
            </w:tcMar>
            <w:vAlign w:val="center"/>
          </w:tcPr>
          <w:p w14:paraId="6003C44B">
            <w:pPr>
              <w:pStyle w:val="2"/>
              <w:keepNext w:val="0"/>
              <w:keepLines w:val="0"/>
              <w:widowControl/>
              <w:suppressLineNumbers w:val="0"/>
              <w:jc w:val="center"/>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1</w:t>
            </w:r>
          </w:p>
        </w:tc>
        <w:tc>
          <w:tcPr>
            <w:tcW w:w="2830" w:type="dxa"/>
            <w:tcBorders>
              <w:top w:val="nil"/>
              <w:left w:val="single" w:color="auto" w:sz="8" w:space="0"/>
              <w:bottom w:val="single" w:color="666666" w:sz="8" w:space="0"/>
              <w:right w:val="single" w:color="666666" w:sz="8" w:space="0"/>
            </w:tcBorders>
            <w:shd w:val="clear"/>
            <w:tcMar>
              <w:top w:w="100" w:type="dxa"/>
              <w:left w:w="100" w:type="dxa"/>
              <w:bottom w:w="100" w:type="dxa"/>
              <w:right w:w="100" w:type="dxa"/>
            </w:tcMar>
            <w:vAlign w:val="center"/>
          </w:tcPr>
          <w:p w14:paraId="5B4CEB25">
            <w:pPr>
              <w:pStyle w:val="2"/>
              <w:keepNext w:val="0"/>
              <w:keepLines w:val="0"/>
              <w:widowControl/>
              <w:suppressLineNumbers w:val="0"/>
              <w:jc w:val="center"/>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凯岚品牌太阳镜</w:t>
            </w:r>
          </w:p>
        </w:tc>
        <w:tc>
          <w:tcPr>
            <w:tcW w:w="952" w:type="dxa"/>
            <w:tcBorders>
              <w:top w:val="nil"/>
              <w:left w:val="single" w:color="auto" w:sz="8" w:space="0"/>
              <w:bottom w:val="single" w:color="666666" w:sz="8" w:space="0"/>
              <w:right w:val="single" w:color="666666" w:sz="8" w:space="0"/>
            </w:tcBorders>
            <w:shd w:val="clear"/>
            <w:noWrap/>
            <w:tcMar>
              <w:top w:w="100" w:type="dxa"/>
              <w:left w:w="100" w:type="dxa"/>
              <w:bottom w:w="100" w:type="dxa"/>
              <w:right w:w="100" w:type="dxa"/>
            </w:tcMar>
            <w:vAlign w:val="center"/>
          </w:tcPr>
          <w:p w14:paraId="0E6310A4">
            <w:pPr>
              <w:pStyle w:val="2"/>
              <w:keepNext w:val="0"/>
              <w:keepLines w:val="0"/>
              <w:widowControl/>
              <w:suppressLineNumbers w:val="0"/>
              <w:jc w:val="center"/>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个</w:t>
            </w:r>
          </w:p>
        </w:tc>
        <w:tc>
          <w:tcPr>
            <w:tcW w:w="3584" w:type="dxa"/>
            <w:tcBorders>
              <w:top w:val="nil"/>
              <w:left w:val="single" w:color="auto" w:sz="8" w:space="0"/>
              <w:bottom w:val="single" w:color="666666" w:sz="8" w:space="0"/>
              <w:right w:val="single" w:color="666666" w:sz="8" w:space="0"/>
            </w:tcBorders>
            <w:shd w:val="clear"/>
            <w:tcMar>
              <w:top w:w="100" w:type="dxa"/>
              <w:left w:w="100" w:type="dxa"/>
              <w:bottom w:w="100" w:type="dxa"/>
              <w:right w:w="100" w:type="dxa"/>
            </w:tcMar>
            <w:vAlign w:val="center"/>
          </w:tcPr>
          <w:p w14:paraId="611C223D">
            <w:pPr>
              <w:pStyle w:val="2"/>
              <w:keepNext w:val="0"/>
              <w:keepLines w:val="0"/>
              <w:widowControl/>
              <w:suppressLineNumbers w:val="0"/>
              <w:jc w:val="center"/>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268</w:t>
            </w:r>
          </w:p>
        </w:tc>
      </w:tr>
      <w:tr w14:paraId="3E63F45B">
        <w:trPr>
          <w:trHeight w:val="797" w:hRule="atLeast"/>
        </w:trPr>
        <w:tc>
          <w:tcPr>
            <w:tcW w:w="952" w:type="dxa"/>
            <w:tcBorders>
              <w:top w:val="nil"/>
              <w:left w:val="single" w:color="auto" w:sz="8" w:space="0"/>
              <w:bottom w:val="single" w:color="666666" w:sz="8" w:space="0"/>
              <w:right w:val="single" w:color="666666" w:sz="8" w:space="0"/>
            </w:tcBorders>
            <w:shd w:val="clear"/>
            <w:tcMar>
              <w:top w:w="100" w:type="dxa"/>
              <w:left w:w="100" w:type="dxa"/>
              <w:bottom w:w="100" w:type="dxa"/>
              <w:right w:w="100" w:type="dxa"/>
            </w:tcMar>
            <w:vAlign w:val="center"/>
          </w:tcPr>
          <w:p w14:paraId="7205C906">
            <w:pPr>
              <w:pStyle w:val="2"/>
              <w:keepNext w:val="0"/>
              <w:keepLines w:val="0"/>
              <w:widowControl/>
              <w:suppressLineNumbers w:val="0"/>
              <w:jc w:val="center"/>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2</w:t>
            </w:r>
          </w:p>
        </w:tc>
        <w:tc>
          <w:tcPr>
            <w:tcW w:w="2830" w:type="dxa"/>
            <w:tcBorders>
              <w:top w:val="nil"/>
              <w:left w:val="single" w:color="auto" w:sz="8" w:space="0"/>
              <w:bottom w:val="single" w:color="666666" w:sz="8" w:space="0"/>
              <w:right w:val="single" w:color="666666" w:sz="8" w:space="0"/>
            </w:tcBorders>
            <w:shd w:val="clear"/>
            <w:tcMar>
              <w:top w:w="100" w:type="dxa"/>
              <w:left w:w="100" w:type="dxa"/>
              <w:bottom w:w="100" w:type="dxa"/>
              <w:right w:w="100" w:type="dxa"/>
            </w:tcMar>
            <w:vAlign w:val="center"/>
          </w:tcPr>
          <w:p w14:paraId="3087140E">
            <w:pPr>
              <w:pStyle w:val="2"/>
              <w:keepNext w:val="0"/>
              <w:keepLines w:val="0"/>
              <w:widowControl/>
              <w:suppressLineNumbers w:val="0"/>
              <w:jc w:val="center"/>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prsr帕莎品牌墨镜</w:t>
            </w:r>
          </w:p>
        </w:tc>
        <w:tc>
          <w:tcPr>
            <w:tcW w:w="952" w:type="dxa"/>
            <w:tcBorders>
              <w:top w:val="nil"/>
              <w:left w:val="single" w:color="auto" w:sz="8" w:space="0"/>
              <w:bottom w:val="single" w:color="666666" w:sz="8" w:space="0"/>
              <w:right w:val="single" w:color="666666" w:sz="8" w:space="0"/>
            </w:tcBorders>
            <w:shd w:val="clear"/>
            <w:noWrap/>
            <w:tcMar>
              <w:top w:w="100" w:type="dxa"/>
              <w:left w:w="100" w:type="dxa"/>
              <w:bottom w:w="100" w:type="dxa"/>
              <w:right w:w="100" w:type="dxa"/>
            </w:tcMar>
            <w:vAlign w:val="center"/>
          </w:tcPr>
          <w:p w14:paraId="06511D72">
            <w:pPr>
              <w:pStyle w:val="2"/>
              <w:keepNext w:val="0"/>
              <w:keepLines w:val="0"/>
              <w:widowControl/>
              <w:suppressLineNumbers w:val="0"/>
              <w:jc w:val="center"/>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个</w:t>
            </w:r>
          </w:p>
        </w:tc>
        <w:tc>
          <w:tcPr>
            <w:tcW w:w="3584" w:type="dxa"/>
            <w:tcBorders>
              <w:top w:val="nil"/>
              <w:left w:val="single" w:color="auto" w:sz="8" w:space="0"/>
              <w:bottom w:val="single" w:color="666666" w:sz="8" w:space="0"/>
              <w:right w:val="single" w:color="666666" w:sz="8" w:space="0"/>
            </w:tcBorders>
            <w:shd w:val="clear"/>
            <w:tcMar>
              <w:top w:w="100" w:type="dxa"/>
              <w:left w:w="100" w:type="dxa"/>
              <w:bottom w:w="100" w:type="dxa"/>
              <w:right w:w="100" w:type="dxa"/>
            </w:tcMar>
            <w:vAlign w:val="center"/>
          </w:tcPr>
          <w:p w14:paraId="2E957BD3">
            <w:pPr>
              <w:pStyle w:val="2"/>
              <w:keepNext w:val="0"/>
              <w:keepLines w:val="0"/>
              <w:widowControl/>
              <w:suppressLineNumbers w:val="0"/>
              <w:jc w:val="center"/>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138</w:t>
            </w:r>
          </w:p>
        </w:tc>
      </w:tr>
      <w:tr w14:paraId="11C8D73D">
        <w:trPr>
          <w:trHeight w:val="797" w:hRule="atLeast"/>
        </w:trPr>
        <w:tc>
          <w:tcPr>
            <w:tcW w:w="952" w:type="dxa"/>
            <w:tcBorders>
              <w:top w:val="nil"/>
              <w:left w:val="single" w:color="auto" w:sz="8" w:space="0"/>
              <w:bottom w:val="single" w:color="666666" w:sz="8" w:space="0"/>
              <w:right w:val="single" w:color="666666" w:sz="8" w:space="0"/>
            </w:tcBorders>
            <w:shd w:val="clear"/>
            <w:tcMar>
              <w:top w:w="100" w:type="dxa"/>
              <w:left w:w="100" w:type="dxa"/>
              <w:bottom w:w="100" w:type="dxa"/>
              <w:right w:w="100" w:type="dxa"/>
            </w:tcMar>
            <w:vAlign w:val="center"/>
          </w:tcPr>
          <w:p w14:paraId="02C0CACE">
            <w:pPr>
              <w:pStyle w:val="2"/>
              <w:keepNext w:val="0"/>
              <w:keepLines w:val="0"/>
              <w:widowControl/>
              <w:suppressLineNumbers w:val="0"/>
              <w:jc w:val="center"/>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3</w:t>
            </w:r>
          </w:p>
        </w:tc>
        <w:tc>
          <w:tcPr>
            <w:tcW w:w="2830" w:type="dxa"/>
            <w:tcBorders>
              <w:top w:val="nil"/>
              <w:left w:val="single" w:color="auto" w:sz="8" w:space="0"/>
              <w:bottom w:val="single" w:color="666666" w:sz="8" w:space="0"/>
              <w:right w:val="single" w:color="666666" w:sz="8" w:space="0"/>
            </w:tcBorders>
            <w:shd w:val="clear"/>
            <w:tcMar>
              <w:top w:w="100" w:type="dxa"/>
              <w:left w:w="100" w:type="dxa"/>
              <w:bottom w:w="100" w:type="dxa"/>
              <w:right w:w="100" w:type="dxa"/>
            </w:tcMar>
            <w:vAlign w:val="center"/>
          </w:tcPr>
          <w:p w14:paraId="5F6367C3">
            <w:pPr>
              <w:pStyle w:val="2"/>
              <w:keepNext w:val="0"/>
              <w:keepLines w:val="0"/>
              <w:widowControl/>
              <w:suppressLineNumbers w:val="0"/>
              <w:jc w:val="center"/>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prsr帕莎墨镜袋</w:t>
            </w:r>
          </w:p>
        </w:tc>
        <w:tc>
          <w:tcPr>
            <w:tcW w:w="952" w:type="dxa"/>
            <w:tcBorders>
              <w:top w:val="nil"/>
              <w:left w:val="single" w:color="auto" w:sz="8" w:space="0"/>
              <w:bottom w:val="single" w:color="666666" w:sz="8" w:space="0"/>
              <w:right w:val="single" w:color="666666" w:sz="8" w:space="0"/>
            </w:tcBorders>
            <w:shd w:val="clear"/>
            <w:tcMar>
              <w:top w:w="100" w:type="dxa"/>
              <w:left w:w="100" w:type="dxa"/>
              <w:bottom w:w="100" w:type="dxa"/>
              <w:right w:w="100" w:type="dxa"/>
            </w:tcMar>
            <w:vAlign w:val="center"/>
          </w:tcPr>
          <w:p w14:paraId="48F9BDC1">
            <w:pPr>
              <w:pStyle w:val="2"/>
              <w:keepNext w:val="0"/>
              <w:keepLines w:val="0"/>
              <w:widowControl/>
              <w:suppressLineNumbers w:val="0"/>
              <w:jc w:val="center"/>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个</w:t>
            </w:r>
          </w:p>
        </w:tc>
        <w:tc>
          <w:tcPr>
            <w:tcW w:w="3584" w:type="dxa"/>
            <w:tcBorders>
              <w:top w:val="nil"/>
              <w:left w:val="single" w:color="auto" w:sz="8" w:space="0"/>
              <w:bottom w:val="single" w:color="666666" w:sz="8" w:space="0"/>
              <w:right w:val="single" w:color="666666" w:sz="8" w:space="0"/>
            </w:tcBorders>
            <w:shd w:val="clear"/>
            <w:tcMar>
              <w:top w:w="100" w:type="dxa"/>
              <w:left w:w="100" w:type="dxa"/>
              <w:bottom w:w="100" w:type="dxa"/>
              <w:right w:w="100" w:type="dxa"/>
            </w:tcMar>
            <w:vAlign w:val="center"/>
          </w:tcPr>
          <w:p w14:paraId="20C5DC26">
            <w:pPr>
              <w:pStyle w:val="2"/>
              <w:keepNext w:val="0"/>
              <w:keepLines w:val="0"/>
              <w:widowControl/>
              <w:suppressLineNumbers w:val="0"/>
              <w:jc w:val="center"/>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146</w:t>
            </w:r>
          </w:p>
        </w:tc>
      </w:tr>
      <w:tr w14:paraId="1316E5E5">
        <w:trPr>
          <w:trHeight w:val="1691" w:hRule="atLeast"/>
        </w:trPr>
        <w:tc>
          <w:tcPr>
            <w:tcW w:w="8318" w:type="dxa"/>
            <w:gridSpan w:val="4"/>
            <w:tcBorders>
              <w:top w:val="nil"/>
              <w:left w:val="single" w:color="auto" w:sz="8" w:space="0"/>
              <w:bottom w:val="single" w:color="666666" w:sz="8" w:space="0"/>
              <w:right w:val="single" w:color="666666" w:sz="8" w:space="0"/>
            </w:tcBorders>
            <w:shd w:val="clear"/>
            <w:tcMar>
              <w:top w:w="100" w:type="dxa"/>
              <w:left w:w="100" w:type="dxa"/>
              <w:bottom w:w="100" w:type="dxa"/>
              <w:right w:w="100" w:type="dxa"/>
            </w:tcMar>
            <w:vAlign w:val="center"/>
          </w:tcPr>
          <w:p w14:paraId="075FB353">
            <w:pPr>
              <w:pStyle w:val="2"/>
              <w:keepNext w:val="0"/>
              <w:keepLines w:val="0"/>
              <w:widowControl/>
              <w:suppressLineNumbers w:val="0"/>
              <w:jc w:val="both"/>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备注：1、拍卖标的标签及包装显示</w:t>
            </w:r>
            <w:r>
              <w:rPr>
                <w:rFonts w:hint="eastAsia" w:ascii="宋体" w:hAnsi="宋体" w:eastAsia="宋体" w:cs="宋体"/>
                <w:i w:val="0"/>
                <w:iCs w:val="0"/>
                <w:caps w:val="0"/>
                <w:color w:val="000000"/>
                <w:spacing w:val="0"/>
                <w:sz w:val="28"/>
                <w:szCs w:val="28"/>
                <w:bdr w:val="none" w:color="auto" w:sz="0" w:space="0"/>
              </w:rPr>
              <w:t>“</w:t>
            </w:r>
            <w:r>
              <w:rPr>
                <w:rFonts w:hint="default" w:ascii="黑体" w:hAnsi="宋体" w:eastAsia="黑体" w:cs="黑体"/>
                <w:i w:val="0"/>
                <w:iCs w:val="0"/>
                <w:caps w:val="0"/>
                <w:color w:val="000000"/>
                <w:spacing w:val="0"/>
                <w:sz w:val="28"/>
                <w:szCs w:val="28"/>
                <w:bdr w:val="none" w:color="auto" w:sz="0" w:space="0"/>
              </w:rPr>
              <w:t>凯岚、prsr</w:t>
            </w:r>
            <w:r>
              <w:rPr>
                <w:rFonts w:hint="eastAsia" w:ascii="宋体" w:hAnsi="宋体" w:eastAsia="宋体" w:cs="宋体"/>
                <w:i w:val="0"/>
                <w:iCs w:val="0"/>
                <w:caps w:val="0"/>
                <w:color w:val="000000"/>
                <w:spacing w:val="0"/>
                <w:sz w:val="28"/>
                <w:szCs w:val="28"/>
                <w:bdr w:val="none" w:color="auto" w:sz="0" w:space="0"/>
              </w:rPr>
              <w:t>”</w:t>
            </w:r>
            <w:r>
              <w:rPr>
                <w:rFonts w:hint="default" w:ascii="黑体" w:hAnsi="宋体" w:eastAsia="黑体" w:cs="黑体"/>
                <w:i w:val="0"/>
                <w:iCs w:val="0"/>
                <w:caps w:val="0"/>
                <w:color w:val="000000"/>
                <w:spacing w:val="0"/>
                <w:sz w:val="28"/>
                <w:szCs w:val="28"/>
                <w:bdr w:val="none" w:color="auto" w:sz="0" w:space="0"/>
              </w:rPr>
              <w:t>等字样（明细详见附件）；</w:t>
            </w:r>
          </w:p>
          <w:p w14:paraId="01138324">
            <w:pPr>
              <w:pStyle w:val="2"/>
              <w:keepNext w:val="0"/>
              <w:keepLines w:val="0"/>
              <w:widowControl/>
              <w:suppressLineNumbers w:val="0"/>
              <w:jc w:val="both"/>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2、拍卖标的以实物现状为准，以上信息仅供参考。</w:t>
            </w:r>
          </w:p>
        </w:tc>
      </w:tr>
    </w:tbl>
    <w:p w14:paraId="41CA5899">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EE0000"/>
          <w:spacing w:val="0"/>
          <w:sz w:val="28"/>
          <w:szCs w:val="28"/>
        </w:rPr>
        <w:t>拍卖标的特别说明：</w:t>
      </w:r>
    </w:p>
    <w:p w14:paraId="358C03D2">
      <w:pPr>
        <w:pStyle w:val="2"/>
        <w:keepNext w:val="0"/>
        <w:keepLines w:val="0"/>
        <w:widowControl/>
        <w:suppressLineNumbers w:val="0"/>
        <w:ind w:left="10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EE0000"/>
          <w:spacing w:val="0"/>
          <w:sz w:val="28"/>
          <w:szCs w:val="28"/>
          <w:u w:val="single"/>
        </w:rPr>
        <w:t>1、拍卖标的未经专业机构鉴定，不保证真假，交付以现状为准。部分墨镜存在表面划痕、磨损、掉漆及金属部件变形、松动，无外包装或标签等瑕疵，介意者勿拍。管理人不承担拍卖标的及其零件的瑕疵保证和质量保修责任。竞买人一旦作出竞买决定，即表明已完全了解并接受拍卖标的的现状和一切已知及未知的瑕疵。有关责任和风险由竞买人自行承担，不影响拍卖成交结果及成交价格。</w:t>
      </w:r>
    </w:p>
    <w:p w14:paraId="68386F40">
      <w:pPr>
        <w:pStyle w:val="2"/>
        <w:keepNext w:val="0"/>
        <w:keepLines w:val="0"/>
        <w:widowControl/>
        <w:suppressLineNumbers w:val="0"/>
        <w:ind w:left="10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EE0000"/>
          <w:spacing w:val="0"/>
          <w:sz w:val="28"/>
          <w:szCs w:val="28"/>
          <w:u w:val="single"/>
        </w:rPr>
        <w:t>2、本次拍卖标的财产清单的数量、种类、款式与现场情况可能存在差异，清单仅供参考。存放地拍卖标的的数量、种类、款式等与财产清单列出的明细如有不符，以现场实际情况为准，现场现状的数量、种类、款式作为最终交付的标准。</w:t>
      </w:r>
    </w:p>
    <w:p w14:paraId="27BC21B6">
      <w:pPr>
        <w:pStyle w:val="2"/>
        <w:keepNext w:val="0"/>
        <w:keepLines w:val="0"/>
        <w:widowControl/>
        <w:suppressLineNumbers w:val="0"/>
        <w:ind w:left="10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EE0000"/>
          <w:spacing w:val="0"/>
          <w:sz w:val="28"/>
          <w:szCs w:val="28"/>
          <w:u w:val="single"/>
        </w:rPr>
        <w:t>3、拍卖标的展示图片、描述等仅供参考，管理人未接管到其原始购置凭证，不能确定标的来源，不能确定标识材质与实际是否一致。上传图片可能因拍摄光线、角度等差异而存在一定的色差。不排除个别标的介绍信息不准确的情况，保管存储情况一般，实际情况请以现场实物为准。</w:t>
      </w:r>
    </w:p>
    <w:p w14:paraId="0882B47B">
      <w:pPr>
        <w:pStyle w:val="2"/>
        <w:keepNext w:val="0"/>
        <w:keepLines w:val="0"/>
        <w:widowControl/>
        <w:suppressLineNumbers w:val="0"/>
        <w:ind w:left="10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EE0000"/>
          <w:spacing w:val="0"/>
          <w:sz w:val="28"/>
          <w:szCs w:val="28"/>
          <w:u w:val="single"/>
        </w:rPr>
        <w:t>4、有意者应提前亲自实地看样，竞买人参拍即表示对拍卖标的现状、种类、款式、特征、材质及价格等予以认可。一旦竞拍成功后不得以任何理由悔拍，否则已交保证金不予退还，由于悔拍造成的拍卖标的重新拍卖产生的损失由原竞买人承担。</w:t>
      </w:r>
    </w:p>
    <w:p w14:paraId="0565FDCB">
      <w:pPr>
        <w:pStyle w:val="2"/>
        <w:keepNext w:val="0"/>
        <w:keepLines w:val="0"/>
        <w:widowControl/>
        <w:suppressLineNumbers w:val="0"/>
        <w:ind w:left="10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EE0000"/>
          <w:spacing w:val="0"/>
          <w:sz w:val="28"/>
          <w:szCs w:val="28"/>
        </w:rPr>
        <w:t>5、竞买人对拍卖标的现状认知的疏忽和误解由竞买人自行承担责任。竞买人的出价直接影响到其他竞买人的竞拍机会，一旦出价即表示竞买人已了解并认同本场拍卖的公告、须知及相关的拍卖文件，并愿意承担相应的违约责任。</w:t>
      </w:r>
    </w:p>
    <w:p w14:paraId="32486A83">
      <w:pPr>
        <w:pStyle w:val="2"/>
        <w:keepNext w:val="0"/>
        <w:keepLines w:val="0"/>
        <w:widowControl/>
        <w:suppressLineNumbers w:val="0"/>
        <w:ind w:left="10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EE0000"/>
          <w:spacing w:val="0"/>
          <w:sz w:val="28"/>
          <w:szCs w:val="28"/>
        </w:rPr>
        <w:t>6、对上述拍卖标的权属有异议者，请于开拍前3个工作日以书面形式向管理人提出并附相关证明材料。</w:t>
      </w:r>
    </w:p>
    <w:p w14:paraId="4DC2E581">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二、保证金交纳</w:t>
      </w:r>
    </w:p>
    <w:p w14:paraId="796212BD">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竞价前，竞买人须在北交互联平台注册账号并通过实名认证（已注册北交互联平台账号的需通过实名认证）。</w:t>
      </w:r>
    </w:p>
    <w:p w14:paraId="3DE23A93">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竞买人应认真阅读本公告、《竞价须知》、《拍卖标的调查表》等竞买文件，一经出价即视为接受全部竞买文件内容且无异议。</w:t>
      </w:r>
    </w:p>
    <w:p w14:paraId="67CB1ADA">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竞买人应在竞价结束前交纳保证金，取得竞买资格。保证金金额一般较大，建议提前1-2天交纳保证金，以免错过竞价时间。具体要求请阅读竞价页面内的《竞价须知》及北交互联平台的相关规则。保证金服务热线:400-689-1566。</w:t>
      </w:r>
    </w:p>
    <w:p w14:paraId="2BDB1C1D">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企业参与竞买，请竞买人提前3个工作日完成注册登录，并及时交纳保证金。如因竞买人未按此条提示规定的时间交纳保证金，导致北京产权交易所指定账户在竞价结束前未能全额收到竞买人交纳的保证金，无法为竞买人开通竞买权限，所产生的一切后果由竞买人自行承担，管理人与北交互联平台均不就此承担任何责任。</w:t>
      </w:r>
    </w:p>
    <w:p w14:paraId="1CEECC23">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竞价结束前，竞买人缴纳的保证金将被锁定，锁定期间不计利息。</w:t>
      </w:r>
    </w:p>
    <w:p w14:paraId="6840B577">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三、咨询、展示时间与方式：</w:t>
      </w:r>
    </w:p>
    <w:p w14:paraId="57ED7F6B">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1、本拍品组织集中看样，请意向人提前与管理人进行联系，联系方式详见后文。</w:t>
      </w:r>
    </w:p>
    <w:p w14:paraId="6EFEF51B">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2、管理人已委托辅助机构京道华硕(北京)企业管理有限公司共同办理拍卖标的咨询、看样等相关拍卖辅助事宜。有意者可于项目发布日起至竞价前一个工作日工作时间内咨询上述标的的相关情况。联系人：马经理，电话：13910115551、19102202293。因拍卖标的存放场地限制，有意看样者与联系人沟通具体看样方式。</w:t>
      </w:r>
    </w:p>
    <w:p w14:paraId="433DD414">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四、拍卖方式：设有保留价的增价拍卖方式，保留价即为起拍价，至少一人报名且出价不低于起拍价，方可成交。本次拍卖活动设置延时出价功能，在拍卖活动结束前，每最后5分钟如果有竞买人出价，将自动延迟5分钟。</w:t>
      </w:r>
    </w:p>
    <w:p w14:paraId="2DA1F5F3">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FF0000"/>
          <w:spacing w:val="0"/>
          <w:sz w:val="28"/>
          <w:szCs w:val="28"/>
        </w:rPr>
        <w:t>五、税费承担</w:t>
      </w:r>
    </w:p>
    <w:p w14:paraId="1D780277">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EE0000"/>
          <w:spacing w:val="0"/>
          <w:sz w:val="28"/>
          <w:szCs w:val="28"/>
        </w:rPr>
        <w:t>本次竞价活动计价货币为人民币，起拍价及成交价为含税价（增值税），其他税费由交易双方依法自行承担，对于购买及交付环节可能产生的其他税费问题，请自行向税务部门咨询。</w:t>
      </w:r>
    </w:p>
    <w:p w14:paraId="14DB8583">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EE0000"/>
          <w:spacing w:val="0"/>
          <w:sz w:val="28"/>
          <w:szCs w:val="28"/>
        </w:rPr>
        <w:t>拍卖标的仅支持买受人自提，自提环节涉及的各项费用（如有）由买受人自行承担。</w:t>
      </w:r>
    </w:p>
    <w:p w14:paraId="7C5DAC8B">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六、拍卖余款</w:t>
      </w:r>
    </w:p>
    <w:p w14:paraId="73BE050F">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1、竞价成功后，买受人缴纳的保证金将转化为成交价款，由北交互联平台转入管理人指定账户；</w:t>
      </w:r>
    </w:p>
    <w:p w14:paraId="754199B6">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2、拍卖余款（成交价款减去保证金差额）请在成交日后3个工作日内汇款至管理人指定账户</w:t>
      </w:r>
      <w:r>
        <w:rPr>
          <w:rStyle w:val="5"/>
          <w:rFonts w:hint="default" w:ascii="黑体" w:hAnsi="宋体" w:eastAsia="黑体" w:cs="黑体"/>
          <w:i w:val="0"/>
          <w:iCs w:val="0"/>
          <w:caps w:val="0"/>
          <w:color w:val="000000"/>
          <w:spacing w:val="0"/>
          <w:sz w:val="28"/>
          <w:szCs w:val="28"/>
          <w:shd w:val="clear" w:fill="FFFFFF"/>
        </w:rPr>
        <w:t>（户名：北京文投航美传媒有限公司管理人，开户银行：中国工商银行股份有限公司北京九龙山支行，帐号：0200096239000462494）。</w:t>
      </w:r>
    </w:p>
    <w:p w14:paraId="05DD5F51">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3、未能竞得的竞买人交纳的保证金在竞价程序结束后二十四小时内发起原路径返还，具体到账时间以银行实际入账为准。</w:t>
      </w:r>
    </w:p>
    <w:p w14:paraId="1CF785AF">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七、服务费</w:t>
      </w:r>
    </w:p>
    <w:p w14:paraId="669EFC33">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1、交易服务费按照成交价款的0.5%收取，不低于1000元人民币，由北交互联平台收取。竞价成交后系统会按照公示费率计算交易服务费具体金额，买受人应在拍卖成交（即竞价成功日）后3个工作日内在线支付该笔订单。</w:t>
      </w:r>
    </w:p>
    <w:p w14:paraId="4F017C7E">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2、综合服务费按照成交价款的2%由辅助机构收取，买受人应在拍卖成交（即竞价成功日）后3个工作日内前将综合服务费汇款至指定账户【户名：京道华硕（北京）企业管理有限公司；开户银行：中国工商银行股份有限公司北京海淀支行；账号：0200049609201452284；以到账时间为准】。</w:t>
      </w:r>
    </w:p>
    <w:p w14:paraId="20927477">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八、拍品交付</w:t>
      </w:r>
    </w:p>
    <w:p w14:paraId="06CECD27">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EE0000"/>
          <w:spacing w:val="0"/>
          <w:sz w:val="28"/>
          <w:szCs w:val="28"/>
        </w:rPr>
        <w:t>1、买受人应在付清拍卖余款之日起5日内，凭付款凭证及相关身份材料到管理人处签署拍卖成交确认文件。上述文件一经签署，即视为拍卖标的所有权已转移至买受人，拍卖标的发生毁损灭失等风险责任转移至买受人。</w:t>
      </w:r>
    </w:p>
    <w:p w14:paraId="35ADE13C">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EE0000"/>
          <w:spacing w:val="0"/>
          <w:sz w:val="28"/>
          <w:szCs w:val="28"/>
        </w:rPr>
        <w:t>2、本次拍卖仅支持买受人自行提货。买受人应于交接确认文件签署之日起5日内完成全部提货并签署交接文件。买受人提货环节，应自行承担运输费用及相关风险。</w:t>
      </w:r>
    </w:p>
    <w:p w14:paraId="1E261675">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EE0000"/>
          <w:spacing w:val="0"/>
          <w:sz w:val="28"/>
          <w:szCs w:val="28"/>
        </w:rPr>
        <w:t>买受人逾期提货的，拍卖标的存储费用及可能发生的损毁、灭失风险由买受人承担。</w:t>
      </w:r>
    </w:p>
    <w:p w14:paraId="7850CB81">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EE0000"/>
          <w:spacing w:val="0"/>
          <w:sz w:val="28"/>
          <w:szCs w:val="28"/>
        </w:rPr>
        <w:t>3、本次拍卖标的不涉及过户事宜。</w:t>
      </w:r>
    </w:p>
    <w:p w14:paraId="4984F651">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EE0000"/>
          <w:spacing w:val="0"/>
          <w:sz w:val="28"/>
          <w:szCs w:val="28"/>
        </w:rPr>
        <w:t>4、买受人提货完成后，管理人根据税务流程及要求开具发票，但不对时间进行承诺。</w:t>
      </w:r>
    </w:p>
    <w:p w14:paraId="37EBF8DF">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九、违约处理</w:t>
      </w:r>
    </w:p>
    <w:p w14:paraId="28D3FF44">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拍卖成交后，有下列情形之一的，则视为买受人悔拍，管理人自买受人悔拍之日的次日起可以再次就拍卖标的发拍，即重新处置，买受人缴纳的保证金不予退还，依次用于支付拍卖产生的费用损失、弥补重新拍卖价款低于原拍卖价款的差价，如有剩余作为违约金支付给管理人。重新处置时，原买受人不得参加竞买。重新处置的价款低于原处置价款造成的差价、费用损失均由买受人承担，如保证金和已付的价款不足以承担的，管理人将继续向原买受人追偿。视为悔拍的情形包括：</w:t>
      </w:r>
    </w:p>
    <w:p w14:paraId="10C9D162">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1、买受人逾期未支付全部成交款的；</w:t>
      </w:r>
    </w:p>
    <w:p w14:paraId="3959761A">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2、买受人逾期未签署拍卖成交确认文件的；</w:t>
      </w:r>
    </w:p>
    <w:p w14:paraId="48B5DAF7">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3、买受人逾期办理交接手续的；</w:t>
      </w:r>
    </w:p>
    <w:p w14:paraId="503DFF99">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十、成交结果公示</w:t>
      </w:r>
    </w:p>
    <w:p w14:paraId="24466D0D">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竞买人成功竞得拍卖标的后，北交互联平台将生成相应《竞价成功确认书》并公示，确认书中载明实际买受人姓名、竞买号等信息（申请不公示的除外）。</w:t>
      </w:r>
    </w:p>
    <w:p w14:paraId="57AA11E1">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十一、其他事项</w:t>
      </w:r>
    </w:p>
    <w:p w14:paraId="3E960B6C">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竞买人在拍卖竞价前请务必再仔细阅读管理人发布本公告、《竞价须知》、《拍卖标的调查表》等竞买文件，审慎出价。</w:t>
      </w:r>
    </w:p>
    <w:p w14:paraId="40D9AB6D">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本规则其他未尽事宜，请向管理人咨询。</w:t>
      </w:r>
    </w:p>
    <w:p w14:paraId="2A2F5B72">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管理人联系方式：刘律师 18001106958、魏律师：16601105278</w:t>
      </w:r>
    </w:p>
    <w:p w14:paraId="2C023BF5">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辅助机构服务热线：马经理：13910115551、19102202293</w:t>
      </w:r>
    </w:p>
    <w:p w14:paraId="21F65D26">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北交所联系人：张经理：010-83143102</w:t>
      </w:r>
    </w:p>
    <w:p w14:paraId="7E171B16">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北交互联平台技术咨询：400-612-1717转3</w:t>
      </w:r>
    </w:p>
    <w:p w14:paraId="0CE79D19">
      <w:pPr>
        <w:pStyle w:val="2"/>
        <w:keepNext w:val="0"/>
        <w:keepLines w:val="0"/>
        <w:widowControl/>
        <w:suppressLineNumbers w:val="0"/>
        <w:ind w:left="0" w:firstLine="740"/>
        <w:jc w:val="right"/>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北京文投航美传媒有限公司管理人</w:t>
      </w:r>
    </w:p>
    <w:p w14:paraId="20E29ADD">
      <w:pPr>
        <w:pStyle w:val="2"/>
        <w:keepNext w:val="0"/>
        <w:keepLines w:val="0"/>
        <w:widowControl/>
        <w:suppressLineNumbers w:val="0"/>
        <w:ind w:left="0" w:firstLine="740"/>
        <w:jc w:val="right"/>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二〇二六年一月十二日</w:t>
      </w:r>
    </w:p>
    <w:p w14:paraId="31D2393C">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黑体">
    <w:altName w:val="汉仪中黑K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F73313"/>
    <w:rsid w:val="4DF733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2026-01-12T16:11:00Z</dcterms:created>
  <dc:creator>11</dc:creator>
  <cp:lastModifiedBy>11</cp:lastModifiedBy>
  <dcterms:modified xsi:type="dcterms:W3CDTF">2026-01-12T16:12:02Z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63E7A811BF23B65BA9AC64696ADE40A1_41</vt:lpwstr>
  </property>
</Properties>
</file>