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A897D">
      <w:pPr>
        <w:pStyle w:val="11"/>
        <w:spacing w:before="159" w:beforeLines="50" w:after="159" w:afterLines="50" w:line="590" w:lineRule="exact"/>
        <w:rPr>
          <w:rFonts w:eastAsia="华文中宋"/>
          <w:b/>
          <w:color w:val="FF0000"/>
          <w:w w:val="85"/>
          <w:kern w:val="0"/>
          <w:sz w:val="52"/>
          <w:szCs w:val="52"/>
        </w:rPr>
      </w:pPr>
      <w:r>
        <w:rPr>
          <w:rFonts w:hint="eastAsia" w:eastAsia="华文中宋"/>
          <w:b/>
          <w:color w:val="FF0000"/>
          <w:w w:val="80"/>
          <w:kern w:val="0"/>
          <w:sz w:val="52"/>
          <w:szCs w:val="52"/>
        </w:rPr>
        <w:t>毕节</w:t>
      </w:r>
      <w:r>
        <w:rPr>
          <w:rFonts w:hint="eastAsia" w:eastAsia="华文中宋"/>
          <w:b/>
          <w:color w:val="FF0000"/>
          <w:w w:val="80"/>
          <w:kern w:val="0"/>
          <w:sz w:val="52"/>
          <w:szCs w:val="52"/>
          <w:lang w:val="en-US" w:eastAsia="zh-CN"/>
        </w:rPr>
        <w:t>市</w:t>
      </w:r>
      <w:r>
        <w:rPr>
          <w:rFonts w:hint="eastAsia" w:eastAsia="华文中宋"/>
          <w:b/>
          <w:color w:val="FF0000"/>
          <w:w w:val="80"/>
          <w:kern w:val="0"/>
          <w:sz w:val="52"/>
          <w:szCs w:val="52"/>
        </w:rPr>
        <w:t>梧桐房地产开发有限公司临时管理人</w:t>
      </w:r>
    </w:p>
    <w:p w14:paraId="71808BA1">
      <w:pPr>
        <w:ind w:left="-420" w:leftChars="-200" w:right="-420" w:rightChars="-200"/>
        <w:jc w:val="center"/>
        <w:rPr>
          <w:rFonts w:ascii="黑体" w:hAnsi="黑体" w:eastAsia="黑体"/>
          <w:bCs/>
          <w:kern w:val="0"/>
          <w:sz w:val="44"/>
          <w:szCs w:val="44"/>
        </w:rPr>
      </w:pPr>
      <w:r>
        <w:rPr>
          <w:rFonts w:hint="eastAsia" w:eastAsia="仿宋_GB2312"/>
          <w:sz w:val="28"/>
          <w:szCs w:val="28"/>
          <w:lang w:val="en-US" w:eastAsia="zh-CN"/>
        </w:rPr>
        <w:t>（2026）梧桐房开</w:t>
      </w:r>
      <w:r>
        <w:rPr>
          <w:rFonts w:hint="eastAsia" w:eastAsia="仿宋_GB2312"/>
          <w:kern w:val="0"/>
          <w:sz w:val="28"/>
          <w:szCs w:val="28"/>
          <w:lang w:val="en-US" w:eastAsia="zh-CN"/>
        </w:rPr>
        <w:t>预</w:t>
      </w:r>
      <w:r>
        <w:rPr>
          <w:rFonts w:hint="eastAsia" w:eastAsia="仿宋_GB2312"/>
          <w:kern w:val="0"/>
          <w:sz w:val="28"/>
          <w:szCs w:val="28"/>
        </w:rPr>
        <w:t>管字</w:t>
      </w:r>
      <w:r>
        <w:rPr>
          <w:rFonts w:hint="eastAsia" w:eastAsia="仿宋_GB2312"/>
          <w:kern w:val="0"/>
          <w:sz w:val="28"/>
          <w:szCs w:val="28"/>
          <w:lang w:val="en-US" w:eastAsia="zh-CN"/>
        </w:rPr>
        <w:t>第</w:t>
      </w:r>
      <w:r>
        <w:rPr>
          <w:rFonts w:hint="eastAsia" w:eastAsia="仿宋_GB2312"/>
          <w:kern w:val="0"/>
          <w:sz w:val="28"/>
          <w:szCs w:val="28"/>
          <w:lang w:eastAsia="zh-CN"/>
        </w:rPr>
        <w:t>【</w:t>
      </w:r>
      <w:r>
        <w:rPr>
          <w:rFonts w:hint="eastAsia" w:eastAsia="仿宋_GB2312"/>
          <w:kern w:val="0"/>
          <w:sz w:val="28"/>
          <w:szCs w:val="28"/>
          <w:lang w:val="en-US" w:eastAsia="zh-CN"/>
        </w:rPr>
        <w:t>16</w:t>
      </w:r>
      <w:bookmarkStart w:id="0" w:name="_GoBack"/>
      <w:bookmarkEnd w:id="0"/>
      <w:r>
        <w:rPr>
          <w:rFonts w:hint="eastAsia" w:eastAsia="仿宋_GB2312"/>
          <w:kern w:val="0"/>
          <w:sz w:val="28"/>
          <w:szCs w:val="28"/>
          <w:lang w:eastAsia="zh-CN"/>
        </w:rPr>
        <w:t>】</w:t>
      </w:r>
      <w:r>
        <w:rPr>
          <w:rFonts w:eastAsia="仿宋_GB2312"/>
          <w:kern w:val="0"/>
          <w:sz w:val="28"/>
          <w:szCs w:val="28"/>
        </w:rPr>
        <w:t>号</w:t>
      </w:r>
      <w:r>
        <w:rPr>
          <w:rFonts w:eastAsia="仿宋_GB2312"/>
          <w:b/>
          <w:color w:val="FF6600"/>
          <w:szCs w:val="52"/>
        </w:rPr>
        <mc:AlternateContent>
          <mc:Choice Requires="wps">
            <w:drawing>
              <wp:anchor distT="0" distB="0" distL="114300" distR="114300" simplePos="0" relativeHeight="251659264" behindDoc="0" locked="1" layoutInCell="1" allowOverlap="1">
                <wp:simplePos x="0" y="0"/>
                <wp:positionH relativeFrom="margin">
                  <wp:posOffset>-193040</wp:posOffset>
                </wp:positionH>
                <wp:positionV relativeFrom="paragraph">
                  <wp:posOffset>393700</wp:posOffset>
                </wp:positionV>
                <wp:extent cx="6201410" cy="0"/>
                <wp:effectExtent l="0" t="19050" r="21590" b="317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201410" cy="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15.2pt;margin-top:31pt;height:0pt;width:488.3pt;mso-position-horizontal-relative:margin;z-index:251659264;mso-width-relative:page;mso-height-relative:page;" filled="f" stroked="t" coordsize="21600,21600" o:gfxdata="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P4Dk1wAAAAkBAAAPAAAAAAAAAAEAIAAAACIAAABkcnMvZG93bnJldi54bWxQSwECFAAU&#10;AAAACACHTuJAH1zFrfIBAADAAwAADgAAAAAAAAABACAAAAAmAQAAZHJzL2Uyb0RvYy54bWxQSwUG&#10;AAAAAAYABgBZAQAAigUAAAAA&#10;">
                <v:fill on="f" focussize="0,0"/>
                <v:stroke weight="3pt" color="#FF0000" joinstyle="round"/>
                <v:imagedata o:title=""/>
                <o:lock v:ext="edit" aspectratio="f"/>
                <w10:anchorlock/>
              </v:line>
            </w:pict>
          </mc:Fallback>
        </mc:AlternateContent>
      </w:r>
    </w:p>
    <w:p w14:paraId="7E60F135">
      <w:pPr>
        <w:tabs>
          <w:tab w:val="left" w:pos="2115"/>
          <w:tab w:val="center" w:pos="4153"/>
        </w:tabs>
        <w:spacing w:line="700" w:lineRule="exact"/>
        <w:jc w:val="center"/>
        <w:rPr>
          <w:rFonts w:ascii="黑体" w:hAnsi="黑体" w:eastAsia="黑体"/>
          <w:bCs/>
          <w:kern w:val="0"/>
          <w:sz w:val="44"/>
          <w:szCs w:val="44"/>
        </w:rPr>
      </w:pPr>
    </w:p>
    <w:p w14:paraId="5EC3DB87">
      <w:pPr>
        <w:tabs>
          <w:tab w:val="left" w:pos="2115"/>
          <w:tab w:val="center" w:pos="4153"/>
        </w:tabs>
        <w:spacing w:line="700" w:lineRule="exact"/>
        <w:jc w:val="center"/>
        <w:rPr>
          <w:rFonts w:hint="eastAsia" w:ascii="黑体" w:hAnsi="黑体" w:eastAsia="黑体" w:cs="Times New Roman"/>
          <w:bCs/>
          <w:kern w:val="0"/>
          <w:sz w:val="44"/>
          <w:szCs w:val="44"/>
          <w:lang w:val="en-US" w:eastAsia="zh-CN"/>
        </w:rPr>
      </w:pPr>
      <w:r>
        <w:rPr>
          <w:rFonts w:hint="eastAsia" w:ascii="黑体" w:hAnsi="黑体" w:eastAsia="黑体" w:cs="Times New Roman"/>
          <w:bCs/>
          <w:kern w:val="0"/>
          <w:sz w:val="44"/>
          <w:szCs w:val="44"/>
          <w:lang w:val="en-US" w:eastAsia="zh-CN"/>
        </w:rPr>
        <w:t>关于公开招募审计、评估、工程造价机构的公告</w:t>
      </w:r>
    </w:p>
    <w:p w14:paraId="22EDAEF0">
      <w:pPr>
        <w:keepNext w:val="0"/>
        <w:keepLines w:val="0"/>
        <w:pageBreakBefore w:val="0"/>
        <w:widowControl w:val="0"/>
        <w:kinsoku/>
        <w:wordWrap w:val="0"/>
        <w:overflowPunct/>
        <w:topLinePunct w:val="0"/>
        <w:autoSpaceDE/>
        <w:autoSpaceDN/>
        <w:bidi w:val="0"/>
        <w:adjustRightInd/>
        <w:snapToGrid/>
        <w:spacing w:before="157" w:beforeLines="50" w:after="157" w:afterLines="50" w:line="480" w:lineRule="exact"/>
        <w:jc w:val="center"/>
        <w:textAlignment w:val="auto"/>
        <w:rPr>
          <w:rFonts w:hint="eastAsia" w:ascii="黑体" w:hAnsi="黑体" w:eastAsia="黑体" w:cs="黑体"/>
          <w:sz w:val="36"/>
          <w:szCs w:val="36"/>
          <w:lang w:val="en-US" w:eastAsia="zh-CN"/>
        </w:rPr>
      </w:pPr>
    </w:p>
    <w:p w14:paraId="02D0BE6B">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毕节市七星关区人民法院于2025年12月24日作出（2025）黔0502破申24号《决定书》，决定对毕节市梧桐房地产开发有限公司（以下简称“债务人”）进行预重整，并于同日指定毕节市七星关区推动梧桐凤凰城项目资产盘活工作专班和四川豪诚企业清算事务所有限公司贵州分公司担任毕节市梧桐房地产开发有限公司预重整期间的临时管理人（以下简称“临时管理人”）。</w:t>
      </w:r>
    </w:p>
    <w:p w14:paraId="03BBD9B4">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为顺利推进债务人预重整相关工作，根据《中华人民共和国企业破产法》相关规定，临时管理人拟公开选聘评估机构、审计机构以及工程造价机构（以下统称“中介机构”）为债务人及其开发建设的“梧桐·凤凰城”项目（以下简称“凤凰城项目”）提供全部资产价值评估、财务专项审计以及工程造价审计及咨询服务。现公告如下：</w:t>
      </w:r>
    </w:p>
    <w:p w14:paraId="3816D118">
      <w:pPr>
        <w:pStyle w:val="11"/>
        <w:spacing w:before="159" w:beforeLines="50" w:after="159" w:afterLines="50" w:line="59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一、债务人基本情况</w:t>
      </w:r>
    </w:p>
    <w:p w14:paraId="2A17472B">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（一）债务人工商登记情况</w:t>
      </w:r>
    </w:p>
    <w:tbl>
      <w:tblPr>
        <w:tblStyle w:val="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5476"/>
      </w:tblGrid>
      <w:tr w14:paraId="32C8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2873E19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登记事项</w:t>
            </w:r>
          </w:p>
        </w:tc>
        <w:tc>
          <w:tcPr>
            <w:tcW w:w="5558" w:type="dxa"/>
            <w:vAlign w:val="center"/>
          </w:tcPr>
          <w:p w14:paraId="525CD19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登记内容</w:t>
            </w:r>
          </w:p>
        </w:tc>
      </w:tr>
      <w:tr w14:paraId="5CBB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7EF51A5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企业名称</w:t>
            </w:r>
          </w:p>
        </w:tc>
        <w:tc>
          <w:tcPr>
            <w:tcW w:w="5558" w:type="dxa"/>
            <w:vAlign w:val="center"/>
          </w:tcPr>
          <w:p w14:paraId="376EB78E">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毕节市梧桐房地产开发有限公司</w:t>
            </w:r>
          </w:p>
        </w:tc>
      </w:tr>
      <w:tr w14:paraId="3E2D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4329E3EE">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公司类型</w:t>
            </w:r>
          </w:p>
        </w:tc>
        <w:tc>
          <w:tcPr>
            <w:tcW w:w="5558" w:type="dxa"/>
            <w:vAlign w:val="center"/>
          </w:tcPr>
          <w:p w14:paraId="216FC883">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有限责任公司（自然人投资或控股）</w:t>
            </w:r>
          </w:p>
        </w:tc>
      </w:tr>
      <w:tr w14:paraId="14D7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65F7DE2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c>
          <w:tcPr>
            <w:tcW w:w="5558" w:type="dxa"/>
            <w:vAlign w:val="center"/>
          </w:tcPr>
          <w:p w14:paraId="208157BA">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陈桐</w:t>
            </w:r>
          </w:p>
        </w:tc>
      </w:tr>
      <w:tr w14:paraId="3EAB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40828B7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统一社会信用代码</w:t>
            </w:r>
          </w:p>
        </w:tc>
        <w:tc>
          <w:tcPr>
            <w:tcW w:w="5558" w:type="dxa"/>
            <w:vAlign w:val="center"/>
          </w:tcPr>
          <w:p w14:paraId="0B90EB52">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915205003087666436</w:t>
            </w:r>
          </w:p>
        </w:tc>
      </w:tr>
      <w:tr w14:paraId="68A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48D2F93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注册资本金</w:t>
            </w:r>
          </w:p>
        </w:tc>
        <w:tc>
          <w:tcPr>
            <w:tcW w:w="5558" w:type="dxa"/>
            <w:vAlign w:val="center"/>
          </w:tcPr>
          <w:p w14:paraId="1FF5C637">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5000万元人民币</w:t>
            </w:r>
          </w:p>
        </w:tc>
      </w:tr>
      <w:tr w14:paraId="7A8A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04D82390">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成立时间</w:t>
            </w:r>
          </w:p>
        </w:tc>
        <w:tc>
          <w:tcPr>
            <w:tcW w:w="5558" w:type="dxa"/>
            <w:vAlign w:val="center"/>
          </w:tcPr>
          <w:p w14:paraId="72A6D586">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2014-07-16</w:t>
            </w:r>
          </w:p>
        </w:tc>
      </w:tr>
      <w:tr w14:paraId="7B14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5DB7CE4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w:t>
            </w:r>
          </w:p>
        </w:tc>
        <w:tc>
          <w:tcPr>
            <w:tcW w:w="5558" w:type="dxa"/>
            <w:vAlign w:val="center"/>
          </w:tcPr>
          <w:p w14:paraId="1E2B42E1">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贵州省毕节市金海湖新区办事处旁</w:t>
            </w:r>
          </w:p>
        </w:tc>
      </w:tr>
      <w:tr w14:paraId="3A75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12C6DB7E">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股东及持股比例</w:t>
            </w:r>
          </w:p>
        </w:tc>
        <w:tc>
          <w:tcPr>
            <w:tcW w:w="5558" w:type="dxa"/>
            <w:vAlign w:val="center"/>
          </w:tcPr>
          <w:p w14:paraId="68CFE30D">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股东1：陈桐，95%</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股东2：沈国远，5%</w:t>
            </w:r>
          </w:p>
        </w:tc>
      </w:tr>
      <w:tr w14:paraId="4179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30040E6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经营范围</w:t>
            </w:r>
          </w:p>
        </w:tc>
        <w:tc>
          <w:tcPr>
            <w:tcW w:w="5558" w:type="dxa"/>
            <w:vAlign w:val="center"/>
          </w:tcPr>
          <w:p w14:paraId="5B1090D4">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房地产开发；物业咨询管理；非金融性项目投资；房屋中介；房屋销售。</w:t>
            </w:r>
          </w:p>
        </w:tc>
      </w:tr>
      <w:tr w14:paraId="62D0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vAlign w:val="center"/>
          </w:tcPr>
          <w:p w14:paraId="3BEC3A0E">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登记状态</w:t>
            </w:r>
          </w:p>
        </w:tc>
        <w:tc>
          <w:tcPr>
            <w:tcW w:w="5558" w:type="dxa"/>
            <w:vAlign w:val="center"/>
          </w:tcPr>
          <w:p w14:paraId="6E09F30B">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存续</w:t>
            </w:r>
          </w:p>
        </w:tc>
      </w:tr>
    </w:tbl>
    <w:p w14:paraId="545B05A9">
      <w:pPr>
        <w:pStyle w:val="11"/>
        <w:spacing w:before="159" w:beforeLines="50" w:after="159" w:afterLines="50" w:line="590" w:lineRule="exact"/>
        <w:ind w:firstLine="640" w:firstLineChars="200"/>
        <w:rPr>
          <w:rFonts w:hint="default"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（二）债务人资产与负债情况</w:t>
      </w:r>
    </w:p>
    <w:p w14:paraId="216A73C9">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债务人提供的《资产负债表》所示，债务人资产总额为1,091,360,126.88元，账面资产主要涵盖：货币资金3,480,932.47元、预付款项0元、其他应收款175,087,964.07元、存货912,762,428.24元；负债总额为1,565,516,114.60元，所有者权益为-474,155,987.72元，已处于严重资不抵债状态。</w:t>
      </w:r>
    </w:p>
    <w:p w14:paraId="4B07A175">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p>
    <w:p w14:paraId="2BBCA4B3">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p>
    <w:p w14:paraId="26A53580">
      <w:pPr>
        <w:pStyle w:val="11"/>
        <w:spacing w:before="159" w:beforeLines="50" w:after="159" w:afterLines="50" w:line="59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二、凤凰城项目基本情况</w:t>
      </w:r>
    </w:p>
    <w:p w14:paraId="54CE5430">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梧桐房开公司名下开发了毕节市金海湖新区办事处杨柳村，瓦厂村、平乡村凤凰城项目，在取得位于毕节市金海湖新区办事处杨柳村，瓦厂村、平乡村共计161064.38㎡土地使用权后，对项目建设用地进行了开发。该项目规划综合容积率为2.5，已使用2.25，总建筑面积共计</w:t>
      </w:r>
      <w:r>
        <w:rPr>
          <w:rFonts w:hint="default" w:ascii="仿宋_GB2312" w:hAnsi="仿宋_GB2312" w:eastAsia="仿宋_GB2312" w:cs="仿宋_GB2312"/>
          <w:bCs/>
          <w:sz w:val="32"/>
          <w:szCs w:val="32"/>
          <w:lang w:val="en-US" w:eastAsia="zh-CN"/>
        </w:rPr>
        <w:t>514,981.39</w:t>
      </w:r>
      <w:r>
        <w:rPr>
          <w:rFonts w:hint="eastAsia" w:ascii="仿宋_GB2312" w:hAnsi="仿宋_GB2312" w:eastAsia="仿宋_GB2312" w:cs="仿宋_GB2312"/>
          <w:bCs/>
          <w:sz w:val="32"/>
          <w:szCs w:val="32"/>
          <w:lang w:val="en-US" w:eastAsia="zh-CN"/>
        </w:rPr>
        <w:t>㎡，其中住宅面积为</w:t>
      </w:r>
      <w:r>
        <w:rPr>
          <w:rFonts w:hint="default" w:ascii="仿宋_GB2312" w:hAnsi="仿宋_GB2312" w:eastAsia="仿宋_GB2312" w:cs="仿宋_GB2312"/>
          <w:bCs/>
          <w:sz w:val="32"/>
          <w:szCs w:val="32"/>
          <w:lang w:val="en-US" w:eastAsia="zh-CN"/>
        </w:rPr>
        <w:t>256,284.06</w:t>
      </w:r>
      <w:r>
        <w:rPr>
          <w:rFonts w:hint="eastAsia" w:ascii="仿宋_GB2312" w:hAnsi="仿宋_GB2312" w:eastAsia="仿宋_GB2312" w:cs="仿宋_GB2312"/>
          <w:bCs/>
          <w:sz w:val="32"/>
          <w:szCs w:val="32"/>
          <w:lang w:val="en-US" w:eastAsia="zh-CN"/>
        </w:rPr>
        <w:t>㎡，商业面积为</w:t>
      </w:r>
      <w:r>
        <w:rPr>
          <w:rFonts w:hint="default" w:ascii="仿宋_GB2312" w:hAnsi="仿宋_GB2312" w:eastAsia="仿宋_GB2312" w:cs="仿宋_GB2312"/>
          <w:bCs/>
          <w:sz w:val="32"/>
          <w:szCs w:val="32"/>
          <w:lang w:val="en-US" w:eastAsia="zh-CN"/>
        </w:rPr>
        <w:t>110,532.64</w:t>
      </w:r>
      <w:r>
        <w:rPr>
          <w:rFonts w:hint="eastAsia" w:ascii="仿宋_GB2312" w:hAnsi="仿宋_GB2312" w:eastAsia="仿宋_GB2312" w:cs="仿宋_GB2312"/>
          <w:bCs/>
          <w:sz w:val="32"/>
          <w:szCs w:val="32"/>
          <w:lang w:val="en-US" w:eastAsia="zh-CN"/>
        </w:rPr>
        <w:t>㎡。地下室建筑面积为</w:t>
      </w:r>
      <w:r>
        <w:rPr>
          <w:rFonts w:hint="default" w:ascii="仿宋_GB2312" w:hAnsi="仿宋_GB2312" w:eastAsia="仿宋_GB2312" w:cs="仿宋_GB2312"/>
          <w:bCs/>
          <w:sz w:val="32"/>
          <w:szCs w:val="32"/>
          <w:lang w:val="en-US" w:eastAsia="zh-CN"/>
        </w:rPr>
        <w:t>143,573.61</w:t>
      </w:r>
      <w:r>
        <w:rPr>
          <w:rFonts w:hint="eastAsia" w:ascii="仿宋_GB2312" w:hAnsi="仿宋_GB2312" w:eastAsia="仿宋_GB2312" w:cs="仿宋_GB2312"/>
          <w:bCs/>
          <w:sz w:val="32"/>
          <w:szCs w:val="32"/>
          <w:lang w:val="en-US" w:eastAsia="zh-CN"/>
        </w:rPr>
        <w:t>㎡。拟建设住房1</w:t>
      </w:r>
      <w:r>
        <w:rPr>
          <w:rFonts w:hint="default" w:ascii="仿宋_GB2312" w:hAnsi="仿宋_GB2312" w:eastAsia="仿宋_GB2312" w:cs="仿宋_GB2312"/>
          <w:bCs/>
          <w:sz w:val="32"/>
          <w:szCs w:val="32"/>
          <w:lang w:val="en-US" w:eastAsia="zh-CN"/>
        </w:rPr>
        <w:t>,952</w:t>
      </w:r>
      <w:r>
        <w:rPr>
          <w:rFonts w:hint="eastAsia" w:ascii="仿宋_GB2312" w:hAnsi="仿宋_GB2312" w:eastAsia="仿宋_GB2312" w:cs="仿宋_GB2312"/>
          <w:bCs/>
          <w:sz w:val="32"/>
          <w:szCs w:val="32"/>
          <w:lang w:val="en-US" w:eastAsia="zh-CN"/>
        </w:rPr>
        <w:t>户（套），地下停车位3</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793个。该项目已取得施工许可，大部分建筑主体建设已完工，在建工程部分主要为住宅面积约9</w:t>
      </w:r>
      <w:r>
        <w:rPr>
          <w:rFonts w:hint="default" w:ascii="仿宋_GB2312" w:hAnsi="仿宋_GB2312" w:eastAsia="仿宋_GB2312" w:cs="仿宋_GB2312"/>
          <w:bCs/>
          <w:sz w:val="32"/>
          <w:szCs w:val="32"/>
          <w:lang w:val="en-US" w:eastAsia="zh-CN"/>
        </w:rPr>
        <w:t>5,558.00</w:t>
      </w:r>
      <w:r>
        <w:rPr>
          <w:rFonts w:hint="eastAsia" w:ascii="仿宋_GB2312" w:hAnsi="仿宋_GB2312" w:eastAsia="仿宋_GB2312" w:cs="仿宋_GB2312"/>
          <w:bCs/>
          <w:sz w:val="32"/>
          <w:szCs w:val="32"/>
          <w:lang w:val="en-US" w:eastAsia="zh-CN"/>
        </w:rPr>
        <w:t>㎡、商业面积22</w:t>
      </w:r>
      <w:r>
        <w:rPr>
          <w:rFonts w:hint="default" w:ascii="仿宋_GB2312" w:hAnsi="仿宋_GB2312" w:eastAsia="仿宋_GB2312" w:cs="仿宋_GB2312"/>
          <w:bCs/>
          <w:sz w:val="32"/>
          <w:szCs w:val="32"/>
          <w:lang w:val="en-US" w:eastAsia="zh-CN"/>
        </w:rPr>
        <w:t>,387.89</w:t>
      </w:r>
      <w:r>
        <w:rPr>
          <w:rFonts w:hint="eastAsia" w:ascii="仿宋_GB2312" w:hAnsi="仿宋_GB2312" w:eastAsia="仿宋_GB2312" w:cs="仿宋_GB2312"/>
          <w:bCs/>
          <w:sz w:val="32"/>
          <w:szCs w:val="32"/>
          <w:lang w:val="en-US" w:eastAsia="zh-CN"/>
        </w:rPr>
        <w:t>㎡。</w:t>
      </w:r>
    </w:p>
    <w:p w14:paraId="1075E386">
      <w:pPr>
        <w:pStyle w:val="11"/>
        <w:spacing w:before="159" w:beforeLines="50" w:after="159" w:afterLines="50" w:line="590" w:lineRule="exact"/>
        <w:ind w:firstLine="640" w:firstLineChars="200"/>
        <w:rPr>
          <w:rFonts w:hint="default"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三、中介机构工作内容</w:t>
      </w:r>
    </w:p>
    <w:p w14:paraId="6BF15B70">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（一）审计机构</w:t>
      </w:r>
    </w:p>
    <w:p w14:paraId="0C1E8BDA">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暂以毕节市七星关区人民法院决定对债务人进行预重整之日（2025年12月24日）为基准日，独立、公正地对债务人开展专项审计，出具专项审计报告初稿并配合临时管理人开展清查工作，并在人民法院正式受理重整后，以正式受理重整日为基准日更新各项工作成果，并出具正式报告。清查工作具体包括：</w:t>
      </w:r>
    </w:p>
    <w:p w14:paraId="78495B3E">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审计债务人账面及实有的全部资产情况（结合评估机构出具的评估价值制作完整的资产明细表，并根据临时管理人要求，将应收款、预付款进行说明，同时将合同、转账凭证、确认函、欠条、决算书、权属文件等相应底稿整理为独立文档移交临时管理人）；</w:t>
      </w:r>
    </w:p>
    <w:p w14:paraId="512747DA">
      <w:pPr>
        <w:pStyle w:val="11"/>
        <w:spacing w:before="159" w:beforeLines="50" w:after="159" w:afterLines="50" w:line="590" w:lineRule="exact"/>
        <w:ind w:firstLine="64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32"/>
          <w:szCs w:val="32"/>
          <w:lang w:val="en-US" w:eastAsia="zh-CN"/>
        </w:rPr>
        <w:t>2. 审计债务人账面及实有的全部负债情况（结合账面反映的负债情况及破产受理后申报的债权情况进行分析核实，制作债权明细表），并结合临时管理人的债权审查意见调整；</w:t>
      </w:r>
    </w:p>
    <w:p w14:paraId="6F02632A">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 审计债务人注册资本实收情况以及出资人权益情况；</w:t>
      </w:r>
    </w:p>
    <w:p w14:paraId="08DC4A0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 审计债务人的固定资产、对外股权投资、无形资产、所有者权益等资产构成及变动情况；</w:t>
      </w:r>
    </w:p>
    <w:p w14:paraId="1455A2DF">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 审计债务人职工工资欠付及社保费用缴纳的情况；</w:t>
      </w:r>
    </w:p>
    <w:p w14:paraId="696307F1">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 审计债务人的资金流向及与关联方之间的资金流向；</w:t>
      </w:r>
    </w:p>
    <w:p w14:paraId="40C8D0EA">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 充分披露债务人的职工情况，包括其董事、监事和高级管理人员是否利用职权从企业获取非正常收入和侵占企业财产等情况；</w:t>
      </w:r>
    </w:p>
    <w:p w14:paraId="1868200A">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 处理债务人破产程序中的财务会计相关事宜，包括但不限于资产的盘盈、盘亏及报废工作，及时、准确地整理账目、报表，提供债务人破产程序中涉及的财税咨询；</w:t>
      </w:r>
    </w:p>
    <w:p w14:paraId="5B1E7924">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 协助临时管理人进行债权审查，对债权申报人向管理人申报的每一笔债权根据临时管理人要求发表审计意见，配合临时管理人调查认定、计算职工债权；</w:t>
      </w:r>
    </w:p>
    <w:p w14:paraId="5B1132E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 xml:space="preserve">10. </w:t>
      </w:r>
      <w:r>
        <w:rPr>
          <w:rFonts w:hint="eastAsia" w:ascii="仿宋_GB2312" w:hAnsi="仿宋_GB2312" w:eastAsia="仿宋_GB2312" w:cs="仿宋_GB2312"/>
          <w:bCs/>
          <w:sz w:val="32"/>
          <w:szCs w:val="32"/>
          <w:lang w:val="en-US" w:eastAsia="zh-CN"/>
        </w:rPr>
        <w:t>协助临时管理人制作债务人破产清算情况下破产债权（包括有财产担保债权、购房债权、建设工程债权、职工债权、税款债权、普通债权等）的清偿率测算表；</w:t>
      </w:r>
    </w:p>
    <w:p w14:paraId="0039841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11. 协助临时管理人进行税务债权的审查和税务筹划；</w:t>
      </w:r>
    </w:p>
    <w:p w14:paraId="3ADEBF2A">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12. 根据临时管理人要求列席债权人会议并就有关专业问题接受询问；</w:t>
      </w:r>
    </w:p>
    <w:p w14:paraId="25C1AFA3">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13. 根据《中华人民共和国企业破产法》的相关规定，审计债务人在预重整前一年内处分其财产的可撤销、个别清偿以及无效行为；</w:t>
      </w:r>
    </w:p>
    <w:p w14:paraId="1B55EBD9">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14. 根据人民法院及临时管理人要求，针对审计问题作出专项说明，并配合临时管理人完成有关其他审计工作。</w:t>
      </w:r>
    </w:p>
    <w:p w14:paraId="176AFD69">
      <w:pPr>
        <w:pStyle w:val="11"/>
        <w:spacing w:before="159" w:beforeLines="50" w:after="159" w:afterLines="50" w:line="590" w:lineRule="exact"/>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审计机构具体服务内容以双方签订的委托合同为准。</w:t>
      </w:r>
    </w:p>
    <w:p w14:paraId="14F37377">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（二）评估机构</w:t>
      </w:r>
    </w:p>
    <w:p w14:paraId="4BB1EAE0">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组织对债务人现有财产的盘点工作，配合临时管理人对资产进行清查核实；</w:t>
      </w:r>
    </w:p>
    <w:p w14:paraId="04073659">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 暂以毕节市七星关区人民法院决定对债务人进行预重整之日（2025年12月24日）为基准日，对债务人的全部资产（包括但不限于不动产、在建工程、车辆、办公设备、固定资产、其他无形资产等）进行资产价值评估，出具资产市场价值及清算价值的评估报告初稿、偿债能力分析报告初稿，以及根据管理人要求对相关事项发表意见，并在人民法院正式受理重整后，以正式受理重整日为基准日更新各项工作成果，并出具正式报告；</w:t>
      </w:r>
    </w:p>
    <w:p w14:paraId="5DE5EB21">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 根据临时管理人要求列席债权人会议并就有关专业问题接受询问；</w:t>
      </w:r>
    </w:p>
    <w:p w14:paraId="221A9C39">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 提供人民法院或临时管理人提出的需要评估机构完成的其他专业服务。</w:t>
      </w:r>
    </w:p>
    <w:p w14:paraId="4BF73F65">
      <w:pPr>
        <w:pStyle w:val="11"/>
        <w:spacing w:before="159" w:beforeLines="50" w:after="159" w:afterLines="50" w:line="590" w:lineRule="exact"/>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评估机构具体服务内容以双方签订的委托合同为准。</w:t>
      </w:r>
    </w:p>
    <w:p w14:paraId="4054B784">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（三）工程造价机构</w:t>
      </w:r>
    </w:p>
    <w:p w14:paraId="7622A210">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开展凤凰城项目已完成部分的工程造价审计工作以及未完成部分的造价预算工作，并在重整受理后出具正式书面报告；</w:t>
      </w:r>
    </w:p>
    <w:p w14:paraId="662B057D">
      <w:pPr>
        <w:pStyle w:val="11"/>
        <w:spacing w:before="159" w:beforeLines="50" w:after="159" w:afterLines="50" w:line="590" w:lineRule="exact"/>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2. 配合临时管理人对已完工工程量、工程节点进行核定并出具相应工程清单、报告。</w:t>
      </w:r>
    </w:p>
    <w:p w14:paraId="204ACCC1">
      <w:pPr>
        <w:pStyle w:val="11"/>
        <w:spacing w:before="159" w:beforeLines="50" w:after="159" w:afterLines="50" w:line="59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四、基本要求及报价</w:t>
      </w:r>
    </w:p>
    <w:p w14:paraId="728939F6">
      <w:pPr>
        <w:pStyle w:val="11"/>
        <w:spacing w:before="159" w:beforeLines="50" w:after="159" w:afterLines="50" w:line="590" w:lineRule="exact"/>
        <w:ind w:firstLine="640" w:firstLineChars="200"/>
        <w:rPr>
          <w:rFonts w:hint="default"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（一）资质条件基本要求</w:t>
      </w:r>
    </w:p>
    <w:p w14:paraId="45561391">
      <w:pPr>
        <w:pStyle w:val="11"/>
        <w:spacing w:before="159" w:beforeLines="50" w:after="159" w:afterLines="50" w:line="590" w:lineRule="exact"/>
        <w:ind w:firstLine="640" w:firstLineChars="200"/>
        <w:rPr>
          <w:rFonts w:hint="eastAsia" w:ascii="Times New Roman Regular" w:hAnsi="Times New Roman Regular" w:eastAsia="仿宋_GB2312" w:cs="Times New Roman Regular"/>
          <w:bCs/>
          <w:sz w:val="32"/>
          <w:szCs w:val="32"/>
          <w:lang w:val="en-US" w:eastAsia="zh-CN"/>
        </w:rPr>
      </w:pPr>
      <w:r>
        <w:rPr>
          <w:rFonts w:hint="eastAsia" w:ascii="Times New Roman Regular" w:hAnsi="Times New Roman Regular" w:eastAsia="仿宋_GB2312" w:cs="Times New Roman Regular"/>
          <w:bCs/>
          <w:sz w:val="32"/>
          <w:szCs w:val="32"/>
          <w:lang w:val="en-US" w:eastAsia="zh-CN"/>
        </w:rPr>
        <w:t>1. 审计机构</w:t>
      </w:r>
    </w:p>
    <w:p w14:paraId="44AB081A">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（1）依法登记注册，</w:t>
      </w:r>
      <w:r>
        <w:rPr>
          <w:rFonts w:hint="default" w:ascii="仿宋_GB2312" w:hAnsi="仿宋_GB2312" w:eastAsia="仿宋_GB2312" w:cs="仿宋_GB2312"/>
          <w:bCs/>
          <w:sz w:val="32"/>
          <w:szCs w:val="32"/>
          <w:lang w:val="en-US" w:eastAsia="zh-CN"/>
        </w:rPr>
        <w:t>须具备</w:t>
      </w:r>
      <w:r>
        <w:rPr>
          <w:rFonts w:hint="eastAsia" w:ascii="仿宋_GB2312" w:hAnsi="仿宋_GB2312" w:eastAsia="仿宋_GB2312" w:cs="仿宋_GB2312"/>
          <w:bCs/>
          <w:sz w:val="32"/>
          <w:szCs w:val="32"/>
          <w:lang w:val="en-US" w:eastAsia="zh-CN"/>
        </w:rPr>
        <w:t>法定从业资质，注册会计师不少于6人，有房地产企业破产案件办理经验的优先考虑；</w:t>
      </w:r>
    </w:p>
    <w:p w14:paraId="47C86809">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（2）须按照临时管理人要求，指派服务团队在毕节市项目所在地常驻；</w:t>
      </w:r>
    </w:p>
    <w:p w14:paraId="215B5417">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（3）近三年内无违法违规行为、未受到行政机关、主管部门或行业自律组织的行政处罚或纪律处分，且未被信用中国纳入失信名单；</w:t>
      </w:r>
    </w:p>
    <w:p w14:paraId="3CAB31EF">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r>
        <w:rPr>
          <w:rFonts w:hint="default" w:ascii="仿宋_GB2312" w:hAnsi="仿宋_GB2312" w:eastAsia="仿宋_GB2312" w:cs="仿宋_GB2312"/>
          <w:bCs/>
          <w:sz w:val="32"/>
          <w:szCs w:val="32"/>
          <w:lang w:val="en-US" w:eastAsia="zh-CN"/>
        </w:rPr>
        <w:t>法律法规</w:t>
      </w:r>
      <w:r>
        <w:rPr>
          <w:rFonts w:hint="eastAsia" w:ascii="仿宋_GB2312" w:hAnsi="仿宋_GB2312" w:eastAsia="仿宋_GB2312" w:cs="仿宋_GB2312"/>
          <w:bCs/>
          <w:sz w:val="32"/>
          <w:szCs w:val="32"/>
          <w:lang w:val="en-US" w:eastAsia="zh-CN"/>
        </w:rPr>
        <w:t>规定的其他条件。</w:t>
      </w:r>
    </w:p>
    <w:p w14:paraId="22581D4A">
      <w:pPr>
        <w:pStyle w:val="11"/>
        <w:spacing w:before="159" w:beforeLines="50" w:after="159" w:afterLines="50" w:line="590" w:lineRule="exact"/>
        <w:ind w:firstLine="640" w:firstLineChars="200"/>
        <w:rPr>
          <w:rFonts w:hint="default" w:ascii="Times New Roman Regular" w:hAnsi="Times New Roman Regular" w:eastAsia="仿宋_GB2312" w:cs="Times New Roman Regular"/>
          <w:bCs/>
          <w:sz w:val="32"/>
          <w:szCs w:val="32"/>
          <w:lang w:val="en-US" w:eastAsia="zh-CN"/>
        </w:rPr>
      </w:pPr>
      <w:r>
        <w:rPr>
          <w:rFonts w:hint="eastAsia" w:ascii="Times New Roman Regular" w:hAnsi="Times New Roman Regular" w:eastAsia="仿宋_GB2312" w:cs="Times New Roman Regular"/>
          <w:bCs/>
          <w:sz w:val="32"/>
          <w:szCs w:val="32"/>
          <w:lang w:val="en-US" w:eastAsia="zh-CN"/>
        </w:rPr>
        <w:t>2. 评估机构</w:t>
      </w:r>
    </w:p>
    <w:p w14:paraId="7A4CCDE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（1）依法登记注册，具备资产评估从业资质，执业人数不少于3人，能满足工作质量和工作要求，有房地产企业破产案件办理经验的优先考虑；</w:t>
      </w:r>
    </w:p>
    <w:p w14:paraId="3BE55E2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（2）须按照临时管理人要求，指派服务团队在毕节市项目所在地常驻；</w:t>
      </w:r>
    </w:p>
    <w:p w14:paraId="0CBC804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（3）近三年内无违法违规行为、未受到行政机关、主管部门或行业自律组织的行政处罚或纪律处分，且未被信用中国纳入失信名单；</w:t>
      </w:r>
    </w:p>
    <w:p w14:paraId="7BD69329">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r>
        <w:rPr>
          <w:rFonts w:hint="default" w:ascii="仿宋_GB2312" w:hAnsi="仿宋_GB2312" w:eastAsia="仿宋_GB2312" w:cs="仿宋_GB2312"/>
          <w:bCs/>
          <w:sz w:val="32"/>
          <w:szCs w:val="32"/>
          <w:lang w:val="en-US" w:eastAsia="zh-CN"/>
        </w:rPr>
        <w:t>法律法规</w:t>
      </w:r>
      <w:r>
        <w:rPr>
          <w:rFonts w:hint="eastAsia" w:ascii="仿宋_GB2312" w:hAnsi="仿宋_GB2312" w:eastAsia="仿宋_GB2312" w:cs="仿宋_GB2312"/>
          <w:bCs/>
          <w:sz w:val="32"/>
          <w:szCs w:val="32"/>
          <w:lang w:val="en-US" w:eastAsia="zh-CN"/>
        </w:rPr>
        <w:t>规定的其他条件。</w:t>
      </w:r>
    </w:p>
    <w:p w14:paraId="11E8D860">
      <w:pPr>
        <w:pStyle w:val="11"/>
        <w:spacing w:before="159" w:beforeLines="50" w:after="159" w:afterLines="50" w:line="590" w:lineRule="exact"/>
        <w:ind w:firstLine="640" w:firstLineChars="200"/>
        <w:rPr>
          <w:rFonts w:hint="eastAsia" w:ascii="Times New Roman Regular" w:hAnsi="Times New Roman Regular" w:eastAsia="仿宋_GB2312" w:cs="Times New Roman Regular"/>
          <w:bCs/>
          <w:sz w:val="32"/>
          <w:szCs w:val="32"/>
          <w:lang w:val="en-US" w:eastAsia="zh-CN"/>
        </w:rPr>
      </w:pPr>
      <w:r>
        <w:rPr>
          <w:rFonts w:hint="eastAsia" w:ascii="Times New Roman Regular" w:hAnsi="Times New Roman Regular" w:eastAsia="仿宋_GB2312" w:cs="Times New Roman Regular"/>
          <w:bCs/>
          <w:sz w:val="32"/>
          <w:szCs w:val="32"/>
          <w:lang w:val="en-US" w:eastAsia="zh-CN"/>
        </w:rPr>
        <w:t>3. 工程造价机构</w:t>
      </w:r>
    </w:p>
    <w:p w14:paraId="7EA60DC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（1）依法登记注册，具有提供工程造价咨询工作所需的服务能力，具备一级土建造价工程师、一级安装造价工程师资质的执业人员人数合计不少于8名，有房地产企业破产案件办理经验的优先考虑；</w:t>
      </w:r>
    </w:p>
    <w:p w14:paraId="5B34EC24">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（2）须按照临时管理人要求，指派服务团队在毕节市项目所在地常驻；</w:t>
      </w:r>
    </w:p>
    <w:p w14:paraId="55B5102C">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（3）近三年内无违法违规行为、未受到行政机关、主管部门或行业自律组织的行政处罚或纪律处分，且未被信用中国纳入失信名单；</w:t>
      </w:r>
    </w:p>
    <w:p w14:paraId="4A19B6D6">
      <w:pPr>
        <w:pStyle w:val="11"/>
        <w:spacing w:before="159" w:beforeLines="50" w:after="159" w:afterLines="50" w:line="590" w:lineRule="exact"/>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（4）</w:t>
      </w:r>
      <w:r>
        <w:rPr>
          <w:rFonts w:hint="default" w:ascii="仿宋_GB2312" w:hAnsi="仿宋_GB2312" w:eastAsia="仿宋_GB2312" w:cs="仿宋_GB2312"/>
          <w:bCs/>
          <w:sz w:val="32"/>
          <w:szCs w:val="32"/>
          <w:lang w:val="en-US" w:eastAsia="zh-CN"/>
        </w:rPr>
        <w:t>法律法规</w:t>
      </w:r>
      <w:r>
        <w:rPr>
          <w:rFonts w:hint="eastAsia" w:ascii="仿宋_GB2312" w:hAnsi="仿宋_GB2312" w:eastAsia="仿宋_GB2312" w:cs="仿宋_GB2312"/>
          <w:bCs/>
          <w:sz w:val="32"/>
          <w:szCs w:val="32"/>
          <w:lang w:val="en-US" w:eastAsia="zh-CN"/>
        </w:rPr>
        <w:t>规定的其他条件。</w:t>
      </w:r>
    </w:p>
    <w:p w14:paraId="41767D8D">
      <w:pPr>
        <w:pStyle w:val="11"/>
        <w:spacing w:before="159" w:beforeLines="50" w:after="159" w:afterLines="50" w:line="590" w:lineRule="exact"/>
        <w:ind w:firstLine="640" w:firstLineChars="200"/>
        <w:rPr>
          <w:rFonts w:hint="default"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（二）工作时间基本要求</w:t>
      </w:r>
    </w:p>
    <w:p w14:paraId="2B485FCD">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中介机构一经临时管理人选定，须立即组织工作人员入驻企业开展工作；</w:t>
      </w:r>
    </w:p>
    <w:p w14:paraId="06A0FB55">
      <w:pPr>
        <w:pStyle w:val="11"/>
        <w:spacing w:before="159" w:beforeLines="50" w:after="159" w:afterLines="50" w:line="590" w:lineRule="exact"/>
        <w:ind w:firstLine="64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2. 中介机构工作应当在收到中选通知后30日内完成并提交工作成果初稿。如存在特殊情形的，经人民法院同意可适当延期。在人民法院裁定受理债务人重整后，中介机构应当以正式受理重整日期为基准日，在15个工作日内更新完成各项工作成果，并出具正式报告。</w:t>
      </w:r>
    </w:p>
    <w:p w14:paraId="6E24F1F6">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（三）竞选机构承诺和注意事项</w:t>
      </w:r>
    </w:p>
    <w:p w14:paraId="345F7EE8">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与临时管理人、债权人、债务人不存在利害关系，或者可能影响作出公正判断的关系；</w:t>
      </w:r>
    </w:p>
    <w:p w14:paraId="586D3F99">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 接受并满足临时管理人对项目完成的时间及质量要求；</w:t>
      </w:r>
    </w:p>
    <w:p w14:paraId="6157449C">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 根据临时管理人或人民法院的要求，对评估/审计/造价审计报告进行解释、更正和说明；</w:t>
      </w:r>
    </w:p>
    <w:p w14:paraId="52570F21">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 根据临时管理人的要求列席债权人会议，对人民法院、临时管理人、债权人提出的问题予以答复，不能现场答复的，应当在人民法院要求的期限内书面答复；</w:t>
      </w:r>
    </w:p>
    <w:p w14:paraId="338687C0">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 必要时，根据临时管理人的要求，针对专门问题出具相应意见或报告；</w:t>
      </w:r>
    </w:p>
    <w:p w14:paraId="19BD72CB">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 临时管理人与中介机构签订的委托合同价格为包干价格，除经与临时管理人协商一致外，中介机构在委托合同价格外不再另行收取费用；</w:t>
      </w:r>
    </w:p>
    <w:p w14:paraId="4AF7CC46">
      <w:pPr>
        <w:pStyle w:val="11"/>
        <w:spacing w:before="159" w:beforeLines="50" w:after="159" w:afterLines="50" w:line="590" w:lineRule="exact"/>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7. 中介机构需为临时管理人提供专业知识咨询。</w:t>
      </w:r>
    </w:p>
    <w:p w14:paraId="2B4A5391">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（四）报价、费用支付</w:t>
      </w:r>
    </w:p>
    <w:p w14:paraId="771EEF3B">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本次报价应当包含两段报价，第一段为假设预重整未能转入重整程序情形下的服务报价，第二段为假设预重整转入正式重整程序后出具正式工作成果的服务报价。</w:t>
      </w:r>
    </w:p>
    <w:p w14:paraId="7571587B">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 本次中介机构选聘工作不设最低、最高限价，由各竞选机构结合工作量、工作</w:t>
      </w:r>
      <w:r>
        <w:rPr>
          <w:rFonts w:hint="default" w:ascii="仿宋_GB2312" w:hAnsi="仿宋_GB2312" w:eastAsia="仿宋_GB2312" w:cs="仿宋_GB2312"/>
          <w:bCs/>
          <w:sz w:val="32"/>
          <w:szCs w:val="32"/>
          <w:lang w:val="en-US" w:eastAsia="zh-CN"/>
        </w:rPr>
        <w:t>要求</w:t>
      </w:r>
      <w:r>
        <w:rPr>
          <w:rFonts w:hint="eastAsia" w:ascii="仿宋_GB2312" w:hAnsi="仿宋_GB2312" w:eastAsia="仿宋_GB2312" w:cs="仿宋_GB2312"/>
          <w:bCs/>
          <w:sz w:val="32"/>
          <w:szCs w:val="32"/>
          <w:lang w:val="en-US" w:eastAsia="zh-CN"/>
        </w:rPr>
        <w:t>、市场标准等综合进行报价。本次报价为一次性包干价格，不设置二轮报价环节。报价必须明确具体金额，只提供计算方式的，属于未充分响应招募公告，按废标处理。</w:t>
      </w:r>
    </w:p>
    <w:p w14:paraId="63029C1B">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p>
    <w:p w14:paraId="3951D5A6">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p>
    <w:p w14:paraId="1DED13E6">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p>
    <w:p w14:paraId="11E12508">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（五）书面材料报名要求</w:t>
      </w:r>
    </w:p>
    <w:p w14:paraId="14A4E71F">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 提供中介机构营业执照或执业许可证复印件、法定代表人或负责人身份证明和身份证复印件、法定代表人身份证明书原件、授权委托书原件、受委托人身份证复印件；</w:t>
      </w:r>
    </w:p>
    <w:p w14:paraId="13BD9ABC">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 中介机构基本情况介绍(含主体资格证明材料，如有相关项目经验的，可进行说明)；</w:t>
      </w:r>
    </w:p>
    <w:p w14:paraId="42D44FD6">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中介机构出具未被人民法院列入失信被执行人名单、不属于失信惩戒对象以及近三年内无违法违规行为、未受到行政机关、主管部门或行业自律组织的行政处罚或纪律处分，且未被信用中国纳入失信名单的《承诺函》；</w:t>
      </w:r>
    </w:p>
    <w:p w14:paraId="66D4FB15">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 载明联系人、联系电话、电子邮箱、通信地址的法律文件送达地址确认书；</w:t>
      </w:r>
    </w:p>
    <w:p w14:paraId="7B72EA62">
      <w:pPr>
        <w:pStyle w:val="11"/>
        <w:spacing w:before="159" w:beforeLines="50" w:after="159" w:afterLines="50" w:line="59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 中介机构应当在报名时间届满前提交上述报名材料，报名材料均应加盖中介机构公章，并由其法定代表人或负责人签字。报名材料需制定目录和页码，本公告规定的资质条件相关证明材料应当作为报名材料附件，按顺序以A4纸打印装订成册并密封后通过现场或邮寄方式提交给临时管理人。</w:t>
      </w:r>
    </w:p>
    <w:p w14:paraId="1455BA64">
      <w:pPr>
        <w:pStyle w:val="11"/>
        <w:spacing w:before="159" w:beforeLines="50" w:after="159" w:afterLines="50" w:line="59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特别提示：</w:t>
      </w:r>
    </w:p>
    <w:p w14:paraId="6D4D10E4">
      <w:pPr>
        <w:pStyle w:val="11"/>
        <w:spacing w:before="159" w:beforeLines="50" w:after="159" w:afterLines="50" w:line="590" w:lineRule="exact"/>
        <w:ind w:firstLine="64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val="en-US" w:eastAsia="zh-CN"/>
        </w:rPr>
        <w:t>报名材料按顺序装订成册并密封。应提供一式三份，不足三份按不符合资格审查处理。</w:t>
      </w:r>
    </w:p>
    <w:p w14:paraId="69D05046">
      <w:pPr>
        <w:pStyle w:val="11"/>
        <w:spacing w:before="159" w:beforeLines="50" w:after="159" w:afterLines="50" w:line="59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五、机构的确定</w:t>
      </w:r>
    </w:p>
    <w:p w14:paraId="68B3B2AA">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评审小组采取综合评分方式选择本项目的审计、评估、工程造价机构，未被聘用的机构不再另行通知；</w:t>
      </w:r>
    </w:p>
    <w:p w14:paraId="39A246A6">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本次选聘报名材料需按书面报名材料要求准备；</w:t>
      </w:r>
    </w:p>
    <w:p w14:paraId="657974C3">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若仅有1家机构报名且满足本公告要求的，临时管理人有权根据其报名资料和项目情况决定是否确定该机构为中标人或另行招募；</w:t>
      </w:r>
    </w:p>
    <w:p w14:paraId="4E821632">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 特别提醒：竞选机构若以分支机构或分公司报名的，可使用母公司的审计、评估或工程造价资质，但机构情况、人员配置及执业经验以及业绩需以自身所有或所具备的为准，评审小组也将以此标准计算竞选机构得分；</w:t>
      </w:r>
    </w:p>
    <w:p w14:paraId="52FF053E">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 本次竞选不设现场答疑环节，由评审小组依据各竞选人提交的报名资料进行书面评选，评分第一名作为中标机构，第二名作为备选机构（如有），其余机构不再另行通知，被选定机构不得拒绝与临时管理人签订委托合同，工作期间若因中标机构原因导致临时管理人、人民法院决定更换服务机构的，备选机构不得拒绝委托；</w:t>
      </w:r>
    </w:p>
    <w:p w14:paraId="4CC45947">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 竞标文件一经提交，无论是否中选，临时管理人均不予退还。</w:t>
      </w:r>
    </w:p>
    <w:p w14:paraId="2A4143C1">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p>
    <w:p w14:paraId="2F64BCF1">
      <w:pPr>
        <w:pStyle w:val="11"/>
        <w:spacing w:before="159" w:beforeLines="50" w:after="159" w:afterLines="50" w:line="590" w:lineRule="exact"/>
        <w:ind w:firstLine="640" w:firstLineChars="200"/>
        <w:rPr>
          <w:rFonts w:hint="default" w:ascii="仿宋_GB2312" w:hAnsi="仿宋_GB2312" w:eastAsia="仿宋_GB2312" w:cs="仿宋_GB2312"/>
          <w:b w:val="0"/>
          <w:bCs/>
          <w:sz w:val="32"/>
          <w:szCs w:val="32"/>
          <w:lang w:val="en-US" w:eastAsia="zh-CN"/>
        </w:rPr>
      </w:pPr>
    </w:p>
    <w:p w14:paraId="74C67131">
      <w:pPr>
        <w:pStyle w:val="11"/>
        <w:spacing w:before="159" w:beforeLines="50" w:after="159" w:afterLines="50" w:line="59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六、报名时间及方式</w:t>
      </w:r>
    </w:p>
    <w:p w14:paraId="41C5F41B">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（一）报名时间</w:t>
      </w:r>
    </w:p>
    <w:p w14:paraId="4CDFD0FE">
      <w:pPr>
        <w:pStyle w:val="11"/>
        <w:spacing w:before="159" w:beforeLines="50" w:after="159" w:afterLines="50" w:line="590" w:lineRule="exact"/>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sz w:val="32"/>
          <w:szCs w:val="32"/>
          <w:lang w:val="en-US" w:eastAsia="zh-CN"/>
        </w:rPr>
        <w:t>请有意承接本案审计、评估、工程造价业务的中介机构，于2026年2月6日前按本公告要求将报名材料装订成册并密封后提交临时管理人，未按照本公告要求编制报名文件或提交文件份数的，属于未充分响应招募公告，按废标处理。</w:t>
      </w:r>
    </w:p>
    <w:p w14:paraId="6C58CDA3">
      <w:pPr>
        <w:pStyle w:val="11"/>
        <w:spacing w:before="159" w:beforeLines="50" w:after="159" w:afterLines="50" w:line="590" w:lineRule="exact"/>
        <w:ind w:firstLine="640" w:firstLineChars="200"/>
        <w:rPr>
          <w:rFonts w:hint="eastAsia" w:ascii="楷体" w:hAnsi="楷体" w:eastAsia="楷体" w:cs="Times New Roman"/>
          <w:bCs/>
          <w:sz w:val="32"/>
          <w:szCs w:val="32"/>
          <w:lang w:val="en-US" w:eastAsia="zh-CN"/>
        </w:rPr>
      </w:pPr>
      <w:r>
        <w:rPr>
          <w:rFonts w:hint="eastAsia" w:ascii="楷体" w:hAnsi="楷体" w:eastAsia="楷体" w:cs="Times New Roman"/>
          <w:bCs/>
          <w:sz w:val="32"/>
          <w:szCs w:val="32"/>
          <w:lang w:val="en-US" w:eastAsia="zh-CN"/>
        </w:rPr>
        <w:t>（二）提交方式</w:t>
      </w:r>
    </w:p>
    <w:p w14:paraId="2A52A71D">
      <w:pPr>
        <w:pStyle w:val="11"/>
        <w:spacing w:before="159" w:beforeLines="50" w:after="159" w:afterLines="50" w:line="590" w:lineRule="exact"/>
        <w:ind w:firstLine="64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sz w:val="32"/>
          <w:szCs w:val="32"/>
          <w:lang w:val="en-US" w:eastAsia="zh-CN"/>
        </w:rPr>
        <w:t>提交方式为邮寄提交，邮寄地址：【贵州省毕节市大方县归化街道办事处杨柳社区文翰路凤凰城营销中心1楼临时管理人办公室】，收件人：毕节市梧桐房地产开发有限公司临时管理人，联系电话：【倪康17586272364、16685071047、何敏18684104750】。</w:t>
      </w:r>
    </w:p>
    <w:p w14:paraId="38D478BD">
      <w:pPr>
        <w:pStyle w:val="11"/>
        <w:spacing w:before="159" w:beforeLines="50" w:after="159" w:afterLines="50" w:line="590" w:lineRule="exact"/>
        <w:ind w:firstLine="640" w:firstLineChars="200"/>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七、其他</w:t>
      </w:r>
    </w:p>
    <w:p w14:paraId="2F870BCB">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竞选机构收到临时管理人发出的《中选通知函》并进场开展工作后，无正当理由不得拖延开展工作或不履行合同，否则临时管理人有权取消竞选机构中标资格，不予支付费用，并有权要求该机构按中标金额赔偿违约金。</w:t>
      </w:r>
    </w:p>
    <w:p w14:paraId="523A07D8">
      <w:pPr>
        <w:pStyle w:val="11"/>
        <w:spacing w:before="159" w:beforeLines="50" w:after="159" w:afterLines="50" w:line="59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本公告的最终解释权归临时管理人所有。</w:t>
      </w:r>
    </w:p>
    <w:p w14:paraId="1C73B1FB">
      <w:pPr>
        <w:pStyle w:val="11"/>
        <w:spacing w:before="159" w:beforeLines="50" w:after="159" w:afterLines="50" w:line="590" w:lineRule="exact"/>
        <w:ind w:firstLine="640" w:firstLineChars="200"/>
        <w:rPr>
          <w:rFonts w:hint="default" w:ascii="仿宋_GB2312" w:hAnsi="仿宋_GB2312" w:eastAsia="仿宋_GB2312" w:cs="仿宋_GB2312"/>
          <w:b w:val="0"/>
          <w:bCs/>
          <w:sz w:val="32"/>
          <w:szCs w:val="32"/>
          <w:lang w:val="en-US" w:eastAsia="zh-CN"/>
        </w:rPr>
      </w:pPr>
    </w:p>
    <w:p w14:paraId="29199EE4">
      <w:pPr>
        <w:pStyle w:val="11"/>
        <w:spacing w:before="159" w:beforeLines="50" w:after="159" w:afterLines="50" w:line="590" w:lineRule="exact"/>
        <w:ind w:firstLine="640" w:firstLineChars="200"/>
        <w:jc w:val="right"/>
        <w:rPr>
          <w:rFonts w:ascii="仿宋" w:hAnsi="仿宋" w:eastAsia="仿宋"/>
          <w:sz w:val="32"/>
          <w:szCs w:val="32"/>
          <w:lang w:eastAsia="zh-CN"/>
        </w:rPr>
      </w:pPr>
      <w:r>
        <w:rPr>
          <w:rFonts w:hint="eastAsia" w:ascii="仿宋" w:hAnsi="仿宋" w:eastAsia="仿宋"/>
          <w:sz w:val="32"/>
          <w:szCs w:val="32"/>
        </w:rPr>
        <w:t>毕节</w:t>
      </w:r>
      <w:r>
        <w:rPr>
          <w:rFonts w:hint="eastAsia" w:ascii="仿宋" w:hAnsi="仿宋" w:eastAsia="仿宋"/>
          <w:sz w:val="32"/>
          <w:szCs w:val="32"/>
          <w:lang w:val="en-US" w:eastAsia="zh-CN"/>
        </w:rPr>
        <w:t>市</w:t>
      </w:r>
      <w:r>
        <w:rPr>
          <w:rFonts w:hint="eastAsia" w:ascii="仿宋" w:hAnsi="仿宋" w:eastAsia="仿宋"/>
          <w:sz w:val="32"/>
          <w:szCs w:val="32"/>
        </w:rPr>
        <w:t>梧桐房地产开发有限</w:t>
      </w:r>
      <w:r>
        <w:rPr>
          <w:rFonts w:hint="eastAsia" w:ascii="仿宋" w:hAnsi="仿宋" w:eastAsia="仿宋"/>
          <w:sz w:val="32"/>
          <w:szCs w:val="32"/>
          <w:lang w:eastAsia="zh-CN"/>
        </w:rPr>
        <w:t>公司管理人</w:t>
      </w:r>
    </w:p>
    <w:p w14:paraId="7BE90F34">
      <w:pPr>
        <w:wordWrap w:val="0"/>
        <w:autoSpaceDE w:val="0"/>
        <w:autoSpaceDN w:val="0"/>
        <w:spacing w:before="159" w:beforeLines="50" w:after="159" w:afterLines="50" w:line="590" w:lineRule="exact"/>
        <w:ind w:firstLine="640" w:firstLineChars="200"/>
        <w:jc w:val="right"/>
        <w:rPr>
          <w:rFonts w:hint="eastAsia" w:ascii="仿宋_GB2312" w:hAnsi="仿宋_GB2312" w:eastAsia="仿宋_GB2312" w:cs="仿宋_GB2312"/>
          <w:b/>
          <w:bCs/>
          <w:sz w:val="28"/>
          <w:szCs w:val="28"/>
          <w:lang w:val="en-US" w:eastAsia="zh-CN"/>
        </w:rPr>
      </w:pPr>
      <w:r>
        <w:rPr>
          <w:rFonts w:eastAsia="仿宋"/>
          <w:kern w:val="0"/>
          <w:sz w:val="32"/>
          <w:szCs w:val="32"/>
        </w:rPr>
        <w:t>20</w:t>
      </w:r>
      <w:r>
        <w:rPr>
          <w:rFonts w:hint="eastAsia" w:eastAsia="仿宋"/>
          <w:kern w:val="0"/>
          <w:sz w:val="32"/>
          <w:szCs w:val="32"/>
          <w:lang w:val="en-US" w:eastAsia="zh-CN"/>
        </w:rPr>
        <w:t>26</w:t>
      </w:r>
      <w:r>
        <w:rPr>
          <w:rFonts w:eastAsia="仿宋"/>
          <w:kern w:val="0"/>
          <w:sz w:val="32"/>
          <w:szCs w:val="32"/>
        </w:rPr>
        <w:t>年</w:t>
      </w:r>
      <w:r>
        <w:rPr>
          <w:rFonts w:hint="eastAsia" w:eastAsia="仿宋"/>
          <w:kern w:val="0"/>
          <w:sz w:val="32"/>
          <w:szCs w:val="32"/>
          <w:lang w:val="en-US" w:eastAsia="zh-CN"/>
        </w:rPr>
        <w:t>1</w:t>
      </w:r>
      <w:r>
        <w:rPr>
          <w:rFonts w:eastAsia="仿宋"/>
          <w:kern w:val="0"/>
          <w:sz w:val="32"/>
          <w:szCs w:val="32"/>
        </w:rPr>
        <w:t>月</w:t>
      </w:r>
      <w:r>
        <w:rPr>
          <w:rFonts w:hint="eastAsia" w:eastAsia="仿宋"/>
          <w:kern w:val="0"/>
          <w:sz w:val="32"/>
          <w:szCs w:val="32"/>
          <w:lang w:val="en-US" w:eastAsia="zh-CN"/>
        </w:rPr>
        <w:t>30</w:t>
      </w:r>
      <w:r>
        <w:rPr>
          <w:rFonts w:ascii="仿宋" w:hAnsi="仿宋" w:eastAsia="仿宋"/>
          <w:kern w:val="0"/>
          <w:sz w:val="32"/>
          <w:szCs w:val="32"/>
        </w:rPr>
        <w:t>日</w:t>
      </w:r>
      <w:r>
        <w:rPr>
          <w:rFonts w:hint="eastAsia" w:ascii="仿宋" w:hAnsi="仿宋" w:eastAsia="仿宋"/>
          <w:kern w:val="0"/>
          <w:sz w:val="32"/>
          <w:szCs w:val="32"/>
        </w:rPr>
        <w:t xml:space="preserve">  </w:t>
      </w:r>
    </w:p>
    <w:p w14:paraId="64D6C70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562" w:firstLineChars="200"/>
        <w:jc w:val="left"/>
        <w:textAlignment w:val="auto"/>
        <w:rPr>
          <w:rFonts w:hint="eastAsia" w:ascii="仿宋_GB2312" w:hAnsi="仿宋_GB2312" w:eastAsia="仿宋_GB2312" w:cs="仿宋_GB2312"/>
          <w:b/>
          <w:bCs/>
          <w:sz w:val="28"/>
          <w:szCs w:val="28"/>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26E5EFF1">
      <w:pPr>
        <w:pStyle w:val="11"/>
        <w:spacing w:before="159" w:beforeLines="50" w:after="159" w:afterLines="50" w:line="59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附件2:中介机构评分表</w:t>
      </w:r>
    </w:p>
    <w:tbl>
      <w:tblPr>
        <w:tblStyle w:val="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91"/>
        <w:gridCol w:w="5442"/>
        <w:gridCol w:w="3130"/>
        <w:gridCol w:w="2312"/>
      </w:tblGrid>
      <w:tr w14:paraId="00C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3972" w:type="dxa"/>
            <w:gridSpan w:val="5"/>
            <w:vAlign w:val="center"/>
          </w:tcPr>
          <w:p w14:paraId="413FB3C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中介机构评分表</w:t>
            </w:r>
          </w:p>
        </w:tc>
      </w:tr>
      <w:tr w14:paraId="14FA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4555EC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48" w:type="dxa"/>
            <w:vAlign w:val="center"/>
          </w:tcPr>
          <w:p w14:paraId="6498D70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5956" w:type="dxa"/>
            <w:vAlign w:val="center"/>
          </w:tcPr>
          <w:p w14:paraId="4E33851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评分标准</w:t>
            </w:r>
          </w:p>
        </w:tc>
        <w:tc>
          <w:tcPr>
            <w:tcW w:w="3435" w:type="dxa"/>
            <w:vAlign w:val="center"/>
          </w:tcPr>
          <w:p w14:paraId="4C6E6E4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分值</w:t>
            </w:r>
          </w:p>
        </w:tc>
        <w:tc>
          <w:tcPr>
            <w:tcW w:w="2496" w:type="dxa"/>
            <w:vAlign w:val="center"/>
          </w:tcPr>
          <w:p w14:paraId="7DE87A6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3480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32A2305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48" w:type="dxa"/>
            <w:vMerge w:val="restart"/>
            <w:vAlign w:val="center"/>
          </w:tcPr>
          <w:p w14:paraId="03E5304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机构资质</w:t>
            </w:r>
          </w:p>
        </w:tc>
        <w:tc>
          <w:tcPr>
            <w:tcW w:w="5956" w:type="dxa"/>
            <w:vAlign w:val="center"/>
          </w:tcPr>
          <w:p w14:paraId="0BCF5C8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中介机构应当依法设立，具备公告规定的资质</w:t>
            </w:r>
          </w:p>
        </w:tc>
        <w:tc>
          <w:tcPr>
            <w:tcW w:w="3435" w:type="dxa"/>
            <w:vAlign w:val="center"/>
          </w:tcPr>
          <w:p w14:paraId="33FA451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496" w:type="dxa"/>
            <w:vMerge w:val="restart"/>
            <w:vAlign w:val="center"/>
          </w:tcPr>
          <w:p w14:paraId="77ADB63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未满足该项任意一项标准的，不具备参与本次公开招募的资格，按照废标处理</w:t>
            </w:r>
          </w:p>
        </w:tc>
      </w:tr>
      <w:tr w14:paraId="4BD9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A0F958E">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48" w:type="dxa"/>
            <w:vMerge w:val="continue"/>
            <w:vAlign w:val="center"/>
          </w:tcPr>
          <w:p w14:paraId="398DD180">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c>
          <w:tcPr>
            <w:tcW w:w="5956" w:type="dxa"/>
            <w:vAlign w:val="center"/>
          </w:tcPr>
          <w:p w14:paraId="34C9FB4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中介机构须按照临时管理人要求，指派服务团队在毕节市项目所在地常驻</w:t>
            </w:r>
          </w:p>
        </w:tc>
        <w:tc>
          <w:tcPr>
            <w:tcW w:w="3435" w:type="dxa"/>
            <w:vAlign w:val="center"/>
          </w:tcPr>
          <w:p w14:paraId="0B83A59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496" w:type="dxa"/>
            <w:vMerge w:val="continue"/>
            <w:vAlign w:val="center"/>
          </w:tcPr>
          <w:p w14:paraId="75839F2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p>
        </w:tc>
      </w:tr>
      <w:tr w14:paraId="64E5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EC449A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248" w:type="dxa"/>
            <w:vMerge w:val="continue"/>
            <w:vAlign w:val="center"/>
          </w:tcPr>
          <w:p w14:paraId="74645F00">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49F975B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中介机构应当在近三年内无违法违规行为、未受到行政机关、主管部门或行业自律组织的行政处罚或纪律处分，且未被信用中国纳入失信名单</w:t>
            </w:r>
          </w:p>
        </w:tc>
        <w:tc>
          <w:tcPr>
            <w:tcW w:w="3435" w:type="dxa"/>
            <w:vAlign w:val="center"/>
          </w:tcPr>
          <w:p w14:paraId="362D893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496" w:type="dxa"/>
            <w:vMerge w:val="continue"/>
            <w:vAlign w:val="center"/>
          </w:tcPr>
          <w:p w14:paraId="7B45A97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7D8D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D3BD19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248" w:type="dxa"/>
            <w:vMerge w:val="restart"/>
            <w:vAlign w:val="center"/>
          </w:tcPr>
          <w:p w14:paraId="6EA52E7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机构规模</w:t>
            </w:r>
          </w:p>
          <w:p w14:paraId="3B34E27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（10分）</w:t>
            </w:r>
          </w:p>
        </w:tc>
        <w:tc>
          <w:tcPr>
            <w:tcW w:w="5956" w:type="dxa"/>
            <w:vAlign w:val="center"/>
          </w:tcPr>
          <w:p w14:paraId="4CF3AEA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中介机构成立/批准执业年限在三年以上（2分）</w:t>
            </w:r>
          </w:p>
        </w:tc>
        <w:tc>
          <w:tcPr>
            <w:tcW w:w="3435" w:type="dxa"/>
            <w:vAlign w:val="center"/>
          </w:tcPr>
          <w:p w14:paraId="3A26DC1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3307084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1120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16131B7F">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248" w:type="dxa"/>
            <w:vMerge w:val="continue"/>
            <w:vAlign w:val="center"/>
          </w:tcPr>
          <w:p w14:paraId="314A223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22C1FBD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中介机构人员数量超过20人</w:t>
            </w:r>
          </w:p>
          <w:p w14:paraId="55007E8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（6分）</w:t>
            </w:r>
          </w:p>
        </w:tc>
        <w:tc>
          <w:tcPr>
            <w:tcW w:w="3435" w:type="dxa"/>
            <w:vAlign w:val="center"/>
          </w:tcPr>
          <w:p w14:paraId="13B02CD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7695A37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243C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63F1377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248" w:type="dxa"/>
            <w:vMerge w:val="continue"/>
            <w:vAlign w:val="center"/>
          </w:tcPr>
          <w:p w14:paraId="41DBD1B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316E051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中介机构注册资本超过25万元（2分）</w:t>
            </w:r>
          </w:p>
        </w:tc>
        <w:tc>
          <w:tcPr>
            <w:tcW w:w="3435" w:type="dxa"/>
            <w:vAlign w:val="center"/>
          </w:tcPr>
          <w:p w14:paraId="2BE6E48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158AA84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2147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1A7F277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248" w:type="dxa"/>
            <w:vMerge w:val="restart"/>
            <w:vAlign w:val="center"/>
          </w:tcPr>
          <w:p w14:paraId="4EBF29B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专业经验</w:t>
            </w:r>
          </w:p>
          <w:p w14:paraId="14AB858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（35分）</w:t>
            </w:r>
          </w:p>
        </w:tc>
        <w:tc>
          <w:tcPr>
            <w:tcW w:w="5956" w:type="dxa"/>
            <w:vAlign w:val="center"/>
          </w:tcPr>
          <w:p w14:paraId="05EFB2F3">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中介机构具有3件以上企业破产案件办理经验的得3分，每增加1个破产案件办理经验得1分，最多不超过19分</w:t>
            </w:r>
          </w:p>
        </w:tc>
        <w:tc>
          <w:tcPr>
            <w:tcW w:w="3435" w:type="dxa"/>
            <w:vAlign w:val="center"/>
          </w:tcPr>
          <w:p w14:paraId="00D1980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7142FFD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01AC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F98FDC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248" w:type="dxa"/>
            <w:vMerge w:val="continue"/>
            <w:vAlign w:val="center"/>
          </w:tcPr>
          <w:p w14:paraId="5E1153F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3218157A">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拟指派现场负责人具有1件破产案件办理经验的得1分，每增加1个破产案件办理经验得1分，最多不超过8分</w:t>
            </w:r>
          </w:p>
        </w:tc>
        <w:tc>
          <w:tcPr>
            <w:tcW w:w="3435" w:type="dxa"/>
            <w:vAlign w:val="center"/>
          </w:tcPr>
          <w:p w14:paraId="6CD4086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715BB41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0968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0F77F31D">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248" w:type="dxa"/>
            <w:vMerge w:val="continue"/>
            <w:vAlign w:val="center"/>
          </w:tcPr>
          <w:p w14:paraId="3D3AAF36">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680EA59F">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拟指派的工作人员（负责人以外）具有1件破产案件办理经验的得1分，每增加1个破产案件办理经验得1分，最多不超过8分</w:t>
            </w:r>
          </w:p>
        </w:tc>
        <w:tc>
          <w:tcPr>
            <w:tcW w:w="3435" w:type="dxa"/>
            <w:vAlign w:val="center"/>
          </w:tcPr>
          <w:p w14:paraId="01F42BD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2B56D623">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1E49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1C94E2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248" w:type="dxa"/>
            <w:vMerge w:val="restart"/>
            <w:vAlign w:val="center"/>
          </w:tcPr>
          <w:p w14:paraId="650F654E">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工作计划</w:t>
            </w:r>
          </w:p>
          <w:p w14:paraId="3EB3292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（30分）</w:t>
            </w:r>
          </w:p>
        </w:tc>
        <w:tc>
          <w:tcPr>
            <w:tcW w:w="5956" w:type="dxa"/>
            <w:vAlign w:val="center"/>
          </w:tcPr>
          <w:p w14:paraId="65001D6E">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中介机构制定的工作计划合理可行，包含预重整阶段及重整阶段两段工作计划，以及对债务人及凤凰城项目情况的具体分析，最多可得15分</w:t>
            </w:r>
          </w:p>
        </w:tc>
        <w:tc>
          <w:tcPr>
            <w:tcW w:w="3435" w:type="dxa"/>
            <w:vAlign w:val="center"/>
          </w:tcPr>
          <w:p w14:paraId="4E5B0E96">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5060AF5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58C7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8B2178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248" w:type="dxa"/>
            <w:vMerge w:val="continue"/>
            <w:vAlign w:val="center"/>
          </w:tcPr>
          <w:p w14:paraId="0DE736E9">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3E57E5A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承诺在临时管理人规定的工作期限完成工作的得10分</w:t>
            </w:r>
          </w:p>
        </w:tc>
        <w:tc>
          <w:tcPr>
            <w:tcW w:w="3435" w:type="dxa"/>
            <w:vAlign w:val="center"/>
          </w:tcPr>
          <w:p w14:paraId="3786AFF0">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3FFE8EC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4659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D5E63F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248" w:type="dxa"/>
            <w:vMerge w:val="continue"/>
            <w:vAlign w:val="center"/>
          </w:tcPr>
          <w:p w14:paraId="31A0569A">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2A51FD4F">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承诺愿意配合临时管理人处理预重整/重整阶段有关工作，不另外收取任何费用的得5分</w:t>
            </w:r>
          </w:p>
        </w:tc>
        <w:tc>
          <w:tcPr>
            <w:tcW w:w="3435" w:type="dxa"/>
            <w:vAlign w:val="center"/>
          </w:tcPr>
          <w:p w14:paraId="2A31111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5B2BF2B2">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6872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CF341DF">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248" w:type="dxa"/>
            <w:vMerge w:val="restart"/>
            <w:vAlign w:val="center"/>
          </w:tcPr>
          <w:p w14:paraId="4BF5B2B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费用报价</w:t>
            </w:r>
          </w:p>
          <w:p w14:paraId="41A585F7">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（25分）</w:t>
            </w:r>
          </w:p>
        </w:tc>
        <w:tc>
          <w:tcPr>
            <w:tcW w:w="5956" w:type="dxa"/>
            <w:vAlign w:val="center"/>
          </w:tcPr>
          <w:p w14:paraId="4C319063">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预重整阶段费用报价（10分）：</w:t>
            </w:r>
            <w:r>
              <w:rPr>
                <w:rFonts w:hint="eastAsia" w:ascii="仿宋_GB2312" w:hAnsi="仿宋_GB2312" w:eastAsia="仿宋_GB2312" w:cs="仿宋_GB2312"/>
                <w:sz w:val="24"/>
              </w:rPr>
              <w:t>预重整阶段费用报价最低的中介机构得10分，第二低的得7分，第三低的得4分，第四低的得1分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第五及以后的中介机构本项得分为0分</w:t>
            </w:r>
            <w:r>
              <w:rPr>
                <w:rFonts w:hint="eastAsia" w:ascii="仿宋_GB2312" w:hAnsi="仿宋_GB2312" w:eastAsia="仿宋_GB2312" w:cs="仿宋_GB2312"/>
                <w:sz w:val="24"/>
                <w:szCs w:val="24"/>
                <w:vertAlign w:val="baseline"/>
                <w:lang w:val="en-US" w:eastAsia="zh-CN"/>
              </w:rPr>
              <w:t>。</w:t>
            </w:r>
          </w:p>
        </w:tc>
        <w:tc>
          <w:tcPr>
            <w:tcW w:w="3435" w:type="dxa"/>
            <w:vAlign w:val="center"/>
          </w:tcPr>
          <w:p w14:paraId="75A9F45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3470F1D0">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r w14:paraId="113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7" w:type="dxa"/>
            <w:vAlign w:val="center"/>
          </w:tcPr>
          <w:p w14:paraId="00B31DB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248" w:type="dxa"/>
            <w:vMerge w:val="continue"/>
            <w:vAlign w:val="center"/>
          </w:tcPr>
          <w:p w14:paraId="791AF1E8">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5956" w:type="dxa"/>
            <w:vAlign w:val="center"/>
          </w:tcPr>
          <w:p w14:paraId="3979552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重整阶段费用报价（15分）：</w:t>
            </w:r>
          </w:p>
          <w:p w14:paraId="7ACEE8F6">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（1）计算参加本次选聘所有中介机构重整阶段费用报价的算数平均值；</w:t>
            </w:r>
          </w:p>
          <w:p w14:paraId="1EB15D7C">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（2）按照各中介机构重整阶段费用报价与算术平均值接近程度，第一接近的得15分、第二接近的得12分、第三接近的得9分……依此类推，本项最低得0分。</w:t>
            </w:r>
          </w:p>
        </w:tc>
        <w:tc>
          <w:tcPr>
            <w:tcW w:w="3435" w:type="dxa"/>
            <w:vAlign w:val="center"/>
          </w:tcPr>
          <w:p w14:paraId="551F5625">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c>
          <w:tcPr>
            <w:tcW w:w="2496" w:type="dxa"/>
            <w:vAlign w:val="center"/>
          </w:tcPr>
          <w:p w14:paraId="5F6F7063">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vertAlign w:val="baseline"/>
                <w:lang w:val="en-US" w:eastAsia="zh-CN"/>
              </w:rPr>
            </w:pPr>
          </w:p>
        </w:tc>
      </w:tr>
    </w:tbl>
    <w:p w14:paraId="6F8DD44F">
      <w:pPr>
        <w:pStyle w:val="11"/>
        <w:spacing w:before="159" w:beforeLines="50" w:after="159" w:afterLines="50" w:line="590" w:lineRule="exact"/>
        <w:ind w:firstLine="640" w:firstLineChars="200"/>
        <w:rPr>
          <w:rFonts w:ascii="仿宋" w:hAnsi="仿宋" w:eastAsia="仿宋"/>
          <w:bCs/>
          <w:sz w:val="32"/>
          <w:szCs w:val="32"/>
          <w:lang w:eastAsia="zh-CN"/>
        </w:rPr>
      </w:pPr>
    </w:p>
    <w:sectPr>
      <w:headerReference r:id="rId6" w:type="default"/>
      <w:footerReference r:id="rId7" w:type="default"/>
      <w:pgSz w:w="16838" w:h="11905" w:orient="landscape"/>
      <w:pgMar w:top="1531" w:right="1928" w:bottom="1531" w:left="1928" w:header="851" w:footer="992" w:gutter="0"/>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E0E6">
    <w:pPr>
      <w:pStyle w:val="4"/>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54D6E">
                          <w:pPr>
                            <w:pStyle w:val="4"/>
                            <w:tabs>
                              <w:tab w:val="center" w:pos="4153"/>
                              <w:tab w:val="right"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154D6E">
                    <w:pPr>
                      <w:pStyle w:val="4"/>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auto"/>
      </w:rPr>
      <w:id w:val="496850017"/>
    </w:sdtPr>
    <w:sdtEndPr>
      <w:rPr>
        <w:color w:val="auto"/>
      </w:rPr>
    </w:sdtEndPr>
    <w:sdtContent>
      <w:p w14:paraId="11C4090A">
        <w:pPr>
          <w:pStyle w:val="4"/>
          <w:jc w:val="center"/>
          <w:rPr>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1</w:t>
        </w:r>
        <w:r>
          <w:rPr>
            <w:color w:val="auto"/>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BFD1">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3D"/>
    <w:rsid w:val="00002AFD"/>
    <w:rsid w:val="00002C38"/>
    <w:rsid w:val="00004CCA"/>
    <w:rsid w:val="00022E61"/>
    <w:rsid w:val="00023736"/>
    <w:rsid w:val="00025373"/>
    <w:rsid w:val="00033BAB"/>
    <w:rsid w:val="00036823"/>
    <w:rsid w:val="00074208"/>
    <w:rsid w:val="00074965"/>
    <w:rsid w:val="0008460D"/>
    <w:rsid w:val="000931F1"/>
    <w:rsid w:val="00093470"/>
    <w:rsid w:val="000B7095"/>
    <w:rsid w:val="000C15CA"/>
    <w:rsid w:val="000C6594"/>
    <w:rsid w:val="000D5FB2"/>
    <w:rsid w:val="000F49EC"/>
    <w:rsid w:val="00103D53"/>
    <w:rsid w:val="001172CD"/>
    <w:rsid w:val="0012588F"/>
    <w:rsid w:val="001640D3"/>
    <w:rsid w:val="001650A9"/>
    <w:rsid w:val="00180647"/>
    <w:rsid w:val="001A59E1"/>
    <w:rsid w:val="001A7058"/>
    <w:rsid w:val="001C123B"/>
    <w:rsid w:val="001C6806"/>
    <w:rsid w:val="001D3C00"/>
    <w:rsid w:val="001D4CBA"/>
    <w:rsid w:val="002108C7"/>
    <w:rsid w:val="00223314"/>
    <w:rsid w:val="0023527B"/>
    <w:rsid w:val="0024501D"/>
    <w:rsid w:val="00264BE0"/>
    <w:rsid w:val="0026525C"/>
    <w:rsid w:val="00296C52"/>
    <w:rsid w:val="002D69DA"/>
    <w:rsid w:val="002E069D"/>
    <w:rsid w:val="002F47B9"/>
    <w:rsid w:val="00301E1C"/>
    <w:rsid w:val="00307FA1"/>
    <w:rsid w:val="00315ECD"/>
    <w:rsid w:val="00344E80"/>
    <w:rsid w:val="00390022"/>
    <w:rsid w:val="003916EE"/>
    <w:rsid w:val="003A1C4E"/>
    <w:rsid w:val="003C0BC5"/>
    <w:rsid w:val="003C29DC"/>
    <w:rsid w:val="003C5460"/>
    <w:rsid w:val="00400331"/>
    <w:rsid w:val="00406C08"/>
    <w:rsid w:val="004255BB"/>
    <w:rsid w:val="00435E76"/>
    <w:rsid w:val="004526CE"/>
    <w:rsid w:val="004651AE"/>
    <w:rsid w:val="00480AF9"/>
    <w:rsid w:val="004A7B02"/>
    <w:rsid w:val="004B1CE0"/>
    <w:rsid w:val="004B7D8B"/>
    <w:rsid w:val="004D6E63"/>
    <w:rsid w:val="004F2EF7"/>
    <w:rsid w:val="004F3D3A"/>
    <w:rsid w:val="0050203E"/>
    <w:rsid w:val="00542DBC"/>
    <w:rsid w:val="005442B2"/>
    <w:rsid w:val="00551F20"/>
    <w:rsid w:val="005562CE"/>
    <w:rsid w:val="00567D9D"/>
    <w:rsid w:val="00571920"/>
    <w:rsid w:val="005B33F4"/>
    <w:rsid w:val="005C2349"/>
    <w:rsid w:val="005E7F60"/>
    <w:rsid w:val="005F66CA"/>
    <w:rsid w:val="00607A0B"/>
    <w:rsid w:val="00621F67"/>
    <w:rsid w:val="0063384C"/>
    <w:rsid w:val="006408DA"/>
    <w:rsid w:val="0064394C"/>
    <w:rsid w:val="006563BB"/>
    <w:rsid w:val="00662EFD"/>
    <w:rsid w:val="00692317"/>
    <w:rsid w:val="006A1963"/>
    <w:rsid w:val="006A32BC"/>
    <w:rsid w:val="006C3097"/>
    <w:rsid w:val="006E35A6"/>
    <w:rsid w:val="00705A6D"/>
    <w:rsid w:val="0072559E"/>
    <w:rsid w:val="00756986"/>
    <w:rsid w:val="00763D76"/>
    <w:rsid w:val="007951AA"/>
    <w:rsid w:val="007A167C"/>
    <w:rsid w:val="007F2DD2"/>
    <w:rsid w:val="00822CE7"/>
    <w:rsid w:val="008335DE"/>
    <w:rsid w:val="00856DB4"/>
    <w:rsid w:val="00877658"/>
    <w:rsid w:val="00885B27"/>
    <w:rsid w:val="008944CE"/>
    <w:rsid w:val="008A0E95"/>
    <w:rsid w:val="008A7088"/>
    <w:rsid w:val="008B0B2B"/>
    <w:rsid w:val="008C6F9A"/>
    <w:rsid w:val="008C79AB"/>
    <w:rsid w:val="00907732"/>
    <w:rsid w:val="00937922"/>
    <w:rsid w:val="0094797D"/>
    <w:rsid w:val="009A653C"/>
    <w:rsid w:val="00A03608"/>
    <w:rsid w:val="00A120CD"/>
    <w:rsid w:val="00A31C27"/>
    <w:rsid w:val="00A754A1"/>
    <w:rsid w:val="00AA56A9"/>
    <w:rsid w:val="00B01DC0"/>
    <w:rsid w:val="00B036F8"/>
    <w:rsid w:val="00B208FB"/>
    <w:rsid w:val="00B24E3D"/>
    <w:rsid w:val="00BD2BA0"/>
    <w:rsid w:val="00BE46CF"/>
    <w:rsid w:val="00BF4774"/>
    <w:rsid w:val="00C0645B"/>
    <w:rsid w:val="00C30A31"/>
    <w:rsid w:val="00C335D4"/>
    <w:rsid w:val="00C34F61"/>
    <w:rsid w:val="00C423DE"/>
    <w:rsid w:val="00C84B48"/>
    <w:rsid w:val="00C92FBC"/>
    <w:rsid w:val="00CF4D84"/>
    <w:rsid w:val="00D2637F"/>
    <w:rsid w:val="00D514E1"/>
    <w:rsid w:val="00D955A0"/>
    <w:rsid w:val="00D95DEF"/>
    <w:rsid w:val="00DB564F"/>
    <w:rsid w:val="00DE3984"/>
    <w:rsid w:val="00DF1DD6"/>
    <w:rsid w:val="00E01C43"/>
    <w:rsid w:val="00E03465"/>
    <w:rsid w:val="00E1006A"/>
    <w:rsid w:val="00E201AB"/>
    <w:rsid w:val="00E259D6"/>
    <w:rsid w:val="00E33EAC"/>
    <w:rsid w:val="00E41F32"/>
    <w:rsid w:val="00E43B44"/>
    <w:rsid w:val="00E72968"/>
    <w:rsid w:val="00E74475"/>
    <w:rsid w:val="00E74909"/>
    <w:rsid w:val="00EA60F4"/>
    <w:rsid w:val="00EC46D5"/>
    <w:rsid w:val="00EF67DF"/>
    <w:rsid w:val="00F44501"/>
    <w:rsid w:val="00F45AA7"/>
    <w:rsid w:val="00F56CB3"/>
    <w:rsid w:val="00F6609F"/>
    <w:rsid w:val="00F93011"/>
    <w:rsid w:val="00F93A6C"/>
    <w:rsid w:val="00FA684E"/>
    <w:rsid w:val="00FD7035"/>
    <w:rsid w:val="00FE05AB"/>
    <w:rsid w:val="00FE09E3"/>
    <w:rsid w:val="00FE1447"/>
    <w:rsid w:val="04FB212E"/>
    <w:rsid w:val="06E308DE"/>
    <w:rsid w:val="0BBA7DDC"/>
    <w:rsid w:val="27F356C9"/>
    <w:rsid w:val="297F01FD"/>
    <w:rsid w:val="2AE2536F"/>
    <w:rsid w:val="2CE657FC"/>
    <w:rsid w:val="37DF4F51"/>
    <w:rsid w:val="3DCA4AF6"/>
    <w:rsid w:val="3FAC2B06"/>
    <w:rsid w:val="423FD1C6"/>
    <w:rsid w:val="48070DE9"/>
    <w:rsid w:val="4D96609A"/>
    <w:rsid w:val="53B51901"/>
    <w:rsid w:val="59926DC7"/>
    <w:rsid w:val="61C56116"/>
    <w:rsid w:val="6CBF8705"/>
    <w:rsid w:val="7AEFE216"/>
    <w:rsid w:val="7BF7CB31"/>
    <w:rsid w:val="7C7E46D6"/>
    <w:rsid w:val="7DFF300E"/>
    <w:rsid w:val="7EE06F82"/>
    <w:rsid w:val="7F065FF1"/>
    <w:rsid w:val="7FF36C68"/>
    <w:rsid w:val="815E1EDE"/>
    <w:rsid w:val="971D6C33"/>
    <w:rsid w:val="AFD9C9C8"/>
    <w:rsid w:val="BFFFDAEF"/>
    <w:rsid w:val="CDEBDD6F"/>
    <w:rsid w:val="D8FA3D8F"/>
    <w:rsid w:val="F6FC9F7D"/>
    <w:rsid w:val="F7DB4E42"/>
    <w:rsid w:val="FEEF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4"/>
    <w:unhideWhenUsed/>
    <w:qFormat/>
    <w:uiPriority w:val="99"/>
    <w:pPr>
      <w:spacing w:line="240" w:lineRule="auto"/>
    </w:pPr>
    <w:rPr>
      <w:rFonts w:ascii="宋体" w:eastAsia="宋体"/>
      <w:sz w:val="18"/>
      <w:szCs w:val="18"/>
    </w:rPr>
  </w:style>
  <w:style w:type="paragraph" w:styleId="4">
    <w:name w:val="footer"/>
    <w:basedOn w:val="1"/>
    <w:link w:val="12"/>
    <w:qFormat/>
    <w:uiPriority w:val="99"/>
    <w:pPr>
      <w:snapToGrid w:val="0"/>
    </w:pPr>
    <w:rPr>
      <w:color w:val="999999"/>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7"/>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K&amp;W Body text"/>
    <w:basedOn w:val="1"/>
    <w:qFormat/>
    <w:uiPriority w:val="0"/>
    <w:pPr>
      <w:widowControl/>
      <w:adjustRightInd/>
      <w:spacing w:after="280" w:line="240" w:lineRule="atLeast"/>
      <w:textAlignment w:val="auto"/>
    </w:pPr>
    <w:rPr>
      <w:rFonts w:ascii="Arial" w:hAnsi="Arial" w:eastAsia="楷体_GB2312"/>
      <w:kern w:val="0"/>
      <w:sz w:val="20"/>
      <w:szCs w:val="20"/>
      <w:lang w:eastAsia="en-US"/>
    </w:rPr>
  </w:style>
  <w:style w:type="character" w:customStyle="1" w:styleId="12">
    <w:name w:val="页脚 字符"/>
    <w:basedOn w:val="9"/>
    <w:link w:val="4"/>
    <w:qFormat/>
    <w:uiPriority w:val="99"/>
    <w:rPr>
      <w:rFonts w:eastAsia="Times New Roman" w:cs="Times New Roman"/>
      <w:color w:val="999999"/>
      <w:sz w:val="18"/>
      <w:szCs w:val="18"/>
      <w:u w:val="none"/>
    </w:rPr>
  </w:style>
  <w:style w:type="paragraph" w:customStyle="1" w:styleId="13">
    <w:name w:val="修订1"/>
    <w:hidden/>
    <w:semiHidden/>
    <w:qFormat/>
    <w:uiPriority w:val="99"/>
    <w:rPr>
      <w:rFonts w:ascii="Times New Roman" w:hAnsi="Times New Roman" w:eastAsia="Times New Roman" w:cs="Times New Roman"/>
      <w:kern w:val="2"/>
      <w:sz w:val="21"/>
      <w:szCs w:val="22"/>
      <w:lang w:val="en-US" w:eastAsia="zh-CN" w:bidi="ar-SA"/>
    </w:rPr>
  </w:style>
  <w:style w:type="character" w:customStyle="1" w:styleId="14">
    <w:name w:val="批注框文本 字符"/>
    <w:basedOn w:val="9"/>
    <w:link w:val="3"/>
    <w:semiHidden/>
    <w:qFormat/>
    <w:uiPriority w:val="99"/>
    <w:rPr>
      <w:rFonts w:ascii="宋体"/>
      <w:kern w:val="2"/>
      <w:sz w:val="18"/>
      <w:szCs w:val="18"/>
    </w:rPr>
  </w:style>
  <w:style w:type="character" w:customStyle="1" w:styleId="15">
    <w:name w:val="页眉 字符"/>
    <w:basedOn w:val="9"/>
    <w:link w:val="5"/>
    <w:qFormat/>
    <w:uiPriority w:val="99"/>
    <w:rPr>
      <w:rFonts w:eastAsia="Times New Roman"/>
      <w:kern w:val="2"/>
      <w:sz w:val="18"/>
      <w:szCs w:val="18"/>
    </w:rPr>
  </w:style>
  <w:style w:type="character" w:customStyle="1" w:styleId="16">
    <w:name w:val="批注文字 字符"/>
    <w:basedOn w:val="9"/>
    <w:link w:val="2"/>
    <w:semiHidden/>
    <w:qFormat/>
    <w:uiPriority w:val="99"/>
    <w:rPr>
      <w:rFonts w:ascii="Times New Roman" w:hAnsi="Times New Roman" w:eastAsia="Times New Roman" w:cs="Times New Roman"/>
      <w:kern w:val="2"/>
      <w:sz w:val="21"/>
      <w:szCs w:val="22"/>
    </w:rPr>
  </w:style>
  <w:style w:type="character" w:customStyle="1" w:styleId="17">
    <w:name w:val="批注主题 字符"/>
    <w:basedOn w:val="16"/>
    <w:link w:val="6"/>
    <w:semiHidden/>
    <w:qFormat/>
    <w:uiPriority w:val="99"/>
    <w:rPr>
      <w:rFonts w:ascii="Times New Roman" w:hAnsi="Times New Roman" w:eastAsia="Times New Roman" w:cs="Times New Roman"/>
      <w:b/>
      <w:bCs/>
      <w:kern w:val="2"/>
      <w:sz w:val="21"/>
      <w:szCs w:val="22"/>
    </w:rPr>
  </w:style>
  <w:style w:type="paragraph" w:customStyle="1" w:styleId="18">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DengXian Light"/>
        <a:ea typeface=""/>
        <a:cs typeface=""/>
        <a:font script="Jpan" typeface="メイリオ"/>
        <a:font script="Hang" typeface="맑은 고딕"/>
        <a:font script="Hans" typeface="DengXian Light"/>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DengXian"/>
        <a:ea typeface=""/>
        <a:cs typeface=""/>
        <a:font script="Jpan" typeface="メイリオ"/>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15</Pages>
  <Words>1706</Words>
  <Characters>1768</Characters>
  <Lines>3</Lines>
  <Paragraphs>1</Paragraphs>
  <TotalTime>20</TotalTime>
  <ScaleCrop>false</ScaleCrop>
  <LinksUpToDate>false</LinksUpToDate>
  <CharactersWithSpaces>1796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2022-04-06T17:46:00Z</dcterms:created>
  <dc:creator>Bao,Shuting</dc:creator>
  <cp:lastModifiedBy>法客</cp:lastModifiedBy>
  <dcterms:modified xsi:type="dcterms:W3CDTF">2026-01-30T06:20:59Z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eyJoZGlkIjoiZmQ3MjBjYTg1MDlkOWI5OGZhMTNmOTAxNTAyMDc0MmIiLCJ1c2VySWQiOiIzMDczMzQ2MjMifQ==</vt:lpwstr>
  </property>
  <property fmtid="{D5CDD505-2E9C-101B-9397-08002B2CF9AE}" pid="4" name="ICV">
    <vt:lpwstr>FEC27418E3DC1C8C790B7B698E8AB62B_43</vt:lpwstr>
  </property>
</Properties>
</file>