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4B6023C">
      <w:pPr>
        <w:spacing w:line="360" w:lineRule="auto"/>
        <w:jc w:val="center"/>
        <w:rPr>
          <w:rFonts w:asciiTheme="minorEastAsia" w:hAnsiTheme="minorEastAsia"/>
          <w:b/>
          <w:sz w:val="36"/>
          <w:szCs w:val="36"/>
        </w:rPr>
      </w:pPr>
      <w:bookmarkStart w:id="2" w:name="_GoBack"/>
      <w:r>
        <w:rPr>
          <w:rFonts w:hint="eastAsia" w:asciiTheme="minorEastAsia" w:hAnsiTheme="minorEastAsia"/>
          <w:b/>
          <w:sz w:val="36"/>
          <w:szCs w:val="36"/>
        </w:rPr>
        <w:t>关于北京东方汇通教育科技有限公司对翼德（银川）科技有限公司等3个主体持有的应收账款303,047.00元的竞买公告</w:t>
      </w:r>
    </w:p>
    <w:p w14:paraId="55807B75">
      <w:pPr>
        <w:spacing w:line="360" w:lineRule="auto"/>
        <w:jc w:val="center"/>
        <w:rPr>
          <w:rFonts w:asciiTheme="minorEastAsia" w:hAnsiTheme="minorEastAsia"/>
          <w:sz w:val="24"/>
          <w:szCs w:val="24"/>
        </w:rPr>
      </w:pPr>
    </w:p>
    <w:p w14:paraId="3D0D122B">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北京东方汇通教育科技有限公司（以下简称“东方汇通”）管理人将于</w:t>
      </w:r>
      <w:r>
        <w:rPr>
          <w:rFonts w:asciiTheme="minorEastAsia" w:hAnsiTheme="minorEastAsia"/>
          <w:sz w:val="24"/>
          <w:szCs w:val="24"/>
        </w:rPr>
        <w:t>20</w:t>
      </w:r>
      <w:r>
        <w:rPr>
          <w:rFonts w:hint="eastAsia" w:asciiTheme="minorEastAsia" w:hAnsiTheme="minorEastAsia"/>
          <w:sz w:val="24"/>
          <w:szCs w:val="24"/>
        </w:rPr>
        <w:t>26</w:t>
      </w:r>
      <w:r>
        <w:rPr>
          <w:rFonts w:asciiTheme="minorEastAsia" w:hAnsiTheme="minorEastAsia"/>
          <w:sz w:val="24"/>
          <w:szCs w:val="24"/>
        </w:rPr>
        <w:t>年</w:t>
      </w:r>
      <w:r>
        <w:rPr>
          <w:rFonts w:hint="eastAsia" w:asciiTheme="minorEastAsia" w:hAnsiTheme="minorEastAsia"/>
          <w:sz w:val="24"/>
          <w:szCs w:val="24"/>
        </w:rPr>
        <w:t>1月2</w:t>
      </w:r>
      <w:r>
        <w:rPr>
          <w:rFonts w:hint="eastAsia" w:asciiTheme="minorEastAsia" w:hAnsiTheme="minorEastAsia"/>
          <w:sz w:val="24"/>
          <w:szCs w:val="24"/>
          <w:lang w:val="en-US" w:eastAsia="zh-CN"/>
        </w:rPr>
        <w:t>5</w:t>
      </w:r>
      <w:r>
        <w:rPr>
          <w:rFonts w:hint="eastAsia" w:asciiTheme="minorEastAsia" w:hAnsiTheme="minorEastAsia"/>
          <w:sz w:val="24"/>
          <w:szCs w:val="24"/>
        </w:rPr>
        <w:t>日</w:t>
      </w:r>
      <w:r>
        <w:rPr>
          <w:rFonts w:asciiTheme="minorEastAsia" w:hAnsiTheme="minorEastAsia"/>
          <w:sz w:val="24"/>
          <w:szCs w:val="24"/>
        </w:rPr>
        <w:t>10时至20</w:t>
      </w:r>
      <w:r>
        <w:rPr>
          <w:rFonts w:hint="eastAsia" w:asciiTheme="minorEastAsia" w:hAnsiTheme="minorEastAsia"/>
          <w:sz w:val="24"/>
          <w:szCs w:val="24"/>
        </w:rPr>
        <w:t>26</w:t>
      </w:r>
      <w:r>
        <w:rPr>
          <w:rFonts w:asciiTheme="minorEastAsia" w:hAnsiTheme="minorEastAsia"/>
          <w:sz w:val="24"/>
          <w:szCs w:val="24"/>
        </w:rPr>
        <w:t>年</w:t>
      </w:r>
      <w:r>
        <w:rPr>
          <w:rFonts w:hint="eastAsia" w:asciiTheme="minorEastAsia" w:hAnsiTheme="minorEastAsia"/>
          <w:sz w:val="24"/>
          <w:szCs w:val="24"/>
        </w:rPr>
        <w:t>1月2</w:t>
      </w:r>
      <w:r>
        <w:rPr>
          <w:rFonts w:hint="eastAsia" w:asciiTheme="minorEastAsia" w:hAnsiTheme="minorEastAsia"/>
          <w:sz w:val="24"/>
          <w:szCs w:val="24"/>
          <w:lang w:val="en-US" w:eastAsia="zh-CN"/>
        </w:rPr>
        <w:t>6</w:t>
      </w:r>
      <w:r>
        <w:rPr>
          <w:rFonts w:hint="eastAsia" w:asciiTheme="minorEastAsia" w:hAnsiTheme="minorEastAsia"/>
          <w:sz w:val="24"/>
          <w:szCs w:val="24"/>
        </w:rPr>
        <w:t>日</w:t>
      </w:r>
      <w:r>
        <w:rPr>
          <w:rFonts w:asciiTheme="minorEastAsia" w:hAnsiTheme="minorEastAsia"/>
          <w:sz w:val="24"/>
          <w:szCs w:val="24"/>
        </w:rPr>
        <w:t>10时</w:t>
      </w:r>
      <w:r>
        <w:rPr>
          <w:rFonts w:hint="eastAsia" w:asciiTheme="minorEastAsia" w:hAnsiTheme="minorEastAsia"/>
          <w:sz w:val="24"/>
          <w:szCs w:val="24"/>
        </w:rPr>
        <w:t>止（延时的除外）在阿里资产·破产网络平台上（网址：</w:t>
      </w:r>
      <w:r>
        <w:t xml:space="preserve"> </w:t>
      </w:r>
      <w:r>
        <w:rPr>
          <w:rFonts w:asciiTheme="minorEastAsia" w:hAnsiTheme="minorEastAsia"/>
          <w:sz w:val="24"/>
          <w:szCs w:val="24"/>
        </w:rPr>
        <w:t>https://susong.taobao.com/</w:t>
      </w:r>
      <w:r>
        <w:rPr>
          <w:rFonts w:hint="eastAsia" w:asciiTheme="minorEastAsia" w:hAnsiTheme="minorEastAsia"/>
          <w:sz w:val="24"/>
          <w:szCs w:val="24"/>
        </w:rPr>
        <w:t>）进行公开拍卖活动，现公告如下：</w:t>
      </w:r>
    </w:p>
    <w:p w14:paraId="70799B66">
      <w:pPr>
        <w:spacing w:line="360" w:lineRule="auto"/>
        <w:ind w:firstLine="482" w:firstLineChars="200"/>
        <w:rPr>
          <w:rFonts w:asciiTheme="minorEastAsia" w:hAnsiTheme="minorEastAsia"/>
          <w:b/>
          <w:bCs/>
          <w:color w:val="EE0000"/>
          <w:sz w:val="24"/>
          <w:szCs w:val="24"/>
        </w:rPr>
      </w:pPr>
      <w:r>
        <w:rPr>
          <w:rFonts w:hint="eastAsia" w:asciiTheme="minorEastAsia" w:hAnsiTheme="minorEastAsia"/>
          <w:b/>
          <w:bCs/>
          <w:color w:val="EE0000"/>
          <w:sz w:val="24"/>
          <w:szCs w:val="24"/>
        </w:rPr>
        <w:t>特别说明（请竞买人重点关注）：</w:t>
      </w:r>
    </w:p>
    <w:p w14:paraId="044B95A3">
      <w:pPr>
        <w:spacing w:line="360" w:lineRule="auto"/>
        <w:ind w:firstLine="482" w:firstLineChars="200"/>
        <w:rPr>
          <w:rFonts w:asciiTheme="minorEastAsia" w:hAnsiTheme="minorEastAsia"/>
          <w:b/>
          <w:bCs/>
          <w:color w:val="EE0000"/>
          <w:sz w:val="24"/>
          <w:szCs w:val="24"/>
        </w:rPr>
      </w:pPr>
      <w:r>
        <w:rPr>
          <w:rFonts w:hint="eastAsia" w:asciiTheme="minorEastAsia" w:hAnsiTheme="minorEastAsia"/>
          <w:b/>
          <w:bCs/>
          <w:color w:val="EE0000"/>
          <w:sz w:val="24"/>
          <w:szCs w:val="24"/>
        </w:rPr>
        <w:t>·1、竞价成交后，竞买人不得以任何理由悔拍，否则管理人将向悔拍人追究悔拍责任。请竞买人仔细阅读本公告及须知内容后，再行参与竞买活动。</w:t>
      </w:r>
    </w:p>
    <w:p w14:paraId="62B8522C">
      <w:pPr>
        <w:spacing w:line="360" w:lineRule="auto"/>
        <w:ind w:firstLine="482" w:firstLineChars="200"/>
        <w:rPr>
          <w:rFonts w:asciiTheme="minorEastAsia" w:hAnsiTheme="minorEastAsia"/>
          <w:b/>
          <w:bCs/>
          <w:color w:val="EE0000"/>
          <w:sz w:val="24"/>
          <w:szCs w:val="24"/>
        </w:rPr>
      </w:pPr>
      <w:r>
        <w:rPr>
          <w:rFonts w:hint="eastAsia" w:asciiTheme="minorEastAsia" w:hAnsiTheme="minorEastAsia"/>
          <w:b/>
          <w:bCs/>
          <w:color w:val="EE0000"/>
          <w:sz w:val="24"/>
          <w:szCs w:val="24"/>
        </w:rPr>
        <w:t>·2.本次拍卖标的物在真实性、合法性、有效性上可能存在的争议和风险（包括但不限于，对外应收债权是否合法有效成立，债权数额是否正确，债务人能否联系上及是否具备偿还能力，债权最终能被有效确认的数额，债权是否已超过诉讼时效、债权能否追回、合同文件是否齐全、证据材料及权利凭证完整性以及能否全额或部分回款等不确定性风险）由竞买人自行考察、甄别、判断和承受。</w:t>
      </w:r>
    </w:p>
    <w:p w14:paraId="54355885">
      <w:pPr>
        <w:spacing w:line="360" w:lineRule="auto"/>
        <w:ind w:firstLine="482" w:firstLineChars="200"/>
        <w:rPr>
          <w:rFonts w:asciiTheme="minorEastAsia" w:hAnsiTheme="minorEastAsia"/>
          <w:b/>
          <w:bCs/>
          <w:color w:val="EE0000"/>
          <w:sz w:val="24"/>
          <w:szCs w:val="24"/>
        </w:rPr>
      </w:pPr>
      <w:r>
        <w:rPr>
          <w:rFonts w:hint="eastAsia" w:asciiTheme="minorEastAsia" w:hAnsiTheme="minorEastAsia"/>
          <w:b/>
          <w:bCs/>
          <w:color w:val="EE0000"/>
          <w:sz w:val="24"/>
          <w:szCs w:val="24"/>
        </w:rPr>
        <w:t>竞买人需对影响标的物价值的一切因素应独立进行综合考量后作出是否竞买的决策，并自行承担由此所产生的一切风险、损失以及不能获得相应预期利益的后果。管理人提供的资料和数据仅供竞买人参考，不做任何担保及承诺，不承担瑕疵担保责任，若与实际不符时，不影响本次拍卖的成交和成交价。</w:t>
      </w:r>
    </w:p>
    <w:p w14:paraId="1D91CDCB">
      <w:pPr>
        <w:spacing w:line="360" w:lineRule="auto"/>
        <w:ind w:firstLine="482" w:firstLineChars="200"/>
        <w:rPr>
          <w:rFonts w:asciiTheme="minorEastAsia" w:hAnsiTheme="minorEastAsia"/>
          <w:b/>
          <w:bCs/>
          <w:color w:val="EE0000"/>
          <w:sz w:val="24"/>
          <w:szCs w:val="24"/>
        </w:rPr>
      </w:pPr>
      <w:r>
        <w:rPr>
          <w:rFonts w:hint="eastAsia" w:asciiTheme="minorEastAsia" w:hAnsiTheme="minorEastAsia"/>
          <w:b/>
          <w:bCs/>
          <w:color w:val="EE0000"/>
          <w:sz w:val="24"/>
          <w:szCs w:val="24"/>
        </w:rPr>
        <w:t>·3.本次拍卖标的物按现状交付。如标的物的登记信息与现状有出入的，以现状为准。因标的物现状（含一切已知及未知的显性、隐性瑕疵、缺陷、风险等）等原因导致标的物并非依法成立且可追讨之债权、债权数额不准确、债务人认定不准确甚至错误、超过诉讼时效、证据材料严重缺失、证明材料全无、不能转让或者延迟完成转让手续、转让无效、追回困难、全部或部分无法追回、买受人遭受巨大损失及其他形式的费用增加等全部后果及由此发生的一切费用，全部由买受人自行承担。</w:t>
      </w:r>
    </w:p>
    <w:p w14:paraId="1DDE33E5">
      <w:pPr>
        <w:spacing w:line="360" w:lineRule="auto"/>
        <w:ind w:firstLine="482" w:firstLineChars="200"/>
        <w:rPr>
          <w:rFonts w:asciiTheme="minorEastAsia" w:hAnsiTheme="minorEastAsia"/>
          <w:b/>
          <w:bCs/>
          <w:color w:val="EE0000"/>
          <w:sz w:val="24"/>
          <w:szCs w:val="24"/>
        </w:rPr>
      </w:pPr>
      <w:r>
        <w:rPr>
          <w:rFonts w:hint="eastAsia" w:asciiTheme="minorEastAsia" w:hAnsiTheme="minorEastAsia"/>
          <w:b/>
          <w:bCs/>
          <w:color w:val="EE0000"/>
          <w:sz w:val="24"/>
          <w:szCs w:val="24"/>
        </w:rPr>
        <w:t>·4、为避免拍卖成交后出现无法受偿等情况，提请竞买人注意并在拍卖前详细了解标的物的现状，并务必亲自调查确认后再参加竞拍。无论竞买人是否调查或以何种方式调查，一旦参与竞拍，即视为放弃向管理人提出任何异议、追索、抗辩的权利，并自愿接受标的物一切已知和未知的瑕疵、缺陷及风险，自行承担经济及法律上的一切不利后果，并自愿参与竞买、自行承担本次竞买活动的一切不利后果，请慎重决定竞买行为。</w:t>
      </w:r>
    </w:p>
    <w:p w14:paraId="397ECD38">
      <w:pPr>
        <w:numPr>
          <w:ilvl w:val="0"/>
          <w:numId w:val="1"/>
        </w:numPr>
        <w:spacing w:line="360" w:lineRule="auto"/>
        <w:ind w:firstLine="482" w:firstLineChars="200"/>
        <w:rPr>
          <w:rFonts w:asciiTheme="minorEastAsia" w:hAnsiTheme="minorEastAsia"/>
          <w:b/>
          <w:sz w:val="24"/>
          <w:szCs w:val="24"/>
        </w:rPr>
      </w:pPr>
      <w:r>
        <w:rPr>
          <w:rFonts w:hint="eastAsia" w:asciiTheme="minorEastAsia" w:hAnsiTheme="minorEastAsia"/>
          <w:b/>
          <w:sz w:val="24"/>
          <w:szCs w:val="24"/>
        </w:rPr>
        <w:t>拍卖标的物情况简介</w:t>
      </w:r>
    </w:p>
    <w:p w14:paraId="3B2C48B0">
      <w:pPr>
        <w:spacing w:line="360" w:lineRule="auto"/>
        <w:ind w:left="482"/>
        <w:rPr>
          <w:rFonts w:ascii="宋体" w:hAnsi="宋体"/>
          <w:sz w:val="24"/>
        </w:rPr>
      </w:pPr>
      <w:r>
        <w:rPr>
          <w:rFonts w:hint="eastAsia" w:asciiTheme="minorEastAsia" w:hAnsiTheme="minorEastAsia"/>
          <w:b/>
          <w:sz w:val="24"/>
          <w:szCs w:val="24"/>
        </w:rPr>
        <w:t>1、标的物具体情况：</w:t>
      </w:r>
    </w:p>
    <w:p w14:paraId="144DD1B9">
      <w:pPr>
        <w:spacing w:line="360" w:lineRule="auto"/>
        <w:ind w:firstLine="482" w:firstLineChars="200"/>
        <w:rPr>
          <w:rFonts w:asciiTheme="minorEastAsia" w:hAnsiTheme="minorEastAsia"/>
          <w:sz w:val="24"/>
          <w:szCs w:val="24"/>
        </w:rPr>
      </w:pPr>
      <w:r>
        <w:rPr>
          <w:rFonts w:hint="eastAsia" w:asciiTheme="minorEastAsia" w:hAnsiTheme="minorEastAsia"/>
          <w:b/>
          <w:bCs/>
          <w:sz w:val="24"/>
          <w:szCs w:val="24"/>
        </w:rPr>
        <w:t>标的物名称</w:t>
      </w:r>
      <w:r>
        <w:rPr>
          <w:rFonts w:hint="eastAsia" w:asciiTheme="minorEastAsia" w:hAnsiTheme="minorEastAsia"/>
          <w:sz w:val="24"/>
          <w:szCs w:val="24"/>
        </w:rPr>
        <w:t>：北京东方汇通教育科技有限公司对翼德（银川）科技有限公司等3个主体持有的应收账款303,047.00元</w:t>
      </w:r>
    </w:p>
    <w:p w14:paraId="2BBDB054">
      <w:pPr>
        <w:spacing w:line="360" w:lineRule="auto"/>
        <w:ind w:firstLine="482" w:firstLineChars="200"/>
        <w:rPr>
          <w:rFonts w:asciiTheme="minorEastAsia" w:hAnsiTheme="minorEastAsia"/>
          <w:sz w:val="24"/>
          <w:szCs w:val="24"/>
        </w:rPr>
      </w:pPr>
      <w:r>
        <w:rPr>
          <w:rFonts w:hint="eastAsia" w:asciiTheme="minorEastAsia" w:hAnsiTheme="minorEastAsia"/>
          <w:b/>
          <w:bCs/>
          <w:sz w:val="24"/>
          <w:szCs w:val="24"/>
        </w:rPr>
        <w:t>起拍价</w:t>
      </w:r>
      <w:r>
        <w:rPr>
          <w:rFonts w:hint="eastAsia" w:asciiTheme="minorEastAsia" w:hAnsiTheme="minorEastAsia"/>
          <w:sz w:val="24"/>
          <w:szCs w:val="24"/>
        </w:rPr>
        <w:t>：</w:t>
      </w:r>
      <w:r>
        <w:rPr>
          <w:rFonts w:hint="eastAsia" w:asciiTheme="minorEastAsia" w:hAnsiTheme="minorEastAsia"/>
          <w:b/>
          <w:bCs/>
          <w:color w:val="FF0000"/>
          <w:sz w:val="24"/>
          <w:szCs w:val="24"/>
        </w:rPr>
        <w:t>303,047.00</w:t>
      </w:r>
      <w:r>
        <w:rPr>
          <w:rFonts w:hint="eastAsia" w:asciiTheme="minorEastAsia" w:hAnsiTheme="minorEastAsia"/>
          <w:sz w:val="24"/>
          <w:szCs w:val="24"/>
        </w:rPr>
        <w:t>元，保证金：</w:t>
      </w:r>
      <w:r>
        <w:rPr>
          <w:rFonts w:hint="eastAsia" w:asciiTheme="minorEastAsia" w:hAnsiTheme="minorEastAsia"/>
          <w:b/>
          <w:bCs/>
          <w:color w:val="FF0000"/>
          <w:sz w:val="24"/>
          <w:szCs w:val="24"/>
        </w:rPr>
        <w:t>30,304.70</w:t>
      </w:r>
      <w:r>
        <w:rPr>
          <w:rFonts w:hint="eastAsia" w:asciiTheme="minorEastAsia" w:hAnsiTheme="minorEastAsia"/>
          <w:sz w:val="24"/>
          <w:szCs w:val="24"/>
        </w:rPr>
        <w:t>元，增价幅度：</w:t>
      </w:r>
      <w:r>
        <w:rPr>
          <w:rFonts w:hint="eastAsia" w:asciiTheme="minorEastAsia" w:hAnsiTheme="minorEastAsia"/>
          <w:b/>
          <w:bCs/>
          <w:color w:val="FF0000"/>
          <w:sz w:val="24"/>
          <w:szCs w:val="24"/>
        </w:rPr>
        <w:t>1,515.24</w:t>
      </w:r>
      <w:r>
        <w:rPr>
          <w:rFonts w:hint="eastAsia" w:asciiTheme="minorEastAsia" w:hAnsiTheme="minorEastAsia"/>
          <w:sz w:val="24"/>
          <w:szCs w:val="24"/>
        </w:rPr>
        <w:t>元(或整倍数)。</w:t>
      </w:r>
    </w:p>
    <w:p w14:paraId="770E445B">
      <w:pPr>
        <w:spacing w:line="360" w:lineRule="auto"/>
        <w:ind w:firstLine="482" w:firstLineChars="200"/>
        <w:rPr>
          <w:rFonts w:asciiTheme="minorEastAsia" w:hAnsiTheme="minorEastAsia"/>
          <w:b/>
          <w:bCs/>
          <w:color w:val="FF0000"/>
          <w:sz w:val="24"/>
          <w:szCs w:val="24"/>
        </w:rPr>
      </w:pPr>
      <w:r>
        <w:rPr>
          <w:rFonts w:hint="eastAsia" w:asciiTheme="minorEastAsia" w:hAnsiTheme="minorEastAsia"/>
          <w:b/>
          <w:bCs/>
          <w:color w:val="FF0000"/>
          <w:sz w:val="24"/>
          <w:szCs w:val="24"/>
        </w:rPr>
        <w:t>标的物特别情况说明：</w:t>
      </w:r>
    </w:p>
    <w:p w14:paraId="16C7089F">
      <w:pPr>
        <w:numPr>
          <w:ilvl w:val="0"/>
          <w:numId w:val="2"/>
        </w:numPr>
        <w:spacing w:before="100" w:after="100" w:line="360" w:lineRule="auto"/>
        <w:ind w:firstLine="480"/>
        <w:jc w:val="left"/>
        <w:rPr>
          <w:rFonts w:ascii="宋体" w:hAnsi="宋体"/>
          <w:b/>
          <w:bCs/>
          <w:color w:val="FF0000"/>
          <w:sz w:val="24"/>
          <w:shd w:val="clear" w:color="auto" w:fill="FFFFFF"/>
        </w:rPr>
      </w:pPr>
      <w:r>
        <w:rPr>
          <w:rFonts w:hint="eastAsia" w:ascii="宋体" w:hAnsi="宋体"/>
          <w:b/>
          <w:bCs/>
          <w:color w:val="FF0000"/>
          <w:sz w:val="24"/>
          <w:shd w:val="clear" w:color="auto" w:fill="FFFFFF"/>
        </w:rPr>
        <w:t>本标的北京东方汇通教育科技有限公司对翼德（银川）科技有限公司等3个主体持有的应收账款303,047.00元，交付时以其现有价值为准，拍卖成交价格不做任何调整。</w:t>
      </w:r>
    </w:p>
    <w:p w14:paraId="39C2E8E4">
      <w:pPr>
        <w:spacing w:before="100" w:after="100" w:line="360" w:lineRule="auto"/>
        <w:ind w:firstLine="482" w:firstLineChars="200"/>
        <w:jc w:val="left"/>
        <w:rPr>
          <w:rFonts w:ascii="宋体" w:hAnsi="宋体"/>
          <w:b/>
          <w:bCs/>
          <w:color w:val="FF0000"/>
          <w:sz w:val="24"/>
          <w:shd w:val="clear" w:color="auto" w:fill="FFFFFF"/>
        </w:rPr>
      </w:pPr>
      <w:r>
        <w:rPr>
          <w:rFonts w:hint="eastAsia" w:ascii="宋体" w:hAnsi="宋体"/>
          <w:b/>
          <w:bCs/>
          <w:color w:val="FF0000"/>
          <w:sz w:val="24"/>
          <w:shd w:val="clear" w:color="auto" w:fill="FFFFFF"/>
        </w:rPr>
        <w:t>2、针对翼德(银川)科技有限公司未回款181,697.00元根据东方汇通向管理人提供的信息，东方汇通对翼德（银川）科技有限公司之应收账款系因双方2021-28号供货合同产生，总价款为 433.380.00元，未履行款项共计181,697.00元；管理人仅仅掌握相关供货合同的扫描件，不掌握与合同履行情况相关的证据。2024年8月15日，管理人向翼德（银川）科技有限公司邮寄了债权催收函。经管理人电话联系，对方反馈不认可欠付金额。</w:t>
      </w:r>
    </w:p>
    <w:p w14:paraId="4CD69E2B">
      <w:pPr>
        <w:spacing w:before="100" w:after="100" w:line="360" w:lineRule="auto"/>
        <w:ind w:firstLine="482" w:firstLineChars="200"/>
        <w:jc w:val="left"/>
        <w:rPr>
          <w:rFonts w:ascii="宋体" w:hAnsi="宋体"/>
          <w:b/>
          <w:bCs/>
          <w:color w:val="FF0000"/>
          <w:sz w:val="24"/>
          <w:shd w:val="clear" w:color="auto" w:fill="FFFFFF"/>
        </w:rPr>
      </w:pPr>
      <w:r>
        <w:rPr>
          <w:rFonts w:hint="eastAsia" w:ascii="宋体" w:hAnsi="宋体"/>
          <w:b/>
          <w:bCs/>
          <w:color w:val="FF0000"/>
          <w:sz w:val="24"/>
          <w:shd w:val="clear" w:color="auto" w:fill="FFFFFF"/>
        </w:rPr>
        <w:t>3、针对银川市唐徕回民中学的115,140.00元应收款根据东方汇通向管理人提供的信息，东方汇通对银川市唐徕回民中学之应收账款系因双方2020-668号供货合同产生，总价款为 498000元，未履行款项共计115,140.00元。2024年8月15日，管理人向银川市唐回民中学邮寄了债权催收函。经管理人电话联系，对方表示不清楚相关情况。</w:t>
      </w:r>
    </w:p>
    <w:p w14:paraId="056C90EC">
      <w:pPr>
        <w:spacing w:before="100" w:after="100" w:line="360" w:lineRule="auto"/>
        <w:ind w:firstLine="482" w:firstLineChars="200"/>
        <w:jc w:val="left"/>
        <w:rPr>
          <w:rFonts w:ascii="宋体" w:hAnsi="宋体"/>
          <w:b/>
          <w:bCs/>
          <w:color w:val="FF0000"/>
          <w:sz w:val="24"/>
          <w:shd w:val="clear" w:color="auto" w:fill="FFFFFF"/>
        </w:rPr>
      </w:pPr>
      <w:r>
        <w:rPr>
          <w:rFonts w:hint="eastAsia" w:ascii="宋体" w:hAnsi="宋体"/>
          <w:b/>
          <w:bCs/>
          <w:color w:val="FF0000"/>
          <w:sz w:val="24"/>
          <w:shd w:val="clear" w:color="auto" w:fill="FFFFFF"/>
        </w:rPr>
        <w:t>4、针对宁夏筑瑞项目管理有限公司的6,210.00元应收款管理人并未接管到关于对宁夏筑瑞项目管理有限公司应收账款的材料。2024年8月15日，管理人通过公开途径查询的联系地址及联系电话向宁夏筑瑞项目管理有限公司邮寄了债权催收函，该邮件被拒收。此后管理人多次拨打该公司联系电话，但至今无法接通。</w:t>
      </w:r>
    </w:p>
    <w:p w14:paraId="66F16253">
      <w:pPr>
        <w:spacing w:before="100" w:after="100" w:line="360" w:lineRule="auto"/>
        <w:ind w:firstLine="480"/>
        <w:jc w:val="left"/>
        <w:rPr>
          <w:rFonts w:asciiTheme="minorEastAsia" w:hAnsiTheme="minorEastAsia"/>
          <w:b/>
          <w:bCs/>
          <w:color w:val="FF0000"/>
          <w:sz w:val="24"/>
          <w:szCs w:val="24"/>
        </w:rPr>
      </w:pPr>
      <w:r>
        <w:rPr>
          <w:rFonts w:hint="eastAsia" w:asciiTheme="minorEastAsia" w:hAnsiTheme="minorEastAsia"/>
          <w:b/>
          <w:bCs/>
          <w:color w:val="FF0000"/>
          <w:sz w:val="24"/>
          <w:szCs w:val="24"/>
        </w:rPr>
        <w:t xml:space="preserve">5、本标的物的应收类资产为北京东方汇通教育科技有限公司对翼德（银川）科技有限公司等3个主体持有的应收账款303,047.00元。若竞拍成交后买受人发现债务人偿还了其他部分债权，则标的物以剩余价值转让，拍卖成交价格不变。参与竞拍者即视为认可此规则，不能将因债权价值减少视为不当履行职责而向管理人或拍卖辅助机构索赔。交付时以其现有价值为准，拍卖成交价格不做任何调整。 </w:t>
      </w:r>
    </w:p>
    <w:p w14:paraId="55560AA7">
      <w:pPr>
        <w:spacing w:before="100" w:after="100" w:line="360" w:lineRule="auto"/>
        <w:ind w:firstLine="480"/>
        <w:jc w:val="left"/>
        <w:rPr>
          <w:rFonts w:asciiTheme="minorEastAsia" w:hAnsiTheme="minorEastAsia"/>
          <w:b/>
          <w:bCs/>
          <w:color w:val="FF0000"/>
          <w:sz w:val="24"/>
          <w:szCs w:val="24"/>
        </w:rPr>
      </w:pPr>
      <w:r>
        <w:rPr>
          <w:rFonts w:hint="eastAsia" w:asciiTheme="minorEastAsia" w:hAnsiTheme="minorEastAsia"/>
          <w:b/>
          <w:bCs/>
          <w:color w:val="FF0000"/>
          <w:sz w:val="24"/>
          <w:szCs w:val="24"/>
        </w:rPr>
        <w:t>6、债权可能存在债务人实际已履行等原因已消灭，发票未开，被抵销、撤销以及其他原因或纠纷导致无法收回、产生损失等风险；</w:t>
      </w:r>
    </w:p>
    <w:p w14:paraId="60E39636">
      <w:pPr>
        <w:spacing w:before="100" w:after="100" w:line="360" w:lineRule="auto"/>
        <w:ind w:firstLine="480"/>
        <w:jc w:val="left"/>
        <w:rPr>
          <w:rFonts w:asciiTheme="minorEastAsia" w:hAnsiTheme="minorEastAsia"/>
          <w:b/>
          <w:bCs/>
          <w:color w:val="FF0000"/>
          <w:sz w:val="24"/>
          <w:szCs w:val="24"/>
        </w:rPr>
      </w:pPr>
      <w:r>
        <w:rPr>
          <w:rFonts w:hint="eastAsia" w:asciiTheme="minorEastAsia" w:hAnsiTheme="minorEastAsia"/>
          <w:b/>
          <w:bCs/>
          <w:color w:val="FF0000"/>
          <w:sz w:val="24"/>
          <w:szCs w:val="24"/>
        </w:rPr>
        <w:t>7、与债权相关的债务人或担保人或第三方可能存在破产、被解散、被注销被撤销、被关闭、被吊销、歇业、下落不明以及其他主体存续性瑕疵的情形；</w:t>
      </w:r>
    </w:p>
    <w:p w14:paraId="160684E3">
      <w:pPr>
        <w:spacing w:before="100" w:after="100" w:line="360" w:lineRule="auto"/>
        <w:ind w:firstLine="480"/>
        <w:jc w:val="left"/>
        <w:rPr>
          <w:rFonts w:asciiTheme="minorEastAsia" w:hAnsiTheme="minorEastAsia"/>
          <w:b/>
          <w:bCs/>
          <w:color w:val="FF0000"/>
          <w:sz w:val="24"/>
          <w:szCs w:val="24"/>
        </w:rPr>
      </w:pPr>
      <w:r>
        <w:rPr>
          <w:rFonts w:hint="eastAsia" w:asciiTheme="minorEastAsia" w:hAnsiTheme="minorEastAsia"/>
          <w:b/>
          <w:bCs/>
          <w:color w:val="FF0000"/>
          <w:sz w:val="24"/>
          <w:szCs w:val="24"/>
        </w:rPr>
        <w:t>8、债权文件对于债权的行使可能存在不真实、不完整，可能法律上或当事人间约定不得转让致使受让方无法行使权利，债权凭证原件缺失不存在或内容冲突或导致债权存在争议、无法收回、产生损失等相关情形：</w:t>
      </w:r>
    </w:p>
    <w:p w14:paraId="1324C831">
      <w:pPr>
        <w:spacing w:before="100" w:after="100" w:line="360" w:lineRule="auto"/>
        <w:ind w:firstLine="480"/>
        <w:jc w:val="left"/>
        <w:rPr>
          <w:rFonts w:asciiTheme="minorEastAsia" w:hAnsiTheme="minorEastAsia"/>
          <w:b/>
          <w:bCs/>
          <w:color w:val="FF0000"/>
          <w:sz w:val="24"/>
          <w:szCs w:val="24"/>
        </w:rPr>
      </w:pPr>
      <w:r>
        <w:rPr>
          <w:rFonts w:hint="eastAsia" w:asciiTheme="minorEastAsia" w:hAnsiTheme="minorEastAsia"/>
          <w:b/>
          <w:bCs/>
          <w:color w:val="FF0000"/>
          <w:sz w:val="24"/>
          <w:szCs w:val="24"/>
        </w:rPr>
        <w:t>9、应收账款项目可能存在已经被其他应收账款债权人或第三人收取的情形。</w:t>
      </w:r>
    </w:p>
    <w:p w14:paraId="0520BD78">
      <w:pPr>
        <w:spacing w:before="100" w:after="100" w:line="360" w:lineRule="auto"/>
        <w:ind w:firstLine="480"/>
        <w:jc w:val="left"/>
        <w:rPr>
          <w:rFonts w:asciiTheme="minorEastAsia" w:hAnsiTheme="minorEastAsia"/>
          <w:b/>
          <w:bCs/>
          <w:color w:val="FF0000"/>
          <w:sz w:val="24"/>
          <w:szCs w:val="24"/>
        </w:rPr>
      </w:pPr>
      <w:r>
        <w:rPr>
          <w:rFonts w:hint="eastAsia" w:asciiTheme="minorEastAsia" w:hAnsiTheme="minorEastAsia"/>
          <w:b/>
          <w:bCs/>
          <w:color w:val="FF0000"/>
          <w:sz w:val="24"/>
          <w:szCs w:val="24"/>
        </w:rPr>
        <w:t>10、其他已经或尚未发现的可能导致应收账款存在争议、不存在、无法收回、产生损失等风险。</w:t>
      </w:r>
    </w:p>
    <w:p w14:paraId="54116AE0">
      <w:pPr>
        <w:spacing w:before="100" w:after="100" w:line="360" w:lineRule="auto"/>
        <w:ind w:firstLine="480"/>
        <w:jc w:val="left"/>
        <w:rPr>
          <w:rFonts w:asciiTheme="minorEastAsia" w:hAnsiTheme="minorEastAsia"/>
          <w:b/>
          <w:bCs/>
          <w:color w:val="FF0000"/>
          <w:sz w:val="24"/>
          <w:szCs w:val="24"/>
        </w:rPr>
      </w:pPr>
      <w:r>
        <w:rPr>
          <w:rFonts w:hint="eastAsia" w:asciiTheme="minorEastAsia" w:hAnsiTheme="minorEastAsia"/>
          <w:b/>
          <w:bCs/>
          <w:color w:val="FF0000"/>
          <w:sz w:val="24"/>
          <w:szCs w:val="24"/>
        </w:rPr>
        <w:t>11、应收账款可能已超过诉讼时效、执行时效或丧失相关的法定期间或因其他原因已部分消灭或成为自然债导致存在无法收回的可能，因合同约定、债务人实际已履行等原因已消灭，发票未开，被抵销、撤销以及其他原因或纠纷导致无法收回、产生损失等风险。</w:t>
      </w:r>
    </w:p>
    <w:p w14:paraId="3B3DFBC0">
      <w:pPr>
        <w:spacing w:before="100" w:after="100" w:line="360" w:lineRule="auto"/>
        <w:ind w:firstLine="480"/>
        <w:jc w:val="left"/>
        <w:rPr>
          <w:rFonts w:asciiTheme="minorEastAsia" w:hAnsiTheme="minorEastAsia"/>
          <w:b/>
          <w:bCs/>
          <w:color w:val="FF0000"/>
          <w:sz w:val="24"/>
          <w:szCs w:val="24"/>
        </w:rPr>
      </w:pPr>
      <w:r>
        <w:rPr>
          <w:rFonts w:hint="eastAsia" w:asciiTheme="minorEastAsia" w:hAnsiTheme="minorEastAsia"/>
          <w:b/>
          <w:bCs/>
          <w:color w:val="FF0000"/>
          <w:sz w:val="24"/>
          <w:szCs w:val="24"/>
        </w:rPr>
        <w:t>12、应收账款文件可能与应收账款文件清单记载不一致导致应收账款存在争议、无法收回、产生损失等风险。</w:t>
      </w:r>
    </w:p>
    <w:p w14:paraId="53EFCF90">
      <w:pPr>
        <w:spacing w:before="100" w:after="100" w:line="360" w:lineRule="auto"/>
        <w:ind w:firstLine="480"/>
        <w:jc w:val="left"/>
        <w:rPr>
          <w:rFonts w:asciiTheme="minorEastAsia" w:hAnsiTheme="minorEastAsia"/>
          <w:b/>
          <w:bCs/>
          <w:color w:val="FF0000"/>
          <w:sz w:val="24"/>
          <w:szCs w:val="24"/>
        </w:rPr>
      </w:pPr>
      <w:r>
        <w:rPr>
          <w:rFonts w:hint="eastAsia" w:asciiTheme="minorEastAsia" w:hAnsiTheme="minorEastAsia"/>
          <w:b/>
          <w:bCs/>
          <w:color w:val="FF0000"/>
          <w:sz w:val="24"/>
          <w:szCs w:val="24"/>
        </w:rPr>
        <w:t>13、就应收账款提起诉讼可能存在败诉、不能变更诉讼主体、执行主体等诉讼风险。</w:t>
      </w:r>
    </w:p>
    <w:p w14:paraId="31FAA6D9">
      <w:pPr>
        <w:spacing w:before="100" w:after="100" w:line="360" w:lineRule="auto"/>
        <w:ind w:firstLine="480"/>
        <w:jc w:val="left"/>
        <w:rPr>
          <w:rFonts w:asciiTheme="minorEastAsia" w:hAnsiTheme="minorEastAsia"/>
          <w:b/>
          <w:bCs/>
          <w:color w:val="FF0000"/>
          <w:sz w:val="24"/>
          <w:szCs w:val="24"/>
        </w:rPr>
      </w:pPr>
      <w:r>
        <w:rPr>
          <w:rFonts w:hint="eastAsia" w:asciiTheme="minorEastAsia" w:hAnsiTheme="minorEastAsia"/>
          <w:b/>
          <w:bCs/>
          <w:color w:val="FF0000"/>
          <w:sz w:val="24"/>
          <w:szCs w:val="24"/>
        </w:rPr>
        <w:t>因上述问题发生费用及造成的导致应收账款存在争议、无法收回、产生损失等风险由买受竞买人自行承担。</w:t>
      </w:r>
    </w:p>
    <w:p w14:paraId="77DF9D02">
      <w:pPr>
        <w:spacing w:before="100" w:after="100" w:line="360" w:lineRule="auto"/>
        <w:ind w:firstLine="480"/>
        <w:jc w:val="left"/>
        <w:rPr>
          <w:rFonts w:asciiTheme="minorEastAsia" w:hAnsiTheme="minorEastAsia"/>
          <w:b/>
          <w:bCs/>
          <w:color w:val="FF0000"/>
          <w:sz w:val="24"/>
          <w:szCs w:val="24"/>
        </w:rPr>
      </w:pPr>
      <w:r>
        <w:rPr>
          <w:rFonts w:hint="eastAsia" w:asciiTheme="minorEastAsia" w:hAnsiTheme="minorEastAsia"/>
          <w:b/>
          <w:bCs/>
          <w:color w:val="FF0000"/>
          <w:sz w:val="24"/>
          <w:szCs w:val="24"/>
        </w:rPr>
        <w:t>14、管理人负责向买受人出具成交文件，向债务人送达的相关通知或文书由买受人自行负责并承担相关费用。</w:t>
      </w:r>
    </w:p>
    <w:p w14:paraId="58974F2F">
      <w:pPr>
        <w:spacing w:before="100" w:after="100" w:line="360" w:lineRule="auto"/>
        <w:ind w:firstLine="480"/>
        <w:jc w:val="left"/>
        <w:rPr>
          <w:rFonts w:asciiTheme="minorEastAsia" w:hAnsiTheme="minorEastAsia"/>
          <w:b/>
          <w:bCs/>
          <w:color w:val="FF0000"/>
          <w:sz w:val="24"/>
          <w:szCs w:val="24"/>
        </w:rPr>
      </w:pPr>
      <w:r>
        <w:rPr>
          <w:rFonts w:hint="eastAsia" w:asciiTheme="minorEastAsia" w:hAnsiTheme="minorEastAsia"/>
          <w:b/>
          <w:bCs/>
          <w:color w:val="FF0000"/>
          <w:sz w:val="24"/>
          <w:szCs w:val="24"/>
        </w:rPr>
        <w:t>15、竞买人应在竞价前自行做好尽职调查，自行判断是否符合受让本标的物的资格。因不符合条件参加竞买的，由竞买人自行承担相应的法律责任，并自行承担由此产生的全部责任及后果，包括但不限于费用、风险和损失。</w:t>
      </w:r>
    </w:p>
    <w:p w14:paraId="3FC5A8D9">
      <w:pPr>
        <w:spacing w:before="100" w:after="100" w:line="360" w:lineRule="auto"/>
        <w:ind w:firstLine="480"/>
        <w:jc w:val="left"/>
        <w:rPr>
          <w:rFonts w:asciiTheme="minorEastAsia" w:hAnsiTheme="minorEastAsia"/>
          <w:b/>
          <w:bCs/>
          <w:color w:val="FF0000"/>
          <w:sz w:val="24"/>
          <w:szCs w:val="24"/>
        </w:rPr>
      </w:pPr>
      <w:r>
        <w:rPr>
          <w:rFonts w:hint="eastAsia" w:asciiTheme="minorEastAsia" w:hAnsiTheme="minorEastAsia"/>
          <w:b/>
          <w:bCs/>
          <w:color w:val="FF0000"/>
          <w:sz w:val="24"/>
          <w:szCs w:val="24"/>
        </w:rPr>
        <w:t>16、拍卖成交之日起，买受人须承担标的物可能发生的一切风险。</w:t>
      </w:r>
    </w:p>
    <w:p w14:paraId="1CEB6074">
      <w:pPr>
        <w:spacing w:before="100" w:after="100" w:line="360" w:lineRule="auto"/>
        <w:ind w:firstLine="480"/>
        <w:jc w:val="left"/>
        <w:rPr>
          <w:rFonts w:asciiTheme="minorEastAsia" w:hAnsiTheme="minorEastAsia"/>
          <w:b/>
          <w:bCs/>
          <w:color w:val="FF0000"/>
          <w:sz w:val="24"/>
          <w:szCs w:val="24"/>
        </w:rPr>
      </w:pPr>
      <w:r>
        <w:rPr>
          <w:rFonts w:hint="eastAsia" w:asciiTheme="minorEastAsia" w:hAnsiTheme="minorEastAsia"/>
          <w:b/>
          <w:bCs/>
          <w:color w:val="FF0000"/>
          <w:sz w:val="24"/>
          <w:szCs w:val="24"/>
        </w:rPr>
        <w:t>17、管理人将秉持诚信原则尽量提供给竞买人所需资料，管理人和拍卖辅助机构不对标的物任何权利负担或瑕疵承担责任。竞买人根据自身需求可自行调查、了解、核实。未尽事宜，管理人和拍卖辅助机构不承担任何责任。</w:t>
      </w:r>
    </w:p>
    <w:p w14:paraId="0CE010E5">
      <w:pPr>
        <w:spacing w:before="100" w:after="100" w:line="360" w:lineRule="auto"/>
        <w:ind w:firstLine="480"/>
        <w:jc w:val="left"/>
        <w:rPr>
          <w:rFonts w:asciiTheme="minorEastAsia" w:hAnsiTheme="minorEastAsia"/>
          <w:b/>
          <w:bCs/>
          <w:color w:val="FF0000"/>
          <w:sz w:val="24"/>
          <w:szCs w:val="24"/>
        </w:rPr>
      </w:pPr>
      <w:r>
        <w:rPr>
          <w:rFonts w:hint="eastAsia" w:asciiTheme="minorEastAsia" w:hAnsiTheme="minorEastAsia"/>
          <w:b/>
          <w:bCs/>
          <w:color w:val="FF0000"/>
          <w:sz w:val="24"/>
          <w:szCs w:val="24"/>
        </w:rPr>
        <w:t>18、应收账款可能存在的其他瑕疵或缺陷。其他未尽事宜由买受人自行了解。</w:t>
      </w:r>
    </w:p>
    <w:p w14:paraId="0AF4D100">
      <w:pPr>
        <w:spacing w:before="100" w:after="100" w:line="360" w:lineRule="auto"/>
        <w:ind w:firstLine="480"/>
        <w:jc w:val="left"/>
        <w:rPr>
          <w:rFonts w:asciiTheme="minorEastAsia" w:hAnsiTheme="minorEastAsia"/>
          <w:b/>
          <w:bCs/>
          <w:color w:val="FF0000"/>
          <w:sz w:val="24"/>
          <w:szCs w:val="24"/>
        </w:rPr>
      </w:pPr>
      <w:r>
        <w:rPr>
          <w:rFonts w:hint="eastAsia" w:asciiTheme="minorEastAsia" w:hAnsiTheme="minorEastAsia"/>
          <w:b/>
          <w:bCs/>
          <w:color w:val="FF0000"/>
          <w:sz w:val="24"/>
          <w:szCs w:val="24"/>
        </w:rPr>
        <w:t>因上述问题发生费用及造成的应收账款不能变更的风险由买受人自行承担。</w:t>
      </w:r>
    </w:p>
    <w:p w14:paraId="12F3949F">
      <w:pPr>
        <w:spacing w:line="360" w:lineRule="auto"/>
        <w:ind w:firstLine="482" w:firstLineChars="200"/>
        <w:rPr>
          <w:rFonts w:asciiTheme="minorEastAsia" w:hAnsiTheme="minorEastAsia"/>
          <w:sz w:val="24"/>
          <w:szCs w:val="24"/>
        </w:rPr>
      </w:pPr>
      <w:r>
        <w:rPr>
          <w:rFonts w:hint="eastAsia" w:asciiTheme="minorEastAsia" w:hAnsiTheme="minorEastAsia"/>
          <w:b/>
          <w:sz w:val="24"/>
          <w:szCs w:val="24"/>
        </w:rPr>
        <w:t>二、咨询、展示、看样的时间与方式</w:t>
      </w:r>
    </w:p>
    <w:p w14:paraId="7E905C1D">
      <w:pPr>
        <w:spacing w:line="360" w:lineRule="auto"/>
        <w:ind w:firstLine="480" w:firstLineChars="200"/>
        <w:rPr>
          <w:rFonts w:asciiTheme="minorEastAsia" w:hAnsiTheme="minorEastAsia"/>
          <w:b/>
          <w:color w:val="FF0000"/>
          <w:sz w:val="24"/>
          <w:szCs w:val="24"/>
        </w:rPr>
      </w:pPr>
      <w:r>
        <w:rPr>
          <w:rFonts w:hint="eastAsia" w:asciiTheme="minorEastAsia" w:hAnsiTheme="minorEastAsia"/>
          <w:sz w:val="24"/>
          <w:szCs w:val="24"/>
        </w:rPr>
        <w:t>自公告之日起至拍卖结束之日止接受咨询（工作时间内），统一安排现场看样。本管理人已委托北京嘉运亨通拍卖有限公司协助办理咨询、预展事务，有意者请与联系（联系电话：王女士：18201408042，李先生：13552572522）。</w:t>
      </w:r>
      <w:r>
        <w:rPr>
          <w:rFonts w:hint="eastAsia" w:asciiTheme="minorEastAsia" w:hAnsiTheme="minorEastAsia"/>
          <w:b/>
          <w:color w:val="FF0000"/>
          <w:sz w:val="24"/>
          <w:szCs w:val="24"/>
        </w:rPr>
        <w:t>因拍卖标的物无实物可供竞买人看样，请竞买人自行调查该资产的价值与瑕疵，详细情况可向相关部门了解，参与拍卖的竞买人视为对标的物的一切瑕疵（包括隐性瑕疵和显性瑕疵）已知，责任自负，请谨慎参拍。管理人与拍卖辅助机构不对标的物的任何权利负担或瑕疵承担责任。竞买人一旦作出竞买决定，即表明已完全了解，并接受标的物的现状和一切已知及未知的瑕疵。</w:t>
      </w:r>
    </w:p>
    <w:p w14:paraId="0466DAA8">
      <w:pPr>
        <w:spacing w:line="360" w:lineRule="auto"/>
        <w:ind w:firstLine="482" w:firstLineChars="200"/>
        <w:rPr>
          <w:rFonts w:asciiTheme="minorEastAsia" w:hAnsiTheme="minorEastAsia"/>
          <w:b/>
          <w:sz w:val="24"/>
          <w:szCs w:val="24"/>
        </w:rPr>
      </w:pPr>
      <w:r>
        <w:rPr>
          <w:rFonts w:hint="eastAsia" w:asciiTheme="minorEastAsia" w:hAnsiTheme="minorEastAsia"/>
          <w:b/>
          <w:sz w:val="24"/>
          <w:szCs w:val="24"/>
        </w:rPr>
        <w:t>三、竞买人条件</w:t>
      </w:r>
    </w:p>
    <w:p w14:paraId="78DF0BAF">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1、竞买人（公民、法人和其他组织）应当具备完全民事行为能力，若不具有完全民事行为能力其委托人或代理人必须具备完全民事行为能力。法律、行政法规和司法解释对竞买人/买受人资格或者条件有特殊规定的，竞买人应当具备规定的资格或者条件。竞买人应自行到相关部门了解法律、行政法规、司法解释对买受人资格或者条件有特殊规定的限制。因不符合条件参加竞买的，由竞买人自行承担相应的法律责任。</w:t>
      </w:r>
    </w:p>
    <w:p w14:paraId="1FD042AB">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2、</w:t>
      </w:r>
      <w:r>
        <w:rPr>
          <w:rFonts w:hint="eastAsia" w:asciiTheme="minorEastAsia" w:hAnsiTheme="minorEastAsia"/>
          <w:color w:val="000000" w:themeColor="text1"/>
          <w:sz w:val="24"/>
          <w:szCs w:val="24"/>
          <w14:textFill>
            <w14:solidFill>
              <w14:schemeClr w14:val="tx1"/>
            </w14:solidFill>
          </w14:textFill>
        </w:rPr>
        <w:t>竞买人（</w:t>
      </w:r>
      <w:r>
        <w:rPr>
          <w:rFonts w:hint="eastAsia" w:asciiTheme="minorEastAsia" w:hAnsiTheme="minorEastAsia"/>
          <w:sz w:val="24"/>
          <w:szCs w:val="24"/>
        </w:rPr>
        <w:t>公民、法人和其他组织</w:t>
      </w:r>
      <w:r>
        <w:rPr>
          <w:rFonts w:hint="eastAsia" w:asciiTheme="minorEastAsia" w:hAnsiTheme="minorEastAsia"/>
          <w:color w:val="000000" w:themeColor="text1"/>
          <w:sz w:val="24"/>
          <w:szCs w:val="24"/>
          <w14:textFill>
            <w14:solidFill>
              <w14:schemeClr w14:val="tx1"/>
            </w14:solidFill>
          </w14:textFill>
        </w:rPr>
        <w:t>）可委托他人（</w:t>
      </w:r>
      <w:r>
        <w:rPr>
          <w:rFonts w:hint="eastAsia" w:asciiTheme="minorEastAsia" w:hAnsiTheme="minorEastAsia"/>
          <w:sz w:val="24"/>
          <w:szCs w:val="24"/>
        </w:rPr>
        <w:t>公民、法人和其他组织</w:t>
      </w:r>
      <w:r>
        <w:rPr>
          <w:rFonts w:hint="eastAsia" w:asciiTheme="minorEastAsia" w:hAnsiTheme="minorEastAsia"/>
          <w:color w:val="000000" w:themeColor="text1"/>
          <w:sz w:val="24"/>
          <w:szCs w:val="24"/>
          <w14:textFill>
            <w14:solidFill>
              <w14:schemeClr w14:val="tx1"/>
            </w14:solidFill>
          </w14:textFill>
        </w:rPr>
        <w:t>）参与拍卖。</w:t>
      </w:r>
      <w:r>
        <w:rPr>
          <w:rFonts w:hint="eastAsia" w:asciiTheme="minorEastAsia" w:hAnsiTheme="minorEastAsia"/>
          <w:sz w:val="24"/>
          <w:szCs w:val="24"/>
        </w:rPr>
        <w:t>但须在拍卖开始日的</w:t>
      </w:r>
      <w:r>
        <w:rPr>
          <w:rFonts w:hint="eastAsia" w:asciiTheme="minorEastAsia" w:hAnsiTheme="minorEastAsia"/>
          <w:color w:val="000000" w:themeColor="text1"/>
          <w:sz w:val="24"/>
          <w:szCs w:val="24"/>
          <w14:textFill>
            <w14:solidFill>
              <w14:schemeClr w14:val="tx1"/>
            </w14:solidFill>
          </w14:textFill>
        </w:rPr>
        <w:t>两日</w:t>
      </w:r>
      <w:r>
        <w:rPr>
          <w:rFonts w:hint="eastAsia" w:asciiTheme="minorEastAsia" w:hAnsiTheme="minorEastAsia"/>
          <w:sz w:val="24"/>
          <w:szCs w:val="24"/>
        </w:rPr>
        <w:t>前与管理人沟通办理委托手续；竞买成功后，竞买人（公民、法人和其他组织）或其委托代理人应到管理人处办理交付或权属转移手续。如委托手续不全，竞买活动认定为委托代理人的个人行为。因不符合条件参加竞买的，由竞买人自行承担相应的法律责任。</w:t>
      </w:r>
    </w:p>
    <w:p w14:paraId="139A6AF9">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3、负责承办本案件的人民法院、破产企业管理人、网络服务提供者、承担拍卖辅助工作的社会机构或者组织的工作人员及其近亲属不得参与竞买，并不得委托他人代为竞买与其行为相关的拍卖标的物。</w:t>
      </w:r>
    </w:p>
    <w:p w14:paraId="2606858F">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4、因不符合条件参加竞买的，由竞买人/买受人自行承担相应的法律责任。</w:t>
      </w:r>
    </w:p>
    <w:p w14:paraId="633E9424">
      <w:pPr>
        <w:spacing w:line="360" w:lineRule="auto"/>
        <w:ind w:firstLine="482" w:firstLineChars="200"/>
        <w:rPr>
          <w:rFonts w:asciiTheme="minorEastAsia" w:hAnsiTheme="minorEastAsia"/>
          <w:b/>
          <w:sz w:val="24"/>
          <w:szCs w:val="24"/>
        </w:rPr>
      </w:pPr>
      <w:r>
        <w:rPr>
          <w:rFonts w:hint="eastAsia" w:asciiTheme="minorEastAsia" w:hAnsiTheme="minorEastAsia"/>
          <w:b/>
          <w:sz w:val="24"/>
          <w:szCs w:val="24"/>
        </w:rPr>
        <w:t>四、优先购买权人</w:t>
      </w:r>
    </w:p>
    <w:p w14:paraId="72C61712">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1、本标的物优先购买权人：</w:t>
      </w:r>
    </w:p>
    <w:p w14:paraId="34700041">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优先购买权人应于本公告发布之日起3日内向管理人联系，提供相关证明材料，办理相关手续。逾期未提供材料或办理手续者，视为自动放弃优先购买权。</w:t>
      </w:r>
    </w:p>
    <w:p w14:paraId="47C69B0C">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2、优先购买权人参加竞买的，应向管理人提交合法有效的证明，经管理人确认资格及顺位后才能参与竞买，逾期不提交的，视为放弃对标的物享有优先购买权。管理人在正式拍卖日前将经确认的优先权购买人资格和顺位信息，审报网络平台技术部门，录入平台系统。</w:t>
      </w:r>
    </w:p>
    <w:p w14:paraId="2937089B">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3、优先购买权人参与竞买的，与其他竞买人以相同的价格出价，没有更高出价的，标的物由优先购买权人竞得。</w:t>
      </w:r>
    </w:p>
    <w:p w14:paraId="3F51F5B4">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4、顺序不同的优先购买权人申请参与竞买的，管理人应当确认其顺序，赋予不同顺序的优先竞买代码。顺序不同的优先购买权人以相同价格出价的，拍卖财产由顺序在先的优先购买权人竞得。顺序相同的优先购买权人以相同价格出价的，拍卖财产由出价在先的优先购买权人竞得。</w:t>
      </w:r>
    </w:p>
    <w:p w14:paraId="464BDA99">
      <w:pPr>
        <w:spacing w:line="360" w:lineRule="auto"/>
        <w:ind w:firstLine="482" w:firstLineChars="200"/>
        <w:rPr>
          <w:rFonts w:asciiTheme="minorEastAsia" w:hAnsiTheme="minorEastAsia"/>
          <w:b/>
          <w:sz w:val="24"/>
          <w:szCs w:val="24"/>
        </w:rPr>
      </w:pPr>
      <w:r>
        <w:rPr>
          <w:rFonts w:hint="eastAsia" w:asciiTheme="minorEastAsia" w:hAnsiTheme="minorEastAsia"/>
          <w:b/>
          <w:sz w:val="24"/>
          <w:szCs w:val="24"/>
        </w:rPr>
        <w:t>五、拍卖延时</w:t>
      </w:r>
    </w:p>
    <w:p w14:paraId="670E021C">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本次拍卖活动设置延时出价功能，在拍卖活动结束前，每最后5分钟如果有竞买人出价，就自动延迟5分钟。</w:t>
      </w:r>
    </w:p>
    <w:p w14:paraId="1F73E6E8">
      <w:pPr>
        <w:spacing w:line="360" w:lineRule="auto"/>
        <w:ind w:firstLine="482" w:firstLineChars="200"/>
        <w:rPr>
          <w:rFonts w:asciiTheme="minorEastAsia" w:hAnsiTheme="minorEastAsia"/>
          <w:b/>
          <w:sz w:val="24"/>
          <w:szCs w:val="24"/>
        </w:rPr>
      </w:pPr>
      <w:r>
        <w:rPr>
          <w:rFonts w:hint="eastAsia" w:asciiTheme="minorEastAsia" w:hAnsiTheme="minorEastAsia"/>
          <w:b/>
          <w:sz w:val="24"/>
          <w:szCs w:val="24"/>
        </w:rPr>
        <w:t>六、拍卖方式</w:t>
      </w:r>
    </w:p>
    <w:p w14:paraId="3C6E19FD">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本次拍卖采取有保留价的增价拍卖方式，保留价即为起拍价，至少一人报名且出价不低于起拍价，方可成交。无人报名或出价的，竞价会流拍。</w:t>
      </w:r>
    </w:p>
    <w:p w14:paraId="66E7D23A">
      <w:pPr>
        <w:spacing w:line="360" w:lineRule="auto"/>
        <w:ind w:firstLine="482" w:firstLineChars="200"/>
        <w:rPr>
          <w:rFonts w:asciiTheme="minorEastAsia" w:hAnsiTheme="minorEastAsia"/>
          <w:b/>
          <w:sz w:val="24"/>
          <w:szCs w:val="24"/>
        </w:rPr>
      </w:pPr>
      <w:r>
        <w:rPr>
          <w:rFonts w:hint="eastAsia" w:asciiTheme="minorEastAsia" w:hAnsiTheme="minorEastAsia"/>
          <w:b/>
          <w:sz w:val="24"/>
          <w:szCs w:val="24"/>
        </w:rPr>
        <w:t>七、税费及其他费用承担</w:t>
      </w:r>
    </w:p>
    <w:p w14:paraId="2D4E031E">
      <w:pPr>
        <w:spacing w:line="360" w:lineRule="auto"/>
        <w:ind w:firstLine="482"/>
        <w:rPr>
          <w:rFonts w:asciiTheme="minorEastAsia" w:hAnsiTheme="minorEastAsia"/>
          <w:b/>
          <w:color w:val="FF0000"/>
          <w:sz w:val="24"/>
          <w:szCs w:val="24"/>
        </w:rPr>
      </w:pPr>
      <w:r>
        <w:rPr>
          <w:rFonts w:hint="eastAsia" w:asciiTheme="minorEastAsia" w:hAnsiTheme="minorEastAsia"/>
          <w:b/>
          <w:color w:val="FF0000"/>
          <w:sz w:val="24"/>
          <w:szCs w:val="24"/>
        </w:rPr>
        <w:t>本次拍卖活动计价货币为人民币。本次拍卖成交价不含税费及其他费用。</w:t>
      </w:r>
      <w:r>
        <w:rPr>
          <w:rFonts w:ascii="宋体" w:hAnsi="宋体"/>
          <w:b/>
          <w:color w:val="FF0000"/>
          <w:sz w:val="24"/>
        </w:rPr>
        <w:t>标的物</w:t>
      </w:r>
      <w:r>
        <w:rPr>
          <w:rFonts w:hint="eastAsia" w:ascii="宋体" w:hAnsi="宋体"/>
          <w:b/>
          <w:color w:val="FF0000"/>
          <w:sz w:val="24"/>
        </w:rPr>
        <w:t>债权</w:t>
      </w:r>
      <w:r>
        <w:rPr>
          <w:rFonts w:ascii="宋体" w:hAnsi="宋体"/>
          <w:b/>
          <w:color w:val="FF0000"/>
          <w:sz w:val="24"/>
        </w:rPr>
        <w:t>转让登记手续由买受人</w:t>
      </w:r>
      <w:r>
        <w:rPr>
          <w:rFonts w:hint="eastAsia" w:ascii="宋体" w:hAnsi="宋体"/>
          <w:b/>
          <w:color w:val="FF0000"/>
          <w:sz w:val="24"/>
        </w:rPr>
        <w:t>自行</w:t>
      </w:r>
      <w:r>
        <w:rPr>
          <w:rFonts w:ascii="宋体" w:hAnsi="宋体"/>
          <w:b/>
          <w:color w:val="FF0000"/>
          <w:sz w:val="24"/>
        </w:rPr>
        <w:t>办理，管理人将给予必要的协助。</w:t>
      </w:r>
      <w:r>
        <w:rPr>
          <w:rFonts w:hint="eastAsia" w:asciiTheme="minorEastAsia" w:hAnsiTheme="minorEastAsia"/>
          <w:b/>
          <w:color w:val="FF0000"/>
          <w:sz w:val="24"/>
          <w:szCs w:val="24"/>
        </w:rPr>
        <w:t>因标的物转让权属发生变更买卖双方所涉及的一切税、费和可能需要补交的相关税、费等由买受人承担。如未明确缴费义务人的费用由买受人承担。买受人在竞买前应向所涉税务局部门确认成交后应缴纳的税费标准。</w:t>
      </w:r>
    </w:p>
    <w:p w14:paraId="0C4A58F9">
      <w:pPr>
        <w:spacing w:line="360" w:lineRule="auto"/>
        <w:ind w:firstLine="482"/>
        <w:rPr>
          <w:rFonts w:cs="宋体" w:asciiTheme="minorEastAsia" w:hAnsiTheme="minorEastAsia"/>
          <w:b/>
          <w:sz w:val="24"/>
        </w:rPr>
      </w:pPr>
      <w:r>
        <w:rPr>
          <w:rFonts w:cs="宋体" w:asciiTheme="minorEastAsia" w:hAnsiTheme="minorEastAsia"/>
          <w:b/>
          <w:sz w:val="24"/>
        </w:rPr>
        <w:t>八、签署成交文件</w:t>
      </w:r>
    </w:p>
    <w:p w14:paraId="7653EA24">
      <w:pPr>
        <w:spacing w:line="360" w:lineRule="auto"/>
        <w:ind w:firstLine="482"/>
        <w:rPr>
          <w:rFonts w:cs="宋体" w:asciiTheme="minorEastAsia" w:hAnsiTheme="minorEastAsia"/>
          <w:bCs/>
          <w:sz w:val="24"/>
        </w:rPr>
      </w:pPr>
      <w:r>
        <w:rPr>
          <w:rFonts w:cs="宋体" w:asciiTheme="minorEastAsia" w:hAnsiTheme="minorEastAsia"/>
          <w:bCs/>
          <w:sz w:val="24"/>
        </w:rPr>
        <w:t>买受人须在拍卖成交之日起三日内（遇节假日顺延）凭缴纳拍卖保证金平台生成的竞买号及相关身份材料到管理人处签署拍卖成交确认文件。</w:t>
      </w:r>
    </w:p>
    <w:p w14:paraId="4A357F23">
      <w:pPr>
        <w:spacing w:line="360" w:lineRule="auto"/>
        <w:ind w:firstLine="482" w:firstLineChars="200"/>
        <w:rPr>
          <w:rFonts w:asciiTheme="minorEastAsia" w:hAnsiTheme="minorEastAsia"/>
          <w:b/>
          <w:sz w:val="24"/>
          <w:szCs w:val="24"/>
        </w:rPr>
      </w:pPr>
      <w:r>
        <w:rPr>
          <w:rFonts w:hint="eastAsia" w:asciiTheme="minorEastAsia" w:hAnsiTheme="minorEastAsia"/>
          <w:b/>
          <w:sz w:val="24"/>
          <w:szCs w:val="24"/>
        </w:rPr>
        <w:t>九、保证金和余款支付</w:t>
      </w:r>
    </w:p>
    <w:p w14:paraId="015B35B7">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1、拍卖竞价前将通过网拍系统在竞买人支付宝账户内冻结相应资金作为应缴的保证金，拍卖结束后未能竞得者冻结的保证金自动解冻，冻结期间不计利息。本标的物竞得者原冻结的保证金自动转入指定账户冲抵价款。拍卖余款由竞得者在拍卖成交（即竞价成功日，下同）后</w:t>
      </w:r>
      <w:r>
        <w:rPr>
          <w:rFonts w:hint="eastAsia" w:asciiTheme="minorEastAsia" w:hAnsiTheme="minorEastAsia"/>
          <w:b/>
          <w:color w:val="FF0000"/>
          <w:sz w:val="24"/>
          <w:szCs w:val="24"/>
        </w:rPr>
        <w:t>十</w:t>
      </w:r>
      <w:r>
        <w:rPr>
          <w:rFonts w:hint="eastAsia" w:asciiTheme="minorEastAsia" w:hAnsiTheme="minorEastAsia"/>
          <w:b/>
          <w:bCs/>
          <w:color w:val="FF0000"/>
          <w:sz w:val="24"/>
          <w:szCs w:val="24"/>
        </w:rPr>
        <w:t>日</w:t>
      </w:r>
      <w:r>
        <w:rPr>
          <w:rFonts w:hint="eastAsia" w:asciiTheme="minorEastAsia" w:hAnsiTheme="minorEastAsia"/>
          <w:sz w:val="24"/>
          <w:szCs w:val="24"/>
        </w:rPr>
        <w:t>内缴纳至管理人指定账户：</w:t>
      </w:r>
    </w:p>
    <w:p w14:paraId="01D36127">
      <w:pPr>
        <w:spacing w:line="360" w:lineRule="auto"/>
        <w:ind w:firstLine="482" w:firstLineChars="200"/>
        <w:rPr>
          <w:rFonts w:asciiTheme="minorEastAsia" w:hAnsiTheme="minorEastAsia"/>
          <w:b/>
          <w:color w:val="FF0000"/>
          <w:sz w:val="24"/>
          <w:szCs w:val="24"/>
        </w:rPr>
      </w:pPr>
      <w:r>
        <w:rPr>
          <w:rFonts w:hint="eastAsia" w:asciiTheme="minorEastAsia" w:hAnsiTheme="minorEastAsia"/>
          <w:b/>
          <w:color w:val="FF0000"/>
          <w:sz w:val="24"/>
          <w:szCs w:val="24"/>
        </w:rPr>
        <w:t>户  名：北京东方汇通教育科技有限公司管理人</w:t>
      </w:r>
    </w:p>
    <w:p w14:paraId="2542D7B5">
      <w:pPr>
        <w:spacing w:line="360" w:lineRule="auto"/>
        <w:ind w:firstLine="482" w:firstLineChars="200"/>
        <w:rPr>
          <w:rFonts w:asciiTheme="minorEastAsia" w:hAnsiTheme="minorEastAsia"/>
          <w:b/>
          <w:color w:val="FF0000"/>
          <w:sz w:val="24"/>
          <w:szCs w:val="24"/>
        </w:rPr>
      </w:pPr>
      <w:r>
        <w:rPr>
          <w:rFonts w:hint="eastAsia" w:asciiTheme="minorEastAsia" w:hAnsiTheme="minorEastAsia"/>
          <w:b/>
          <w:color w:val="FF0000"/>
          <w:sz w:val="24"/>
          <w:szCs w:val="24"/>
        </w:rPr>
        <w:t>开户行：中信银行股份有限公司北京和平里支行</w:t>
      </w:r>
    </w:p>
    <w:p w14:paraId="1059F9A0">
      <w:pPr>
        <w:spacing w:line="360" w:lineRule="auto"/>
        <w:ind w:firstLine="482" w:firstLineChars="200"/>
        <w:rPr>
          <w:rFonts w:asciiTheme="minorEastAsia" w:hAnsiTheme="minorEastAsia"/>
          <w:b/>
          <w:color w:val="FF0000"/>
          <w:sz w:val="24"/>
          <w:szCs w:val="24"/>
        </w:rPr>
      </w:pPr>
      <w:r>
        <w:rPr>
          <w:rFonts w:hint="eastAsia" w:asciiTheme="minorEastAsia" w:hAnsiTheme="minorEastAsia"/>
          <w:b/>
          <w:color w:val="FF0000"/>
          <w:sz w:val="24"/>
          <w:szCs w:val="24"/>
        </w:rPr>
        <w:t>账  户：8110701011602749409</w:t>
      </w:r>
    </w:p>
    <w:p w14:paraId="763DACF4">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2、支付宝网上付款方式：登录我的淘宝-我的拍卖支付，付款教程：https://www.taobao.com/market/paimai/sf-helpcenter.php?path=sf-hc-right-content5#q8）</w:t>
      </w:r>
    </w:p>
    <w:p w14:paraId="37210B0C">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3、破产企业资产拍卖因标的物本身价值，其起拍价、保证金、竞拍成交价格相对较高的，竞买人参与竞拍，支付保证金及余款可能会碰到当天限额无法支付的情况，请竞买人根据自身情况选择网上充值银行。各大银行充值和支付的限额情况可上网查询，网址：https://www.taobao.com/market/paimai/sf-helpcenter.php?path=sf-hc-right-content5#q1</w:t>
      </w:r>
    </w:p>
    <w:p w14:paraId="09B18F53">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4、拍卖成交后买受人悔拍（包括但不限于买受人未在拍卖成交后十日内将拍卖成交全部余款缴入指定账户，以及买受人明示或暗示其悔拍等情形）的，管理人可重新委托拍卖，买受人交纳的保证金不予退还，计入债务人财产。保证金数额不足以弥补拍卖费用损失以及重新拍卖价款低于原拍卖价款的差价的，管理人可向悔拍人追索。重新拍卖时，原买受人不得参加竞买。</w:t>
      </w:r>
    </w:p>
    <w:p w14:paraId="7BD40CF6">
      <w:pPr>
        <w:spacing w:line="360" w:lineRule="auto"/>
        <w:ind w:firstLine="482" w:firstLineChars="200"/>
        <w:rPr>
          <w:rFonts w:asciiTheme="minorEastAsia" w:hAnsiTheme="minorEastAsia"/>
          <w:b/>
          <w:color w:val="FF0000"/>
          <w:sz w:val="24"/>
          <w:szCs w:val="24"/>
        </w:rPr>
      </w:pPr>
      <w:r>
        <w:rPr>
          <w:rFonts w:hint="eastAsia" w:asciiTheme="minorEastAsia" w:hAnsiTheme="minorEastAsia"/>
          <w:b/>
          <w:color w:val="FF0000"/>
          <w:sz w:val="24"/>
          <w:szCs w:val="24"/>
        </w:rPr>
        <w:t>特别提示：</w:t>
      </w:r>
    </w:p>
    <w:p w14:paraId="110220D9">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1、综合服务费由拍卖辅助机构收取（按照成交价格的2%计算，封顶不超过200万元）买受人需在成交之后十日内将综合服务费汇款至北京嘉运亨通拍卖有限公司指定账户【户名：北京嘉运亨通拍卖有限公司；开户行：招商银行股份有限公司北京崇文门支行；账号：110945693810201；以到账时间为准】。</w:t>
      </w:r>
    </w:p>
    <w:p w14:paraId="19B2D277">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2、软件服务费由阿里拍卖平台收取，付费方式及软件服务费金额等请详见《阿里拍卖平台破产资产处置频道收费规则》。买受人须于成交后十日内通过线上完成相应费用的支付后，保证金将转为部分成交价款转至管理人的支付宝账户。</w:t>
      </w:r>
    </w:p>
    <w:p w14:paraId="7C40EA75">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3、上述综合服务费和软件服务费，买受人逾期未全额缴纳的，阿里拍卖平台和拍卖辅助机构可对其进行依法追缴。买受人缴纳相关费用后如需索取发票的，买受人可与拍卖辅助机构联系开具或在阿里支付系统中查看已完成支付的软件服务费记录并点击申请开票。</w:t>
      </w:r>
    </w:p>
    <w:p w14:paraId="616F726E">
      <w:pPr>
        <w:spacing w:line="360" w:lineRule="auto"/>
        <w:ind w:firstLine="482" w:firstLineChars="200"/>
        <w:rPr>
          <w:rFonts w:asciiTheme="minorEastAsia" w:hAnsiTheme="minorEastAsia"/>
          <w:b/>
          <w:color w:val="FF0000"/>
          <w:sz w:val="24"/>
          <w:szCs w:val="24"/>
        </w:rPr>
      </w:pPr>
      <w:r>
        <w:rPr>
          <w:rFonts w:hint="eastAsia" w:asciiTheme="minorEastAsia" w:hAnsiTheme="minorEastAsia"/>
          <w:b/>
          <w:color w:val="FF0000"/>
          <w:sz w:val="24"/>
          <w:szCs w:val="24"/>
        </w:rPr>
        <w:t>十、拍品交付</w:t>
      </w:r>
    </w:p>
    <w:p w14:paraId="7D9CF585">
      <w:pPr>
        <w:spacing w:line="360" w:lineRule="auto"/>
        <w:ind w:firstLine="482" w:firstLineChars="200"/>
        <w:rPr>
          <w:rFonts w:asciiTheme="minorEastAsia" w:hAnsiTheme="minorEastAsia"/>
          <w:b/>
          <w:bCs/>
          <w:sz w:val="24"/>
          <w:szCs w:val="24"/>
          <w:u w:val="single"/>
        </w:rPr>
      </w:pPr>
      <w:r>
        <w:rPr>
          <w:rFonts w:hint="eastAsia" w:asciiTheme="minorEastAsia" w:hAnsiTheme="minorEastAsia"/>
          <w:b/>
          <w:bCs/>
          <w:sz w:val="24"/>
          <w:szCs w:val="24"/>
          <w:u w:val="single"/>
        </w:rPr>
        <w:t>1、买受人在缴纳完全部拍卖款项，持有效身份证明及签署好的拍卖成交文件前往管理人处办理交割手续，由买受人自行前往相关部门办理债权转让手续，能否办理债权转让手续及办理债权转让手续的时间请竞买人在竞买前，自行到相关部门咨询确认，管理人和拍卖辅助机构不做债权转让的任何承诺。拍品转让登记可能涉及的全部费用均由买受人自行负责，与管理人和拍卖辅助机构无关。</w:t>
      </w:r>
    </w:p>
    <w:p w14:paraId="630AD3CB">
      <w:pPr>
        <w:spacing w:line="360" w:lineRule="auto"/>
        <w:ind w:firstLine="482" w:firstLineChars="200"/>
        <w:rPr>
          <w:rFonts w:asciiTheme="minorEastAsia" w:hAnsiTheme="minorEastAsia"/>
          <w:b/>
          <w:bCs/>
          <w:sz w:val="24"/>
          <w:szCs w:val="24"/>
          <w:u w:val="single"/>
        </w:rPr>
      </w:pPr>
      <w:r>
        <w:rPr>
          <w:rFonts w:hint="eastAsia" w:asciiTheme="minorEastAsia" w:hAnsiTheme="minorEastAsia"/>
          <w:b/>
          <w:bCs/>
          <w:sz w:val="24"/>
          <w:szCs w:val="24"/>
          <w:u w:val="single"/>
        </w:rPr>
        <w:t>2、如标的物存在冻结、质押等权利限制、政策原因或存在隐性瑕疵导致债权变更手续办理延长或者受阻等情况的，管理人和拍卖辅助机构不保证买受人可避免上述情况，亦不就上述情况的发生承担任何法律责任。</w:t>
      </w:r>
    </w:p>
    <w:p w14:paraId="560F1C1D">
      <w:pPr>
        <w:spacing w:line="360" w:lineRule="auto"/>
        <w:ind w:firstLine="482" w:firstLineChars="200"/>
        <w:rPr>
          <w:rFonts w:asciiTheme="minorEastAsia" w:hAnsiTheme="minorEastAsia"/>
          <w:sz w:val="24"/>
          <w:szCs w:val="24"/>
        </w:rPr>
      </w:pPr>
      <w:r>
        <w:rPr>
          <w:rFonts w:hint="eastAsia" w:asciiTheme="minorEastAsia" w:hAnsiTheme="minorEastAsia"/>
          <w:b/>
          <w:sz w:val="24"/>
          <w:szCs w:val="24"/>
        </w:rPr>
        <w:t>十一、</w:t>
      </w:r>
      <w:r>
        <w:rPr>
          <w:rFonts w:hint="eastAsia" w:asciiTheme="minorEastAsia" w:hAnsiTheme="minorEastAsia"/>
          <w:sz w:val="24"/>
          <w:szCs w:val="24"/>
        </w:rPr>
        <w:t>依照相关法律规定，竞买人成功竞得网拍标的物后，淘宝网拍平台将生成相应《网络竞价成功确认书》，该材料仅为竞价成功确认书，载明实际买受人姓名、网拍竞买号信息，非《拍卖成交确认书》。</w:t>
      </w:r>
    </w:p>
    <w:p w14:paraId="1CB67441">
      <w:pPr>
        <w:spacing w:line="360" w:lineRule="auto"/>
        <w:ind w:firstLine="482" w:firstLineChars="200"/>
        <w:rPr>
          <w:rFonts w:asciiTheme="minorEastAsia" w:hAnsiTheme="minorEastAsia"/>
          <w:sz w:val="24"/>
          <w:szCs w:val="24"/>
        </w:rPr>
      </w:pPr>
      <w:r>
        <w:rPr>
          <w:rFonts w:hint="eastAsia" w:asciiTheme="minorEastAsia" w:hAnsiTheme="minorEastAsia"/>
          <w:b/>
          <w:sz w:val="24"/>
          <w:szCs w:val="24"/>
        </w:rPr>
        <w:t>十二、</w:t>
      </w:r>
      <w:r>
        <w:rPr>
          <w:rFonts w:hint="eastAsia" w:asciiTheme="minorEastAsia" w:hAnsiTheme="minorEastAsia"/>
          <w:sz w:val="24"/>
          <w:szCs w:val="24"/>
        </w:rPr>
        <w:t>竞买人在拍卖竞价前请务必再仔细阅读《竞买须知》、《拍卖标的物调查情况表》。本《竞买公告》其他未尽事宜，请向管理人咨询；拍卖标的物详情请咨询管理人。</w:t>
      </w:r>
    </w:p>
    <w:p w14:paraId="69B63713">
      <w:pPr>
        <w:spacing w:line="360" w:lineRule="auto"/>
        <w:ind w:firstLine="482" w:firstLineChars="200"/>
        <w:rPr>
          <w:rFonts w:asciiTheme="minorEastAsia" w:hAnsiTheme="minorEastAsia"/>
          <w:bCs/>
          <w:sz w:val="24"/>
          <w:szCs w:val="24"/>
        </w:rPr>
      </w:pPr>
      <w:r>
        <w:rPr>
          <w:rFonts w:hint="eastAsia" w:asciiTheme="minorEastAsia" w:hAnsiTheme="minorEastAsia"/>
          <w:b/>
          <w:sz w:val="24"/>
          <w:szCs w:val="24"/>
        </w:rPr>
        <w:t>十三、</w:t>
      </w:r>
      <w:r>
        <w:rPr>
          <w:rFonts w:hint="eastAsia" w:asciiTheme="minorEastAsia" w:hAnsiTheme="minorEastAsia"/>
          <w:bCs/>
          <w:sz w:val="24"/>
          <w:szCs w:val="24"/>
        </w:rPr>
        <w:t>破产案件监督单位：北京市第一中级人民法院;</w:t>
      </w:r>
    </w:p>
    <w:p w14:paraId="1E96B4C9">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咨询电话：王女士：18201408042；李先生：13552572522；</w:t>
      </w:r>
    </w:p>
    <w:p w14:paraId="16A24E53">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淘宝技术咨询：400-822-2870；</w:t>
      </w:r>
    </w:p>
    <w:p w14:paraId="6380F526">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法院监督电话：010-68639038。</w:t>
      </w:r>
    </w:p>
    <w:p w14:paraId="6BA38EAE">
      <w:pPr>
        <w:spacing w:line="360" w:lineRule="auto"/>
        <w:ind w:firstLine="482" w:firstLineChars="200"/>
        <w:rPr>
          <w:rFonts w:asciiTheme="minorEastAsia" w:hAnsiTheme="minorEastAsia"/>
          <w:b/>
          <w:color w:val="FF0000"/>
          <w:sz w:val="24"/>
          <w:szCs w:val="24"/>
        </w:rPr>
      </w:pPr>
      <w:r>
        <w:rPr>
          <w:rFonts w:hint="eastAsia" w:asciiTheme="minorEastAsia" w:hAnsiTheme="minorEastAsia"/>
          <w:b/>
          <w:color w:val="FF0000"/>
          <w:sz w:val="24"/>
          <w:szCs w:val="24"/>
        </w:rPr>
        <w:t>本次拍卖活动最终解释权归北京东方汇通教育科技有限公司管理人所有。</w:t>
      </w:r>
    </w:p>
    <w:p w14:paraId="7CA5A2D1">
      <w:pPr>
        <w:spacing w:line="360" w:lineRule="auto"/>
        <w:ind w:firstLine="480" w:firstLineChars="200"/>
        <w:rPr>
          <w:rFonts w:asciiTheme="minorEastAsia" w:hAnsiTheme="minorEastAsia"/>
          <w:sz w:val="24"/>
          <w:szCs w:val="24"/>
        </w:rPr>
      </w:pPr>
      <w:r>
        <w:rPr>
          <w:rFonts w:asciiTheme="minorEastAsia" w:hAnsiTheme="minorEastAsia"/>
          <w:sz w:val="24"/>
          <w:szCs w:val="24"/>
        </w:rPr>
        <w:t xml:space="preserve">                                                                          </w:t>
      </w:r>
    </w:p>
    <w:p w14:paraId="796424A2">
      <w:pPr>
        <w:spacing w:line="360" w:lineRule="auto"/>
        <w:ind w:firstLine="480" w:firstLineChars="200"/>
        <w:jc w:val="right"/>
        <w:rPr>
          <w:rFonts w:asciiTheme="minorEastAsia" w:hAnsiTheme="minorEastAsia"/>
          <w:sz w:val="24"/>
          <w:szCs w:val="24"/>
        </w:rPr>
      </w:pPr>
      <w:r>
        <w:rPr>
          <w:rFonts w:hint="eastAsia" w:asciiTheme="minorEastAsia" w:hAnsiTheme="minorEastAsia"/>
          <w:sz w:val="24"/>
          <w:szCs w:val="24"/>
        </w:rPr>
        <w:t>北京东方汇通教育科技有限公司管理人</w:t>
      </w:r>
    </w:p>
    <w:p w14:paraId="11DE4CAC">
      <w:pPr>
        <w:spacing w:line="360" w:lineRule="auto"/>
        <w:ind w:firstLine="480" w:firstLineChars="200"/>
        <w:jc w:val="right"/>
        <w:rPr>
          <w:rFonts w:asciiTheme="minorEastAsia" w:hAnsiTheme="minorEastAsia"/>
          <w:sz w:val="24"/>
          <w:szCs w:val="24"/>
        </w:rPr>
      </w:pPr>
    </w:p>
    <w:p w14:paraId="183012AB">
      <w:pPr>
        <w:spacing w:line="360" w:lineRule="auto"/>
        <w:ind w:firstLine="480" w:firstLineChars="200"/>
        <w:jc w:val="right"/>
        <w:rPr>
          <w:rFonts w:asciiTheme="minorEastAsia" w:hAnsiTheme="minorEastAsia"/>
          <w:sz w:val="24"/>
          <w:szCs w:val="24"/>
        </w:rPr>
      </w:pPr>
      <w:r>
        <w:rPr>
          <w:rFonts w:hint="eastAsia" w:asciiTheme="minorEastAsia" w:hAnsiTheme="minorEastAsia"/>
          <w:sz w:val="24"/>
          <w:szCs w:val="24"/>
        </w:rPr>
        <w:t>二〇二六年一月</w:t>
      </w:r>
      <w:r>
        <w:rPr>
          <w:rFonts w:hint="eastAsia" w:asciiTheme="minorEastAsia" w:hAnsiTheme="minorEastAsia"/>
          <w:sz w:val="24"/>
          <w:szCs w:val="24"/>
          <w:lang w:val="en-US" w:eastAsia="zh-CN"/>
        </w:rPr>
        <w:t>九</w:t>
      </w:r>
      <w:r>
        <w:rPr>
          <w:rFonts w:hint="eastAsia" w:asciiTheme="minorEastAsia" w:hAnsiTheme="minorEastAsia"/>
          <w:sz w:val="24"/>
          <w:szCs w:val="24"/>
        </w:rPr>
        <w:t>日</w:t>
      </w:r>
    </w:p>
    <w:bookmarkEnd w:id="2"/>
    <w:p w14:paraId="0748D5BC">
      <w:pPr>
        <w:spacing w:line="360" w:lineRule="auto"/>
        <w:rPr>
          <w:rFonts w:asciiTheme="minorEastAsia" w:hAnsiTheme="minorEastAsia"/>
          <w:sz w:val="24"/>
          <w:szCs w:val="24"/>
        </w:rPr>
      </w:pPr>
    </w:p>
    <w:p w14:paraId="103C35D6">
      <w:pPr>
        <w:spacing w:line="360" w:lineRule="auto"/>
        <w:jc w:val="center"/>
        <w:rPr>
          <w:rFonts w:asciiTheme="minorEastAsia" w:hAnsiTheme="minorEastAsia"/>
          <w:b/>
          <w:sz w:val="44"/>
          <w:szCs w:val="44"/>
        </w:rPr>
      </w:pPr>
    </w:p>
    <w:p w14:paraId="5CE91FE2">
      <w:pPr>
        <w:spacing w:line="360" w:lineRule="auto"/>
        <w:jc w:val="center"/>
        <w:rPr>
          <w:rFonts w:asciiTheme="minorEastAsia" w:hAnsiTheme="minorEastAsia"/>
          <w:b/>
          <w:sz w:val="44"/>
          <w:szCs w:val="44"/>
        </w:rPr>
      </w:pPr>
    </w:p>
    <w:p w14:paraId="27EBC615">
      <w:pPr>
        <w:spacing w:line="360" w:lineRule="auto"/>
        <w:jc w:val="center"/>
        <w:rPr>
          <w:rFonts w:asciiTheme="minorEastAsia" w:hAnsiTheme="minorEastAsia"/>
          <w:b/>
          <w:sz w:val="44"/>
          <w:szCs w:val="44"/>
        </w:rPr>
      </w:pPr>
    </w:p>
    <w:p w14:paraId="70EA107B">
      <w:pPr>
        <w:spacing w:line="360" w:lineRule="auto"/>
        <w:jc w:val="center"/>
        <w:rPr>
          <w:rFonts w:asciiTheme="minorEastAsia" w:hAnsiTheme="minorEastAsia"/>
          <w:b/>
          <w:sz w:val="44"/>
          <w:szCs w:val="44"/>
        </w:rPr>
      </w:pPr>
      <w:r>
        <w:rPr>
          <w:rFonts w:hint="eastAsia" w:asciiTheme="minorEastAsia" w:hAnsiTheme="minorEastAsia"/>
          <w:b/>
          <w:sz w:val="44"/>
          <w:szCs w:val="44"/>
        </w:rPr>
        <w:t>竞 买 须 知</w:t>
      </w:r>
    </w:p>
    <w:p w14:paraId="5E87324C">
      <w:pPr>
        <w:spacing w:line="360" w:lineRule="auto"/>
        <w:ind w:firstLine="480" w:firstLineChars="200"/>
        <w:rPr>
          <w:rFonts w:asciiTheme="minorEastAsia" w:hAnsiTheme="minorEastAsia"/>
          <w:sz w:val="24"/>
          <w:szCs w:val="24"/>
        </w:rPr>
      </w:pPr>
      <w:r>
        <w:rPr>
          <w:rFonts w:asciiTheme="minorEastAsia" w:hAnsiTheme="minorEastAsia"/>
          <w:sz w:val="24"/>
          <w:szCs w:val="24"/>
        </w:rPr>
        <w:t xml:space="preserve"> </w:t>
      </w:r>
    </w:p>
    <w:p w14:paraId="03A171F1">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北京东方汇通教育科技有限公司管理人将于2</w:t>
      </w:r>
      <w:r>
        <w:rPr>
          <w:rFonts w:asciiTheme="minorEastAsia" w:hAnsiTheme="minorEastAsia"/>
          <w:sz w:val="24"/>
          <w:szCs w:val="24"/>
        </w:rPr>
        <w:t>0</w:t>
      </w:r>
      <w:r>
        <w:rPr>
          <w:rFonts w:hint="eastAsia" w:asciiTheme="minorEastAsia" w:hAnsiTheme="minorEastAsia"/>
          <w:sz w:val="24"/>
          <w:szCs w:val="24"/>
        </w:rPr>
        <w:t>26</w:t>
      </w:r>
      <w:r>
        <w:rPr>
          <w:rFonts w:asciiTheme="minorEastAsia" w:hAnsiTheme="minorEastAsia"/>
          <w:sz w:val="24"/>
          <w:szCs w:val="24"/>
        </w:rPr>
        <w:t>年</w:t>
      </w:r>
      <w:r>
        <w:rPr>
          <w:rFonts w:hint="eastAsia" w:asciiTheme="minorEastAsia" w:hAnsiTheme="minorEastAsia"/>
          <w:sz w:val="24"/>
          <w:szCs w:val="24"/>
        </w:rPr>
        <w:t>1月2</w:t>
      </w:r>
      <w:r>
        <w:rPr>
          <w:rFonts w:hint="eastAsia" w:asciiTheme="minorEastAsia" w:hAnsiTheme="minorEastAsia"/>
          <w:sz w:val="24"/>
          <w:szCs w:val="24"/>
          <w:lang w:val="en-US" w:eastAsia="zh-CN"/>
        </w:rPr>
        <w:t>5</w:t>
      </w:r>
      <w:r>
        <w:rPr>
          <w:rFonts w:hint="eastAsia" w:asciiTheme="minorEastAsia" w:hAnsiTheme="minorEastAsia"/>
          <w:sz w:val="24"/>
          <w:szCs w:val="24"/>
        </w:rPr>
        <w:t>日</w:t>
      </w:r>
      <w:r>
        <w:rPr>
          <w:rFonts w:asciiTheme="minorEastAsia" w:hAnsiTheme="minorEastAsia"/>
          <w:sz w:val="24"/>
          <w:szCs w:val="24"/>
        </w:rPr>
        <w:t>10时至20</w:t>
      </w:r>
      <w:r>
        <w:rPr>
          <w:rFonts w:hint="eastAsia" w:asciiTheme="minorEastAsia" w:hAnsiTheme="minorEastAsia"/>
          <w:sz w:val="24"/>
          <w:szCs w:val="24"/>
        </w:rPr>
        <w:t>26</w:t>
      </w:r>
      <w:r>
        <w:rPr>
          <w:rFonts w:asciiTheme="minorEastAsia" w:hAnsiTheme="minorEastAsia"/>
          <w:sz w:val="24"/>
          <w:szCs w:val="24"/>
        </w:rPr>
        <w:t>年</w:t>
      </w:r>
      <w:r>
        <w:rPr>
          <w:rFonts w:hint="eastAsia" w:asciiTheme="minorEastAsia" w:hAnsiTheme="minorEastAsia"/>
          <w:sz w:val="24"/>
          <w:szCs w:val="24"/>
        </w:rPr>
        <w:t>1月2</w:t>
      </w:r>
      <w:r>
        <w:rPr>
          <w:rFonts w:hint="eastAsia" w:asciiTheme="minorEastAsia" w:hAnsiTheme="minorEastAsia"/>
          <w:sz w:val="24"/>
          <w:szCs w:val="24"/>
          <w:lang w:val="en-US" w:eastAsia="zh-CN"/>
        </w:rPr>
        <w:t>6</w:t>
      </w:r>
      <w:r>
        <w:rPr>
          <w:rFonts w:hint="eastAsia" w:asciiTheme="minorEastAsia" w:hAnsiTheme="minorEastAsia"/>
          <w:sz w:val="24"/>
          <w:szCs w:val="24"/>
        </w:rPr>
        <w:t>日</w:t>
      </w:r>
      <w:r>
        <w:rPr>
          <w:rFonts w:asciiTheme="minorEastAsia" w:hAnsiTheme="minorEastAsia"/>
          <w:sz w:val="24"/>
          <w:szCs w:val="24"/>
        </w:rPr>
        <w:t>10时</w:t>
      </w:r>
      <w:r>
        <w:rPr>
          <w:rFonts w:hint="eastAsia" w:asciiTheme="minorEastAsia" w:hAnsiTheme="minorEastAsia"/>
          <w:sz w:val="24"/>
          <w:szCs w:val="24"/>
        </w:rPr>
        <w:t>止（延时除外）在阿里资产·破产网络拍卖平台进行公开拍卖活动，（网址：</w:t>
      </w:r>
      <w:r>
        <w:rPr>
          <w:rFonts w:asciiTheme="minorEastAsia" w:hAnsiTheme="minorEastAsia"/>
          <w:sz w:val="24"/>
          <w:szCs w:val="24"/>
        </w:rPr>
        <w:t xml:space="preserve"> https://susong.taobao.com/</w:t>
      </w:r>
      <w:r>
        <w:rPr>
          <w:rFonts w:hint="eastAsia" w:asciiTheme="minorEastAsia" w:hAnsiTheme="minorEastAsia"/>
          <w:sz w:val="24"/>
          <w:szCs w:val="24"/>
        </w:rPr>
        <w:t>）现就网上拍卖有关事宜敬告各位竞买人：</w:t>
      </w:r>
    </w:p>
    <w:p w14:paraId="639CE657">
      <w:pPr>
        <w:spacing w:line="360" w:lineRule="auto"/>
        <w:ind w:firstLine="482" w:firstLineChars="200"/>
        <w:rPr>
          <w:rFonts w:asciiTheme="minorEastAsia" w:hAnsiTheme="minorEastAsia"/>
          <w:sz w:val="24"/>
          <w:szCs w:val="24"/>
        </w:rPr>
      </w:pPr>
      <w:r>
        <w:rPr>
          <w:rFonts w:hint="eastAsia" w:asciiTheme="minorEastAsia" w:hAnsiTheme="minorEastAsia"/>
          <w:b/>
          <w:sz w:val="24"/>
          <w:szCs w:val="24"/>
        </w:rPr>
        <w:t>一、</w:t>
      </w:r>
      <w:r>
        <w:rPr>
          <w:rFonts w:hint="eastAsia" w:asciiTheme="minorEastAsia" w:hAnsiTheme="minorEastAsia"/>
          <w:sz w:val="24"/>
          <w:szCs w:val="24"/>
        </w:rPr>
        <w:t>本《竞买须知》根据《中华人民共和国民事诉讼法》、《中华人民共和国企业破产法》、《最高人民法院关于人民法院网络司法拍卖若干问题的规定》【法释（2016）18号】等相关法律规定所制订，竞买人应认真仔细阅读，了解本须知的全部内容。</w:t>
      </w:r>
    </w:p>
    <w:p w14:paraId="153D95DD">
      <w:pPr>
        <w:spacing w:line="360" w:lineRule="auto"/>
        <w:ind w:firstLine="482" w:firstLineChars="200"/>
        <w:rPr>
          <w:rFonts w:asciiTheme="minorEastAsia" w:hAnsiTheme="minorEastAsia"/>
          <w:sz w:val="24"/>
          <w:szCs w:val="24"/>
        </w:rPr>
      </w:pPr>
      <w:r>
        <w:rPr>
          <w:rFonts w:hint="eastAsia" w:asciiTheme="minorEastAsia" w:hAnsiTheme="minorEastAsia"/>
          <w:b/>
          <w:sz w:val="24"/>
          <w:szCs w:val="24"/>
        </w:rPr>
        <w:t>二、</w:t>
      </w:r>
      <w:r>
        <w:rPr>
          <w:rFonts w:hint="eastAsia" w:asciiTheme="minorEastAsia" w:hAnsiTheme="minorEastAsia"/>
          <w:sz w:val="24"/>
          <w:szCs w:val="24"/>
        </w:rPr>
        <w:t>本次拍卖活动遵循“公开、公平、公正、诚实守信”的原则，拍卖活动具备法律效力。参加本次拍卖活动的当事人和竞买人必须遵守本须知的各项条款，并对自己的行为承担法律责任。</w:t>
      </w:r>
    </w:p>
    <w:p w14:paraId="76AAF53B">
      <w:pPr>
        <w:spacing w:line="360" w:lineRule="auto"/>
        <w:ind w:firstLine="482" w:firstLineChars="200"/>
        <w:rPr>
          <w:rFonts w:asciiTheme="minorEastAsia" w:hAnsiTheme="minorEastAsia"/>
          <w:b/>
          <w:sz w:val="24"/>
          <w:szCs w:val="24"/>
        </w:rPr>
      </w:pPr>
      <w:r>
        <w:rPr>
          <w:rFonts w:hint="eastAsia" w:asciiTheme="minorEastAsia" w:hAnsiTheme="minorEastAsia"/>
          <w:b/>
          <w:sz w:val="24"/>
          <w:szCs w:val="24"/>
        </w:rPr>
        <w:t>三、竞买人条件</w:t>
      </w:r>
    </w:p>
    <w:p w14:paraId="1CA0C1FF">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1、竞买人（公民、法人和其他组织）应当具备完全民事行为能力，若不具有完全民事行为能力其委托人或代理人必须具备完全民事行为能力。法律、行政法规和司法解释对竞买人/买受人资格或者条件有特殊规定的，竞买人应当具备规定的资格或者条件。竞买人应自行到相关部门了解法律、行政法规、司法解释对买受人资格或者条件有特殊规定的限制。因不符合条件参加竞买的，由竞买人自行承担相应的法律责任。</w:t>
      </w:r>
    </w:p>
    <w:p w14:paraId="5E3F0E74">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2、</w:t>
      </w:r>
      <w:r>
        <w:rPr>
          <w:rFonts w:hint="eastAsia" w:asciiTheme="minorEastAsia" w:hAnsiTheme="minorEastAsia"/>
          <w:color w:val="000000" w:themeColor="text1"/>
          <w:sz w:val="24"/>
          <w:szCs w:val="24"/>
          <w14:textFill>
            <w14:solidFill>
              <w14:schemeClr w14:val="tx1"/>
            </w14:solidFill>
          </w14:textFill>
        </w:rPr>
        <w:t>竞买人（</w:t>
      </w:r>
      <w:r>
        <w:rPr>
          <w:rFonts w:hint="eastAsia" w:asciiTheme="minorEastAsia" w:hAnsiTheme="minorEastAsia"/>
          <w:sz w:val="24"/>
          <w:szCs w:val="24"/>
        </w:rPr>
        <w:t>公民、法人和其他组织</w:t>
      </w:r>
      <w:r>
        <w:rPr>
          <w:rFonts w:hint="eastAsia" w:asciiTheme="minorEastAsia" w:hAnsiTheme="minorEastAsia"/>
          <w:color w:val="000000" w:themeColor="text1"/>
          <w:sz w:val="24"/>
          <w:szCs w:val="24"/>
          <w14:textFill>
            <w14:solidFill>
              <w14:schemeClr w14:val="tx1"/>
            </w14:solidFill>
          </w14:textFill>
        </w:rPr>
        <w:t>）可委托他人（</w:t>
      </w:r>
      <w:r>
        <w:rPr>
          <w:rFonts w:hint="eastAsia" w:asciiTheme="minorEastAsia" w:hAnsiTheme="minorEastAsia"/>
          <w:sz w:val="24"/>
          <w:szCs w:val="24"/>
        </w:rPr>
        <w:t>公民、法人和其他组织</w:t>
      </w:r>
      <w:r>
        <w:rPr>
          <w:rFonts w:hint="eastAsia" w:asciiTheme="minorEastAsia" w:hAnsiTheme="minorEastAsia"/>
          <w:color w:val="000000" w:themeColor="text1"/>
          <w:sz w:val="24"/>
          <w:szCs w:val="24"/>
          <w14:textFill>
            <w14:solidFill>
              <w14:schemeClr w14:val="tx1"/>
            </w14:solidFill>
          </w14:textFill>
        </w:rPr>
        <w:t>）参与拍卖。</w:t>
      </w:r>
      <w:r>
        <w:rPr>
          <w:rFonts w:hint="eastAsia" w:asciiTheme="minorEastAsia" w:hAnsiTheme="minorEastAsia"/>
          <w:sz w:val="24"/>
          <w:szCs w:val="24"/>
        </w:rPr>
        <w:t>但须在拍卖开始日的</w:t>
      </w:r>
      <w:r>
        <w:rPr>
          <w:rFonts w:hint="eastAsia" w:asciiTheme="minorEastAsia" w:hAnsiTheme="minorEastAsia"/>
          <w:color w:val="000000" w:themeColor="text1"/>
          <w:sz w:val="24"/>
          <w:szCs w:val="24"/>
          <w14:textFill>
            <w14:solidFill>
              <w14:schemeClr w14:val="tx1"/>
            </w14:solidFill>
          </w14:textFill>
        </w:rPr>
        <w:t>两日</w:t>
      </w:r>
      <w:r>
        <w:rPr>
          <w:rFonts w:hint="eastAsia" w:asciiTheme="minorEastAsia" w:hAnsiTheme="minorEastAsia"/>
          <w:sz w:val="24"/>
          <w:szCs w:val="24"/>
        </w:rPr>
        <w:t>前与管理人沟通办理委托手续；竞买成功后，竞买人（公民、法人和其他组织）或其委托代理人应到管理人处办理交付或权属转移手续。如委托手续不全，竞买活动认定为委托代理人的个人行为。因不符合条件参加竞买的，由竞买人自行承担相应的法律责任。</w:t>
      </w:r>
    </w:p>
    <w:p w14:paraId="341A6889">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3、负责承办本案件的人民法院、破产企业管理人、网络服务提供者、承担拍卖辅助工作的社会机构或者组织的工作人员及其近亲属不得参与竞买，并不得委托他人代为竞买与其行为相关的拍卖标的物。</w:t>
      </w:r>
    </w:p>
    <w:p w14:paraId="742914ED">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4、因不符合条件参加竞买的，由竞买人/买受人自行承担相应的法律责任。</w:t>
      </w:r>
    </w:p>
    <w:p w14:paraId="147321F8">
      <w:pPr>
        <w:spacing w:line="360" w:lineRule="auto"/>
        <w:ind w:firstLine="482" w:firstLineChars="200"/>
        <w:rPr>
          <w:rFonts w:asciiTheme="minorEastAsia" w:hAnsiTheme="minorEastAsia"/>
          <w:b/>
          <w:sz w:val="24"/>
          <w:szCs w:val="24"/>
        </w:rPr>
      </w:pPr>
      <w:r>
        <w:rPr>
          <w:rFonts w:hint="eastAsia" w:asciiTheme="minorEastAsia" w:hAnsiTheme="minorEastAsia"/>
          <w:b/>
          <w:sz w:val="24"/>
          <w:szCs w:val="24"/>
        </w:rPr>
        <w:t>四、优先购买权人</w:t>
      </w:r>
    </w:p>
    <w:p w14:paraId="1FEAD7A6">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1、本标的物优先购买权人：</w:t>
      </w:r>
    </w:p>
    <w:p w14:paraId="0F5FC9C2">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优先购买权人应于本公告发布之日起3日内向管理人联系，提供相关证明材料，办理相关手续。逾期未提供材料或办理手续者，视为自动放弃优先购买权。</w:t>
      </w:r>
    </w:p>
    <w:p w14:paraId="68CBD1C5">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2、优先购买权人参加竞买的，应向管理人提交合法有效的证明，经管理人确认资格及顺位后才能参与竞买，逾期不提交的，视为放弃对标的物享有优先购买权。管理人在正式拍卖日前将经确认的优先权购买人资格和顺位信息，审报网络平台技术部门，录入平台系统。</w:t>
      </w:r>
    </w:p>
    <w:p w14:paraId="6E3B588B">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3、优先购买权人参与竞买的，与其他竞买人以相同的价格出价，没有更高出价的，标的物由优先购买权人竞得。</w:t>
      </w:r>
    </w:p>
    <w:p w14:paraId="75C0AE80">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4、顺序不同的优先购买权人申请参与竞买的，管理人应当确认其顺序，赋予不同顺序的优先竞买代码。顺序不同的优先购买权人以相同价格出价的，拍卖财产由顺序在先的优先购买权人竞得。顺序相同的优先购买权人以相同价格出价的，拍卖财产由出价在先的优先购买权人竞得。</w:t>
      </w:r>
    </w:p>
    <w:p w14:paraId="7BF354D0">
      <w:pPr>
        <w:spacing w:line="360" w:lineRule="auto"/>
        <w:ind w:firstLine="482" w:firstLineChars="200"/>
        <w:rPr>
          <w:rFonts w:asciiTheme="minorEastAsia" w:hAnsiTheme="minorEastAsia"/>
          <w:sz w:val="24"/>
          <w:szCs w:val="24"/>
        </w:rPr>
      </w:pPr>
      <w:r>
        <w:rPr>
          <w:rFonts w:hint="eastAsia" w:asciiTheme="minorEastAsia" w:hAnsiTheme="minorEastAsia"/>
          <w:b/>
          <w:sz w:val="24"/>
          <w:szCs w:val="24"/>
        </w:rPr>
        <w:t>五、</w:t>
      </w:r>
      <w:r>
        <w:rPr>
          <w:rFonts w:hint="eastAsia" w:asciiTheme="minorEastAsia" w:hAnsiTheme="minorEastAsia"/>
          <w:sz w:val="24"/>
          <w:szCs w:val="24"/>
        </w:rPr>
        <w:t>与本标的物有利害关系的当事人可参加竞拍，不参加竞拍的请关注本次拍卖活动的整个过程。</w:t>
      </w:r>
    </w:p>
    <w:p w14:paraId="4109BA8E">
      <w:pPr>
        <w:spacing w:line="360" w:lineRule="auto"/>
        <w:ind w:firstLine="482" w:firstLineChars="200"/>
        <w:rPr>
          <w:rFonts w:asciiTheme="minorEastAsia" w:hAnsiTheme="minorEastAsia"/>
          <w:sz w:val="24"/>
          <w:szCs w:val="24"/>
        </w:rPr>
      </w:pPr>
      <w:r>
        <w:rPr>
          <w:rFonts w:hint="eastAsia" w:asciiTheme="minorEastAsia" w:hAnsiTheme="minorEastAsia"/>
          <w:b/>
          <w:sz w:val="24"/>
          <w:szCs w:val="24"/>
        </w:rPr>
        <w:t>六、</w:t>
      </w:r>
      <w:r>
        <w:rPr>
          <w:rFonts w:hint="eastAsia" w:asciiTheme="minorEastAsia" w:hAnsiTheme="minorEastAsia"/>
          <w:sz w:val="24"/>
          <w:szCs w:val="24"/>
        </w:rPr>
        <w:t>本次拍卖活动设置延时出价功能，在拍卖活动结束前，每最后5分钟如果有竞买人出价，就自动延迟5分钟。</w:t>
      </w:r>
    </w:p>
    <w:p w14:paraId="2D46B154">
      <w:pPr>
        <w:spacing w:line="360" w:lineRule="auto"/>
        <w:ind w:firstLine="482" w:firstLineChars="200"/>
        <w:rPr>
          <w:rFonts w:asciiTheme="minorEastAsia" w:hAnsiTheme="minorEastAsia"/>
          <w:sz w:val="24"/>
          <w:szCs w:val="24"/>
        </w:rPr>
      </w:pPr>
      <w:r>
        <w:rPr>
          <w:rFonts w:hint="eastAsia" w:asciiTheme="minorEastAsia" w:hAnsiTheme="minorEastAsia"/>
          <w:b/>
          <w:sz w:val="24"/>
          <w:szCs w:val="24"/>
        </w:rPr>
        <w:t>七、</w:t>
      </w:r>
      <w:r>
        <w:rPr>
          <w:rFonts w:hint="eastAsia" w:asciiTheme="minorEastAsia" w:hAnsiTheme="minorEastAsia"/>
          <w:sz w:val="24"/>
          <w:szCs w:val="24"/>
        </w:rPr>
        <w:t>竞拍前竞买人应通过支付宝账户缴纳足额的拍卖保证金。竞买人在对拍卖标的物第一次确认出价竞拍前，按破产强清平台系统提示报名缴纳保证金，系统会自动锁定该笔款项。拍卖成交的，买受人锁定的保证金将在买受人支付软件服务费后24小时以内自动转入本管理人指定账户，其他竞买人的保证金在拍卖结束以后24小时以内自动解锁。保证金锁定期间不计利息。</w:t>
      </w:r>
    </w:p>
    <w:p w14:paraId="0C0DB1E5">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保证金支付帮助：https://www.taobao.com/market/paimai/sf-helpcenter.php?path=sf-hc-right-content5#q1。</w:t>
      </w:r>
    </w:p>
    <w:p w14:paraId="42394A50">
      <w:pPr>
        <w:numPr>
          <w:ilvl w:val="0"/>
          <w:numId w:val="3"/>
        </w:numPr>
        <w:spacing w:line="360" w:lineRule="auto"/>
        <w:ind w:firstLine="482"/>
        <w:rPr>
          <w:rFonts w:ascii="宋体" w:hAnsi="宋体"/>
          <w:b/>
          <w:sz w:val="24"/>
        </w:rPr>
      </w:pPr>
      <w:bookmarkStart w:id="0" w:name="_Hlk90236605"/>
      <w:r>
        <w:rPr>
          <w:rFonts w:ascii="宋体" w:hAnsi="宋体"/>
          <w:sz w:val="24"/>
        </w:rPr>
        <w:t>本次拍卖是经法定公告期和展示期后才举行的，就拍卖标的物已知及可能存在的瑕疵已在本次拍</w:t>
      </w:r>
      <w:r>
        <w:rPr>
          <w:rFonts w:hint="eastAsia" w:ascii="宋体" w:hAnsi="宋体"/>
          <w:sz w:val="24"/>
        </w:rPr>
        <w:t>卖</w:t>
      </w:r>
      <w:r>
        <w:rPr>
          <w:rFonts w:ascii="宋体" w:hAnsi="宋体"/>
          <w:sz w:val="24"/>
        </w:rPr>
        <w:t>资料中作了详尽的说明。管理人对拍卖标的物所作的说明和提供的图片等，仅供竞买人参考，不构成对标的物的任何担保。所以请竞买人在拍卖前必须仔细审查拍卖标的物，前往相关部门调查是否存在瑕疵，认真研究查看所竞买标的物的实际情况，</w:t>
      </w:r>
      <w:r>
        <w:rPr>
          <w:rFonts w:ascii="宋体" w:hAnsi="宋体"/>
          <w:b/>
          <w:sz w:val="24"/>
        </w:rPr>
        <w:t>竞买人一旦作出竞买决定，即表明已完全了解，并接受标的物的现状和一切已知及未知的瑕疵。</w:t>
      </w:r>
    </w:p>
    <w:p w14:paraId="6C1AC490">
      <w:pPr>
        <w:spacing w:line="360" w:lineRule="auto"/>
        <w:ind w:firstLine="482" w:firstLineChars="200"/>
        <w:rPr>
          <w:rFonts w:asciiTheme="minorEastAsia" w:hAnsiTheme="minorEastAsia"/>
          <w:b/>
          <w:sz w:val="24"/>
          <w:szCs w:val="24"/>
        </w:rPr>
      </w:pPr>
      <w:r>
        <w:rPr>
          <w:rFonts w:hint="eastAsia" w:asciiTheme="minorEastAsia" w:hAnsiTheme="minorEastAsia"/>
          <w:b/>
          <w:sz w:val="24"/>
          <w:szCs w:val="24"/>
        </w:rPr>
        <w:t>九、签署成交文件</w:t>
      </w:r>
    </w:p>
    <w:p w14:paraId="2F653664">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买受人须在拍卖成交之日起三日内（遇节假日顺延）凭缴纳拍卖保证金平台生成的竞买号及相关身份材料到管理人处签署拍卖成交确认文件。</w:t>
      </w:r>
    </w:p>
    <w:bookmarkEnd w:id="0"/>
    <w:p w14:paraId="173A1F0E">
      <w:pPr>
        <w:spacing w:line="360" w:lineRule="auto"/>
        <w:ind w:firstLine="482" w:firstLineChars="200"/>
        <w:rPr>
          <w:rFonts w:asciiTheme="minorEastAsia" w:hAnsiTheme="minorEastAsia"/>
          <w:sz w:val="24"/>
          <w:szCs w:val="24"/>
        </w:rPr>
      </w:pPr>
      <w:r>
        <w:rPr>
          <w:rFonts w:hint="eastAsia" w:asciiTheme="minorEastAsia" w:hAnsiTheme="minorEastAsia"/>
          <w:b/>
          <w:sz w:val="24"/>
          <w:szCs w:val="24"/>
        </w:rPr>
        <w:t>十、</w:t>
      </w:r>
      <w:r>
        <w:rPr>
          <w:rFonts w:hint="eastAsia" w:asciiTheme="minorEastAsia" w:hAnsiTheme="minorEastAsia"/>
          <w:sz w:val="24"/>
          <w:szCs w:val="24"/>
        </w:rPr>
        <w:t>买受人应在拍卖成交（即竞价成功日）后</w:t>
      </w:r>
      <w:r>
        <w:rPr>
          <w:rFonts w:hint="eastAsia" w:asciiTheme="minorEastAsia" w:hAnsiTheme="minorEastAsia"/>
          <w:b/>
          <w:color w:val="FF0000"/>
          <w:sz w:val="24"/>
          <w:szCs w:val="24"/>
        </w:rPr>
        <w:t>十日</w:t>
      </w:r>
      <w:r>
        <w:rPr>
          <w:rFonts w:hint="eastAsia" w:asciiTheme="minorEastAsia" w:hAnsiTheme="minorEastAsia"/>
          <w:sz w:val="24"/>
          <w:szCs w:val="24"/>
        </w:rPr>
        <w:t>内将拍卖成交价余款（扣除保证金后的余款）缴纳至管理人指定账户:</w:t>
      </w:r>
    </w:p>
    <w:p w14:paraId="1AF20070">
      <w:pPr>
        <w:spacing w:line="360" w:lineRule="auto"/>
        <w:ind w:firstLine="482" w:firstLineChars="200"/>
        <w:rPr>
          <w:rFonts w:asciiTheme="minorEastAsia" w:hAnsiTheme="minorEastAsia"/>
          <w:b/>
          <w:color w:val="FF0000"/>
          <w:sz w:val="24"/>
          <w:szCs w:val="24"/>
        </w:rPr>
      </w:pPr>
      <w:r>
        <w:rPr>
          <w:rFonts w:hint="eastAsia" w:asciiTheme="minorEastAsia" w:hAnsiTheme="minorEastAsia"/>
          <w:b/>
          <w:color w:val="FF0000"/>
          <w:sz w:val="24"/>
          <w:szCs w:val="24"/>
        </w:rPr>
        <w:t>户  名：北京东方汇通教育科技有限公司管理人</w:t>
      </w:r>
    </w:p>
    <w:p w14:paraId="609DE646">
      <w:pPr>
        <w:spacing w:line="360" w:lineRule="auto"/>
        <w:ind w:firstLine="482" w:firstLineChars="200"/>
        <w:rPr>
          <w:rFonts w:asciiTheme="minorEastAsia" w:hAnsiTheme="minorEastAsia"/>
          <w:b/>
          <w:color w:val="FF0000"/>
          <w:sz w:val="24"/>
          <w:szCs w:val="24"/>
        </w:rPr>
      </w:pPr>
      <w:r>
        <w:rPr>
          <w:rFonts w:hint="eastAsia" w:asciiTheme="minorEastAsia" w:hAnsiTheme="minorEastAsia"/>
          <w:b/>
          <w:color w:val="FF0000"/>
          <w:sz w:val="24"/>
          <w:szCs w:val="24"/>
        </w:rPr>
        <w:t>开户行：中信银行股份有限公司北京和平里支行</w:t>
      </w:r>
    </w:p>
    <w:p w14:paraId="5D094094">
      <w:pPr>
        <w:spacing w:line="360" w:lineRule="auto"/>
        <w:ind w:firstLine="482" w:firstLineChars="200"/>
        <w:rPr>
          <w:rFonts w:asciiTheme="minorEastAsia" w:hAnsiTheme="minorEastAsia"/>
          <w:b/>
          <w:color w:val="FF0000"/>
          <w:sz w:val="24"/>
          <w:szCs w:val="24"/>
        </w:rPr>
      </w:pPr>
      <w:r>
        <w:rPr>
          <w:rFonts w:hint="eastAsia" w:asciiTheme="minorEastAsia" w:hAnsiTheme="minorEastAsia"/>
          <w:b/>
          <w:color w:val="FF0000"/>
          <w:sz w:val="24"/>
          <w:szCs w:val="24"/>
        </w:rPr>
        <w:t>账  户：8110701011602749409</w:t>
      </w:r>
    </w:p>
    <w:p w14:paraId="57E49E80">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特别注意：依照相关法律规定，竞买人成功竞得网拍标的物后，淘宝网拍平台将生成相应《网络竞价成功确认书》,该材料仅为竞价成功确认书，载明实际买受人姓名、网拍竞买号信息，非《拍卖成交确认书》。】</w:t>
      </w:r>
    </w:p>
    <w:p w14:paraId="78A171A2">
      <w:pPr>
        <w:spacing w:line="360" w:lineRule="auto"/>
        <w:ind w:firstLine="482" w:firstLineChars="200"/>
        <w:rPr>
          <w:rFonts w:asciiTheme="minorEastAsia" w:hAnsiTheme="minorEastAsia"/>
          <w:sz w:val="24"/>
          <w:szCs w:val="24"/>
        </w:rPr>
      </w:pPr>
      <w:r>
        <w:rPr>
          <w:rFonts w:hint="eastAsia" w:asciiTheme="minorEastAsia" w:hAnsiTheme="minorEastAsia"/>
          <w:b/>
          <w:sz w:val="24"/>
          <w:szCs w:val="24"/>
        </w:rPr>
        <w:t>十一、</w:t>
      </w:r>
      <w:r>
        <w:rPr>
          <w:rFonts w:hint="eastAsia" w:asciiTheme="minorEastAsia" w:hAnsiTheme="minorEastAsia"/>
          <w:sz w:val="24"/>
          <w:szCs w:val="24"/>
        </w:rPr>
        <w:t>拍卖成交后买受人悔拍（包括但不限于买受人未在拍卖成交后十日内将拍卖成交全部余款缴入指定账户，以及买受人明示或暗示其悔拍等情形）的，管理人可重新委托拍卖，买受人交纳的保证金不予退还，计入债务人财产。保证金数额不足以弥补拍卖费用损失以及重新拍卖价款低于原拍卖价款的差价的，管理人可向悔拍人追索。重新拍卖时，原买受人不得参加竞买。</w:t>
      </w:r>
    </w:p>
    <w:p w14:paraId="64914B96">
      <w:pPr>
        <w:spacing w:line="360" w:lineRule="auto"/>
        <w:ind w:firstLine="482" w:firstLineChars="200"/>
        <w:rPr>
          <w:rFonts w:asciiTheme="minorEastAsia" w:hAnsiTheme="minorEastAsia"/>
          <w:b/>
          <w:sz w:val="24"/>
          <w:szCs w:val="24"/>
        </w:rPr>
      </w:pPr>
      <w:r>
        <w:rPr>
          <w:rFonts w:hint="eastAsia" w:asciiTheme="minorEastAsia" w:hAnsiTheme="minorEastAsia"/>
          <w:b/>
          <w:color w:val="FF0000"/>
          <w:sz w:val="24"/>
          <w:szCs w:val="24"/>
        </w:rPr>
        <w:t>十二、拍品交付</w:t>
      </w:r>
    </w:p>
    <w:p w14:paraId="257221DF">
      <w:pPr>
        <w:spacing w:line="360" w:lineRule="auto"/>
        <w:ind w:firstLine="482" w:firstLineChars="200"/>
        <w:rPr>
          <w:rFonts w:asciiTheme="minorEastAsia" w:hAnsiTheme="minorEastAsia"/>
          <w:b/>
          <w:bCs/>
          <w:sz w:val="24"/>
          <w:szCs w:val="24"/>
          <w:u w:val="single"/>
        </w:rPr>
      </w:pPr>
      <w:r>
        <w:rPr>
          <w:rFonts w:hint="eastAsia" w:asciiTheme="minorEastAsia" w:hAnsiTheme="minorEastAsia"/>
          <w:b/>
          <w:bCs/>
          <w:sz w:val="24"/>
          <w:szCs w:val="24"/>
          <w:u w:val="single"/>
        </w:rPr>
        <w:t>1、买受人在缴纳完全部拍卖款项，持有效身份证明及签署好的拍卖成交文件前往管理人处办理交割手续，由买受人自行前往相关部门办理债权转让手续，能否办理债权转让手续及办理债权转让手续的时间请竞买人在竞买前，自行到相关部门咨询确认，管理人和拍卖辅助机构不做债权转让的任何承诺。拍品转让登记可能涉及的全部费用均由买受人自行负责，与管理人和拍卖辅助机构无关。</w:t>
      </w:r>
    </w:p>
    <w:p w14:paraId="268A2CCC">
      <w:pPr>
        <w:spacing w:line="360" w:lineRule="auto"/>
        <w:ind w:firstLine="482" w:firstLineChars="200"/>
        <w:rPr>
          <w:rFonts w:asciiTheme="minorEastAsia" w:hAnsiTheme="minorEastAsia"/>
          <w:b/>
          <w:bCs/>
          <w:sz w:val="24"/>
          <w:szCs w:val="24"/>
          <w:u w:val="single"/>
        </w:rPr>
      </w:pPr>
      <w:r>
        <w:rPr>
          <w:rFonts w:hint="eastAsia" w:asciiTheme="minorEastAsia" w:hAnsiTheme="minorEastAsia"/>
          <w:b/>
          <w:bCs/>
          <w:sz w:val="24"/>
          <w:szCs w:val="24"/>
          <w:u w:val="single"/>
        </w:rPr>
        <w:t>2、如标的物存在冻结、质押等权利限制、政策原因或存在隐性瑕疵导致债权变更手续办理延长或者受阻等情况的，管理人和拍卖辅助机构不保证买受人可避免上述情况，亦不就上述情况的发生承担任何法律责任。</w:t>
      </w:r>
    </w:p>
    <w:p w14:paraId="3E7C4702">
      <w:pPr>
        <w:spacing w:line="360" w:lineRule="auto"/>
        <w:ind w:firstLine="482" w:firstLineChars="200"/>
        <w:rPr>
          <w:rFonts w:asciiTheme="minorEastAsia" w:hAnsiTheme="minorEastAsia"/>
          <w:b/>
          <w:color w:val="FF0000"/>
          <w:sz w:val="24"/>
          <w:szCs w:val="24"/>
        </w:rPr>
      </w:pPr>
      <w:r>
        <w:rPr>
          <w:rFonts w:hint="eastAsia" w:asciiTheme="minorEastAsia" w:hAnsiTheme="minorEastAsia"/>
          <w:b/>
          <w:sz w:val="24"/>
          <w:szCs w:val="24"/>
        </w:rPr>
        <w:t>十三、</w:t>
      </w:r>
      <w:r>
        <w:rPr>
          <w:rFonts w:hint="eastAsia" w:asciiTheme="minorEastAsia" w:hAnsiTheme="minorEastAsia"/>
          <w:b/>
          <w:color w:val="FF0000"/>
          <w:sz w:val="24"/>
          <w:szCs w:val="24"/>
        </w:rPr>
        <w:t>本次拍卖活动计价货币为人民币。本次拍卖成交价不含税费及其他费用。标的物债权转让登记手续由买受人自行办理，管理人将给予必要的协助。因标的物转让权属发生变更买卖双方所涉及的一切税、费和可能需要补交的相关税、费等由买受人承担。如未明确缴费义务人的费用由买受人承担。买受人在竞买前应向所涉税务局部门确认成交后应缴纳的税费标准。</w:t>
      </w:r>
    </w:p>
    <w:p w14:paraId="79433446">
      <w:pPr>
        <w:spacing w:line="360" w:lineRule="auto"/>
        <w:ind w:firstLine="482" w:firstLineChars="200"/>
        <w:rPr>
          <w:rFonts w:asciiTheme="minorEastAsia" w:hAnsiTheme="minorEastAsia"/>
          <w:b/>
          <w:color w:val="FF0000"/>
          <w:sz w:val="24"/>
          <w:szCs w:val="24"/>
        </w:rPr>
      </w:pPr>
      <w:r>
        <w:rPr>
          <w:rFonts w:hint="eastAsia" w:asciiTheme="minorEastAsia" w:hAnsiTheme="minorEastAsia"/>
          <w:b/>
          <w:color w:val="FF0000"/>
          <w:sz w:val="24"/>
          <w:szCs w:val="24"/>
        </w:rPr>
        <w:t>特别提示：</w:t>
      </w:r>
    </w:p>
    <w:p w14:paraId="223951F9">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1、综合服务费由拍卖辅助机构收取（按照成交价格的2%计算，封顶不超过200万元）买受人需在成交之后十日内将综合服务费汇款至北京嘉运亨通拍卖有限公司指定账户【户名：北京嘉运亨通拍卖有限公司；开户行：招商银行股份有限公司北京崇文门支行；账号：110945693810201；以到账时间为准】。</w:t>
      </w:r>
    </w:p>
    <w:p w14:paraId="0C0A90B5">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2、软件服务费由阿里拍卖平台收取，付费方式及软件服务费金额等请详见《阿里拍卖平台破产资产处置频道收费规则》。买受人须于成交后十日内通过线上完成相应费用的支付后，保证金将转为部分成交价款转至管理人的支付宝账户。</w:t>
      </w:r>
    </w:p>
    <w:p w14:paraId="0C5E1BAA">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3、上述综合服务费和软件服务费，买受人逾期未全额缴纳的，阿里拍卖平台和拍卖辅助机构可对其进行依法追缴。买受人缴纳相关费用后如需索取发票的，买受人可与拍卖辅助机构联系开具或在阿里支付系统中查看已完成支付的软件服务费记录并点击申请开票。</w:t>
      </w:r>
    </w:p>
    <w:p w14:paraId="11580D2C">
      <w:pPr>
        <w:spacing w:line="360" w:lineRule="auto"/>
        <w:ind w:firstLine="482" w:firstLineChars="200"/>
        <w:rPr>
          <w:rFonts w:asciiTheme="minorEastAsia" w:hAnsiTheme="minorEastAsia"/>
          <w:sz w:val="24"/>
          <w:szCs w:val="24"/>
        </w:rPr>
      </w:pPr>
      <w:r>
        <w:rPr>
          <w:rFonts w:hint="eastAsia" w:asciiTheme="minorEastAsia" w:hAnsiTheme="minorEastAsia"/>
          <w:b/>
          <w:sz w:val="24"/>
          <w:szCs w:val="24"/>
        </w:rPr>
        <w:t>十四、</w:t>
      </w:r>
      <w:r>
        <w:rPr>
          <w:rFonts w:hint="eastAsia" w:asciiTheme="minorEastAsia" w:hAnsiTheme="minorEastAsia"/>
          <w:sz w:val="24"/>
          <w:szCs w:val="24"/>
        </w:rPr>
        <w:t>参加竞买的人应当遵守拍卖须知的规定，不得阻挠其他竞买人竞拍，不得操纵、垄断竞拍价格，严禁竞买人恶意串标，上述行为一经发现，将取消其竞买资格，并追究相关的法律责任。</w:t>
      </w:r>
    </w:p>
    <w:p w14:paraId="79FDFE3D">
      <w:pPr>
        <w:spacing w:line="360" w:lineRule="auto"/>
        <w:ind w:firstLine="482" w:firstLineChars="200"/>
        <w:rPr>
          <w:rFonts w:asciiTheme="minorEastAsia" w:hAnsiTheme="minorEastAsia"/>
          <w:sz w:val="24"/>
          <w:szCs w:val="24"/>
        </w:rPr>
      </w:pPr>
      <w:r>
        <w:rPr>
          <w:rFonts w:hint="eastAsia" w:asciiTheme="minorEastAsia" w:hAnsiTheme="minorEastAsia"/>
          <w:b/>
          <w:sz w:val="24"/>
          <w:szCs w:val="24"/>
        </w:rPr>
        <w:t>十五、</w:t>
      </w:r>
      <w:r>
        <w:rPr>
          <w:rFonts w:hint="eastAsia" w:asciiTheme="minorEastAsia" w:hAnsiTheme="minorEastAsia"/>
          <w:sz w:val="24"/>
          <w:szCs w:val="24"/>
        </w:rPr>
        <w:t>拍卖人根据法律规定有权在拍卖结束前中止拍卖或撤回拍卖。因网络或其他不可抗力导致拍卖无法正常进行的，拍卖人待以上因素消除后视情况决定重新拍卖，并不承担因此造成的损失。</w:t>
      </w:r>
    </w:p>
    <w:p w14:paraId="200F5F46">
      <w:pPr>
        <w:spacing w:line="360" w:lineRule="auto"/>
        <w:ind w:firstLine="482" w:firstLineChars="200"/>
        <w:rPr>
          <w:rFonts w:asciiTheme="minorEastAsia" w:hAnsiTheme="minorEastAsia"/>
          <w:sz w:val="24"/>
          <w:szCs w:val="24"/>
        </w:rPr>
      </w:pPr>
      <w:r>
        <w:rPr>
          <w:rFonts w:hint="eastAsia" w:asciiTheme="minorEastAsia" w:hAnsiTheme="minorEastAsia"/>
          <w:b/>
          <w:sz w:val="24"/>
          <w:szCs w:val="24"/>
        </w:rPr>
        <w:t>十六、</w:t>
      </w:r>
      <w:r>
        <w:rPr>
          <w:rFonts w:hint="eastAsia" w:asciiTheme="minorEastAsia" w:hAnsiTheme="minorEastAsia"/>
          <w:sz w:val="24"/>
          <w:szCs w:val="24"/>
        </w:rPr>
        <w:t>为便于买受人及时收到拍卖相关的文书，竞买人在拍卖竞价前如实向阿里资产·破产网络拍卖平台提供确切的送达地址，上述地址确认为邮寄地址，如需更改，买受人应在拍卖活动结束时与管理人联系确认更改。如果提供的送达地址不确切，或不及时告知变更后的地址，使有关法律文书无法送达或未能及时送达的，竞买人自行承担由此可能产生的法律后果。</w:t>
      </w:r>
    </w:p>
    <w:p w14:paraId="5EA914DC">
      <w:pPr>
        <w:spacing w:line="360" w:lineRule="auto"/>
        <w:ind w:firstLine="482" w:firstLineChars="200"/>
        <w:rPr>
          <w:rFonts w:asciiTheme="minorEastAsia" w:hAnsiTheme="minorEastAsia"/>
          <w:bCs/>
          <w:sz w:val="24"/>
          <w:szCs w:val="24"/>
        </w:rPr>
      </w:pPr>
      <w:r>
        <w:rPr>
          <w:rFonts w:hint="eastAsia" w:asciiTheme="minorEastAsia" w:hAnsiTheme="minorEastAsia"/>
          <w:b/>
          <w:sz w:val="24"/>
          <w:szCs w:val="24"/>
        </w:rPr>
        <w:t>十七、</w:t>
      </w:r>
      <w:r>
        <w:rPr>
          <w:rFonts w:hint="eastAsia" w:asciiTheme="minorEastAsia" w:hAnsiTheme="minorEastAsia"/>
          <w:bCs/>
          <w:sz w:val="24"/>
          <w:szCs w:val="24"/>
        </w:rPr>
        <w:t>破产案件监督单位：北京市第一中级人民法院;</w:t>
      </w:r>
    </w:p>
    <w:p w14:paraId="08C6D6AD">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咨询电话：王女士：18201408042；李先生：13552572522；</w:t>
      </w:r>
    </w:p>
    <w:p w14:paraId="4F2660F2">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淘宝技术咨询：400-822-2870；</w:t>
      </w:r>
    </w:p>
    <w:p w14:paraId="2D46508C">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法院监督电话：010-68639038。</w:t>
      </w:r>
    </w:p>
    <w:p w14:paraId="0E62034D">
      <w:pPr>
        <w:spacing w:line="360" w:lineRule="auto"/>
        <w:ind w:firstLine="482" w:firstLineChars="200"/>
        <w:rPr>
          <w:rFonts w:asciiTheme="minorEastAsia" w:hAnsiTheme="minorEastAsia"/>
          <w:b/>
          <w:color w:val="FF0000"/>
          <w:sz w:val="24"/>
          <w:szCs w:val="24"/>
        </w:rPr>
      </w:pPr>
      <w:r>
        <w:rPr>
          <w:rFonts w:hint="eastAsia" w:asciiTheme="minorEastAsia" w:hAnsiTheme="minorEastAsia"/>
          <w:b/>
          <w:color w:val="FF0000"/>
          <w:sz w:val="24"/>
          <w:szCs w:val="24"/>
        </w:rPr>
        <w:t>本次拍卖活动最终解释权归北京东方汇通教育科技有限公司管理人所有。</w:t>
      </w:r>
    </w:p>
    <w:p w14:paraId="21063A83">
      <w:pPr>
        <w:spacing w:line="360" w:lineRule="auto"/>
        <w:ind w:firstLine="480" w:firstLineChars="200"/>
        <w:rPr>
          <w:rFonts w:asciiTheme="minorEastAsia" w:hAnsiTheme="minorEastAsia"/>
          <w:sz w:val="24"/>
          <w:szCs w:val="24"/>
        </w:rPr>
      </w:pPr>
    </w:p>
    <w:p w14:paraId="61255D37">
      <w:pPr>
        <w:spacing w:line="360" w:lineRule="auto"/>
        <w:ind w:firstLine="480" w:firstLineChars="200"/>
        <w:jc w:val="right"/>
        <w:rPr>
          <w:rFonts w:asciiTheme="minorEastAsia" w:hAnsiTheme="minorEastAsia"/>
          <w:sz w:val="24"/>
          <w:szCs w:val="24"/>
        </w:rPr>
      </w:pPr>
      <w:r>
        <w:rPr>
          <w:rFonts w:hint="eastAsia" w:asciiTheme="minorEastAsia" w:hAnsiTheme="minorEastAsia"/>
          <w:sz w:val="24"/>
          <w:szCs w:val="24"/>
        </w:rPr>
        <w:t>北京东方汇通教育科技有限公司管理人</w:t>
      </w:r>
    </w:p>
    <w:p w14:paraId="7175E251">
      <w:pPr>
        <w:spacing w:line="360" w:lineRule="auto"/>
        <w:ind w:firstLine="480" w:firstLineChars="200"/>
        <w:jc w:val="right"/>
        <w:rPr>
          <w:rFonts w:asciiTheme="minorEastAsia" w:hAnsiTheme="minorEastAsia"/>
          <w:sz w:val="24"/>
          <w:szCs w:val="24"/>
        </w:rPr>
      </w:pPr>
    </w:p>
    <w:p w14:paraId="29D3D93F">
      <w:pPr>
        <w:spacing w:line="360" w:lineRule="auto"/>
        <w:ind w:firstLine="480" w:firstLineChars="200"/>
        <w:jc w:val="right"/>
        <w:rPr>
          <w:rFonts w:asciiTheme="minorEastAsia" w:hAnsiTheme="minorEastAsia"/>
          <w:sz w:val="24"/>
          <w:szCs w:val="24"/>
        </w:rPr>
      </w:pPr>
      <w:r>
        <w:rPr>
          <w:rFonts w:hint="eastAsia" w:asciiTheme="minorEastAsia" w:hAnsiTheme="minorEastAsia"/>
          <w:sz w:val="24"/>
          <w:szCs w:val="24"/>
        </w:rPr>
        <w:t>二〇二六年一月</w:t>
      </w:r>
      <w:r>
        <w:rPr>
          <w:rFonts w:hint="eastAsia" w:asciiTheme="minorEastAsia" w:hAnsiTheme="minorEastAsia"/>
          <w:sz w:val="24"/>
          <w:szCs w:val="24"/>
          <w:lang w:val="en-US" w:eastAsia="zh-CN"/>
        </w:rPr>
        <w:t>九</w:t>
      </w:r>
      <w:r>
        <w:rPr>
          <w:rFonts w:hint="eastAsia" w:asciiTheme="minorEastAsia" w:hAnsiTheme="minorEastAsia"/>
          <w:sz w:val="24"/>
          <w:szCs w:val="24"/>
        </w:rPr>
        <w:t>日</w:t>
      </w:r>
    </w:p>
    <w:p w14:paraId="5DF5AD36">
      <w:pPr>
        <w:spacing w:line="360" w:lineRule="auto"/>
        <w:ind w:firstLine="480" w:firstLineChars="200"/>
        <w:jc w:val="right"/>
        <w:rPr>
          <w:rFonts w:asciiTheme="minorEastAsia" w:hAnsiTheme="minorEastAsia"/>
          <w:sz w:val="24"/>
          <w:szCs w:val="24"/>
        </w:rPr>
      </w:pPr>
    </w:p>
    <w:tbl>
      <w:tblPr>
        <w:tblStyle w:val="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68"/>
        <w:gridCol w:w="4618"/>
        <w:gridCol w:w="2236"/>
      </w:tblGrid>
      <w:tr w14:paraId="540AFC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gridSpan w:val="3"/>
          </w:tcPr>
          <w:p w14:paraId="699A0050">
            <w:pPr>
              <w:spacing w:line="360" w:lineRule="auto"/>
              <w:jc w:val="center"/>
              <w:rPr>
                <w:rFonts w:asciiTheme="minorEastAsia" w:hAnsiTheme="minorEastAsia"/>
                <w:b/>
                <w:bCs/>
                <w:sz w:val="24"/>
                <w:szCs w:val="24"/>
              </w:rPr>
            </w:pPr>
            <w:bookmarkStart w:id="1" w:name="_Hlk135943349"/>
            <w:r>
              <w:rPr>
                <w:rFonts w:hint="eastAsia" w:asciiTheme="minorEastAsia" w:hAnsiTheme="minorEastAsia"/>
                <w:b/>
                <w:bCs/>
                <w:sz w:val="24"/>
                <w:szCs w:val="24"/>
              </w:rPr>
              <w:t>标的物调查表</w:t>
            </w:r>
          </w:p>
        </w:tc>
      </w:tr>
      <w:tr w14:paraId="68371C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8" w:type="dxa"/>
          </w:tcPr>
          <w:p w14:paraId="448ECC48">
            <w:pPr>
              <w:spacing w:line="360" w:lineRule="auto"/>
              <w:jc w:val="left"/>
              <w:rPr>
                <w:rFonts w:asciiTheme="minorEastAsia" w:hAnsiTheme="minorEastAsia"/>
                <w:b/>
                <w:bCs/>
                <w:sz w:val="24"/>
                <w:szCs w:val="24"/>
              </w:rPr>
            </w:pPr>
            <w:r>
              <w:rPr>
                <w:rFonts w:hint="eastAsia" w:asciiTheme="minorEastAsia" w:hAnsiTheme="minorEastAsia"/>
                <w:b/>
                <w:bCs/>
                <w:sz w:val="24"/>
                <w:szCs w:val="24"/>
              </w:rPr>
              <w:t>标的物名称</w:t>
            </w:r>
          </w:p>
        </w:tc>
        <w:tc>
          <w:tcPr>
            <w:tcW w:w="6854" w:type="dxa"/>
            <w:gridSpan w:val="2"/>
          </w:tcPr>
          <w:p w14:paraId="543D5FF9">
            <w:pPr>
              <w:spacing w:line="360" w:lineRule="auto"/>
              <w:jc w:val="left"/>
              <w:rPr>
                <w:rFonts w:asciiTheme="minorEastAsia" w:hAnsiTheme="minorEastAsia"/>
                <w:sz w:val="24"/>
                <w:szCs w:val="24"/>
              </w:rPr>
            </w:pPr>
            <w:r>
              <w:rPr>
                <w:rFonts w:hint="eastAsia" w:asciiTheme="minorEastAsia" w:hAnsiTheme="minorEastAsia"/>
                <w:sz w:val="24"/>
                <w:szCs w:val="24"/>
              </w:rPr>
              <w:t>北京东方汇通教育科技有限公司对翼德（银川）科技有限公司等3个主体持有的应收账款303,047.00元</w:t>
            </w:r>
          </w:p>
        </w:tc>
      </w:tr>
      <w:tr w14:paraId="356FC2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8" w:type="dxa"/>
          </w:tcPr>
          <w:p w14:paraId="254D8BA2">
            <w:pPr>
              <w:spacing w:line="360" w:lineRule="auto"/>
              <w:jc w:val="left"/>
              <w:rPr>
                <w:rFonts w:asciiTheme="minorEastAsia" w:hAnsiTheme="minorEastAsia"/>
                <w:b/>
                <w:bCs/>
                <w:sz w:val="24"/>
                <w:szCs w:val="24"/>
              </w:rPr>
            </w:pPr>
            <w:r>
              <w:rPr>
                <w:rFonts w:hint="eastAsia" w:asciiTheme="minorEastAsia" w:hAnsiTheme="minorEastAsia"/>
                <w:b/>
                <w:bCs/>
                <w:sz w:val="24"/>
                <w:szCs w:val="24"/>
              </w:rPr>
              <w:t>标的物持有人</w:t>
            </w:r>
          </w:p>
        </w:tc>
        <w:tc>
          <w:tcPr>
            <w:tcW w:w="6854" w:type="dxa"/>
            <w:gridSpan w:val="2"/>
          </w:tcPr>
          <w:p w14:paraId="2AF2889D">
            <w:pPr>
              <w:spacing w:line="360" w:lineRule="auto"/>
              <w:jc w:val="left"/>
              <w:rPr>
                <w:rFonts w:asciiTheme="minorEastAsia" w:hAnsiTheme="minorEastAsia"/>
                <w:sz w:val="24"/>
                <w:szCs w:val="24"/>
              </w:rPr>
            </w:pPr>
            <w:r>
              <w:rPr>
                <w:rFonts w:hint="eastAsia" w:asciiTheme="minorEastAsia" w:hAnsiTheme="minorEastAsia"/>
                <w:sz w:val="24"/>
                <w:szCs w:val="24"/>
              </w:rPr>
              <w:t>北京东方汇通教育科技有限公司</w:t>
            </w:r>
          </w:p>
        </w:tc>
      </w:tr>
      <w:tr w14:paraId="3BC5C7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8" w:type="dxa"/>
          </w:tcPr>
          <w:p w14:paraId="1B913586">
            <w:pPr>
              <w:spacing w:line="360" w:lineRule="auto"/>
              <w:jc w:val="left"/>
              <w:rPr>
                <w:rFonts w:asciiTheme="minorEastAsia" w:hAnsiTheme="minorEastAsia"/>
                <w:b/>
                <w:bCs/>
                <w:sz w:val="24"/>
                <w:szCs w:val="24"/>
              </w:rPr>
            </w:pPr>
            <w:r>
              <w:rPr>
                <w:rFonts w:hint="eastAsia" w:asciiTheme="minorEastAsia" w:hAnsiTheme="minorEastAsia"/>
                <w:b/>
                <w:bCs/>
                <w:sz w:val="24"/>
                <w:szCs w:val="24"/>
              </w:rPr>
              <w:t>提供的文件</w:t>
            </w:r>
          </w:p>
        </w:tc>
        <w:tc>
          <w:tcPr>
            <w:tcW w:w="6854" w:type="dxa"/>
            <w:gridSpan w:val="2"/>
          </w:tcPr>
          <w:p w14:paraId="2CBF239B">
            <w:pPr>
              <w:spacing w:line="360" w:lineRule="auto"/>
              <w:jc w:val="left"/>
              <w:rPr>
                <w:rFonts w:asciiTheme="minorEastAsia" w:hAnsiTheme="minorEastAsia"/>
                <w:sz w:val="24"/>
                <w:szCs w:val="24"/>
              </w:rPr>
            </w:pPr>
            <w:r>
              <w:rPr>
                <w:rFonts w:hint="eastAsia" w:asciiTheme="minorEastAsia" w:hAnsiTheme="minorEastAsia"/>
                <w:sz w:val="24"/>
                <w:szCs w:val="24"/>
              </w:rPr>
              <w:t>1、成交确认文件；2、债权转让协议；</w:t>
            </w:r>
          </w:p>
        </w:tc>
      </w:tr>
      <w:tr w14:paraId="4B2311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8" w:type="dxa"/>
          </w:tcPr>
          <w:p w14:paraId="2D8548B0">
            <w:pPr>
              <w:spacing w:line="360" w:lineRule="auto"/>
              <w:jc w:val="center"/>
              <w:rPr>
                <w:rFonts w:asciiTheme="minorEastAsia" w:hAnsiTheme="minorEastAsia"/>
                <w:b/>
                <w:bCs/>
                <w:sz w:val="24"/>
                <w:szCs w:val="24"/>
              </w:rPr>
            </w:pPr>
            <w:r>
              <w:rPr>
                <w:rFonts w:hint="eastAsia" w:asciiTheme="minorEastAsia" w:hAnsiTheme="minorEastAsia"/>
                <w:b/>
                <w:bCs/>
                <w:sz w:val="24"/>
                <w:szCs w:val="24"/>
              </w:rPr>
              <w:t>序号</w:t>
            </w:r>
          </w:p>
        </w:tc>
        <w:tc>
          <w:tcPr>
            <w:tcW w:w="4618" w:type="dxa"/>
          </w:tcPr>
          <w:p w14:paraId="6D4240F5">
            <w:pPr>
              <w:spacing w:line="360" w:lineRule="auto"/>
              <w:jc w:val="center"/>
              <w:rPr>
                <w:rFonts w:asciiTheme="minorEastAsia" w:hAnsiTheme="minorEastAsia"/>
                <w:b/>
                <w:bCs/>
                <w:sz w:val="24"/>
                <w:szCs w:val="24"/>
              </w:rPr>
            </w:pPr>
            <w:r>
              <w:rPr>
                <w:rFonts w:hint="eastAsia" w:asciiTheme="minorEastAsia" w:hAnsiTheme="minorEastAsia"/>
                <w:b/>
                <w:bCs/>
                <w:sz w:val="24"/>
                <w:szCs w:val="24"/>
              </w:rPr>
              <w:t>往来方名称</w:t>
            </w:r>
          </w:p>
        </w:tc>
        <w:tc>
          <w:tcPr>
            <w:tcW w:w="2236" w:type="dxa"/>
          </w:tcPr>
          <w:p w14:paraId="21C2D99D">
            <w:pPr>
              <w:spacing w:line="360" w:lineRule="auto"/>
              <w:jc w:val="center"/>
              <w:rPr>
                <w:rFonts w:asciiTheme="minorEastAsia" w:hAnsiTheme="minorEastAsia"/>
                <w:b/>
                <w:bCs/>
                <w:sz w:val="24"/>
                <w:szCs w:val="24"/>
              </w:rPr>
            </w:pPr>
            <w:r>
              <w:rPr>
                <w:rFonts w:hint="eastAsia" w:asciiTheme="minorEastAsia" w:hAnsiTheme="minorEastAsia"/>
                <w:b/>
                <w:bCs/>
                <w:sz w:val="24"/>
                <w:szCs w:val="24"/>
              </w:rPr>
              <w:t>应收账款账面金额</w:t>
            </w:r>
          </w:p>
        </w:tc>
      </w:tr>
      <w:tr w14:paraId="11A281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8" w:type="dxa"/>
          </w:tcPr>
          <w:p w14:paraId="1B5063AD">
            <w:pPr>
              <w:spacing w:line="360" w:lineRule="auto"/>
              <w:jc w:val="center"/>
              <w:rPr>
                <w:rFonts w:asciiTheme="minorEastAsia" w:hAnsiTheme="minorEastAsia"/>
                <w:sz w:val="24"/>
                <w:szCs w:val="24"/>
              </w:rPr>
            </w:pPr>
            <w:r>
              <w:rPr>
                <w:rFonts w:hint="eastAsia" w:asciiTheme="minorEastAsia" w:hAnsiTheme="minorEastAsia"/>
                <w:sz w:val="24"/>
                <w:szCs w:val="24"/>
              </w:rPr>
              <w:t>1</w:t>
            </w:r>
          </w:p>
        </w:tc>
        <w:tc>
          <w:tcPr>
            <w:tcW w:w="4618" w:type="dxa"/>
          </w:tcPr>
          <w:p w14:paraId="760CB78A">
            <w:pPr>
              <w:spacing w:line="360" w:lineRule="auto"/>
              <w:jc w:val="left"/>
              <w:rPr>
                <w:rFonts w:asciiTheme="minorEastAsia" w:hAnsiTheme="minorEastAsia"/>
                <w:sz w:val="24"/>
                <w:szCs w:val="24"/>
              </w:rPr>
            </w:pPr>
            <w:r>
              <w:rPr>
                <w:rFonts w:hint="eastAsia" w:asciiTheme="minorEastAsia" w:hAnsiTheme="minorEastAsia"/>
                <w:sz w:val="24"/>
                <w:szCs w:val="24"/>
              </w:rPr>
              <w:t>翼德（银川）科技有限公司</w:t>
            </w:r>
          </w:p>
        </w:tc>
        <w:tc>
          <w:tcPr>
            <w:tcW w:w="2236" w:type="dxa"/>
          </w:tcPr>
          <w:p w14:paraId="60EA2536">
            <w:pPr>
              <w:spacing w:line="360" w:lineRule="auto"/>
              <w:jc w:val="left"/>
              <w:rPr>
                <w:rFonts w:asciiTheme="minorEastAsia" w:hAnsiTheme="minorEastAsia"/>
                <w:sz w:val="24"/>
                <w:szCs w:val="24"/>
              </w:rPr>
            </w:pPr>
            <w:r>
              <w:rPr>
                <w:rFonts w:hint="eastAsia" w:asciiTheme="minorEastAsia" w:hAnsiTheme="minorEastAsia"/>
                <w:sz w:val="24"/>
                <w:szCs w:val="24"/>
              </w:rPr>
              <w:t>181,697.00</w:t>
            </w:r>
          </w:p>
        </w:tc>
      </w:tr>
      <w:tr w14:paraId="6CFB01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8" w:type="dxa"/>
          </w:tcPr>
          <w:p w14:paraId="223CBF6A">
            <w:pPr>
              <w:spacing w:line="360" w:lineRule="auto"/>
              <w:jc w:val="center"/>
              <w:rPr>
                <w:rFonts w:asciiTheme="minorEastAsia" w:hAnsiTheme="minorEastAsia"/>
                <w:sz w:val="24"/>
                <w:szCs w:val="24"/>
              </w:rPr>
            </w:pPr>
            <w:r>
              <w:rPr>
                <w:rFonts w:hint="eastAsia" w:asciiTheme="minorEastAsia" w:hAnsiTheme="minorEastAsia"/>
                <w:sz w:val="24"/>
                <w:szCs w:val="24"/>
              </w:rPr>
              <w:t>2</w:t>
            </w:r>
          </w:p>
        </w:tc>
        <w:tc>
          <w:tcPr>
            <w:tcW w:w="4618" w:type="dxa"/>
          </w:tcPr>
          <w:p w14:paraId="0F87FF22">
            <w:pPr>
              <w:spacing w:line="360" w:lineRule="auto"/>
              <w:jc w:val="left"/>
              <w:rPr>
                <w:rFonts w:asciiTheme="minorEastAsia" w:hAnsiTheme="minorEastAsia"/>
                <w:sz w:val="24"/>
                <w:szCs w:val="24"/>
              </w:rPr>
            </w:pPr>
            <w:r>
              <w:rPr>
                <w:rFonts w:hint="eastAsia" w:asciiTheme="minorEastAsia" w:hAnsiTheme="minorEastAsia"/>
                <w:sz w:val="24"/>
                <w:szCs w:val="24"/>
              </w:rPr>
              <w:t>银川市唐徕回民中学</w:t>
            </w:r>
          </w:p>
        </w:tc>
        <w:tc>
          <w:tcPr>
            <w:tcW w:w="2236" w:type="dxa"/>
          </w:tcPr>
          <w:p w14:paraId="6F53629D">
            <w:pPr>
              <w:spacing w:line="360" w:lineRule="auto"/>
              <w:jc w:val="left"/>
              <w:rPr>
                <w:rFonts w:asciiTheme="minorEastAsia" w:hAnsiTheme="minorEastAsia"/>
                <w:sz w:val="24"/>
                <w:szCs w:val="24"/>
              </w:rPr>
            </w:pPr>
            <w:r>
              <w:rPr>
                <w:rFonts w:hint="eastAsia" w:asciiTheme="minorEastAsia" w:hAnsiTheme="minorEastAsia"/>
                <w:sz w:val="24"/>
                <w:szCs w:val="24"/>
              </w:rPr>
              <w:t>115,140.00</w:t>
            </w:r>
          </w:p>
        </w:tc>
      </w:tr>
      <w:tr w14:paraId="338E3F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8" w:type="dxa"/>
          </w:tcPr>
          <w:p w14:paraId="747FA939">
            <w:pPr>
              <w:spacing w:line="360" w:lineRule="auto"/>
              <w:jc w:val="center"/>
              <w:rPr>
                <w:rFonts w:asciiTheme="minorEastAsia" w:hAnsiTheme="minorEastAsia"/>
                <w:sz w:val="24"/>
                <w:szCs w:val="24"/>
              </w:rPr>
            </w:pPr>
            <w:r>
              <w:rPr>
                <w:rFonts w:hint="eastAsia" w:asciiTheme="minorEastAsia" w:hAnsiTheme="minorEastAsia"/>
                <w:sz w:val="24"/>
                <w:szCs w:val="24"/>
              </w:rPr>
              <w:t>3</w:t>
            </w:r>
          </w:p>
        </w:tc>
        <w:tc>
          <w:tcPr>
            <w:tcW w:w="4618" w:type="dxa"/>
          </w:tcPr>
          <w:p w14:paraId="608BD4A2">
            <w:pPr>
              <w:spacing w:line="360" w:lineRule="auto"/>
              <w:jc w:val="left"/>
              <w:rPr>
                <w:rFonts w:asciiTheme="minorEastAsia" w:hAnsiTheme="minorEastAsia"/>
                <w:sz w:val="24"/>
                <w:szCs w:val="24"/>
              </w:rPr>
            </w:pPr>
            <w:r>
              <w:rPr>
                <w:rFonts w:hint="eastAsia" w:asciiTheme="minorEastAsia" w:hAnsiTheme="minorEastAsia"/>
                <w:sz w:val="24"/>
                <w:szCs w:val="24"/>
              </w:rPr>
              <w:t>宁夏筑瑞项目管理有限公司</w:t>
            </w:r>
          </w:p>
        </w:tc>
        <w:tc>
          <w:tcPr>
            <w:tcW w:w="2236" w:type="dxa"/>
          </w:tcPr>
          <w:p w14:paraId="6F693E77">
            <w:pPr>
              <w:spacing w:line="360" w:lineRule="auto"/>
              <w:jc w:val="left"/>
              <w:rPr>
                <w:rFonts w:asciiTheme="minorEastAsia" w:hAnsiTheme="minorEastAsia"/>
                <w:sz w:val="24"/>
                <w:szCs w:val="24"/>
              </w:rPr>
            </w:pPr>
            <w:r>
              <w:rPr>
                <w:rFonts w:hint="eastAsia" w:asciiTheme="minorEastAsia" w:hAnsiTheme="minorEastAsia"/>
                <w:sz w:val="24"/>
                <w:szCs w:val="24"/>
              </w:rPr>
              <w:t>6,210.00</w:t>
            </w:r>
          </w:p>
        </w:tc>
      </w:tr>
      <w:tr w14:paraId="5B77B0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8" w:type="dxa"/>
          </w:tcPr>
          <w:p w14:paraId="75F94402">
            <w:pPr>
              <w:spacing w:line="360" w:lineRule="auto"/>
              <w:jc w:val="center"/>
              <w:rPr>
                <w:rFonts w:asciiTheme="minorEastAsia" w:hAnsiTheme="minorEastAsia"/>
                <w:sz w:val="24"/>
                <w:szCs w:val="24"/>
              </w:rPr>
            </w:pPr>
            <w:r>
              <w:rPr>
                <w:rFonts w:hint="eastAsia" w:asciiTheme="minorEastAsia" w:hAnsiTheme="minorEastAsia"/>
                <w:sz w:val="24"/>
                <w:szCs w:val="24"/>
              </w:rPr>
              <w:t>4</w:t>
            </w:r>
          </w:p>
        </w:tc>
        <w:tc>
          <w:tcPr>
            <w:tcW w:w="4618" w:type="dxa"/>
          </w:tcPr>
          <w:p w14:paraId="79F54156">
            <w:pPr>
              <w:spacing w:line="360" w:lineRule="auto"/>
              <w:jc w:val="left"/>
              <w:rPr>
                <w:rFonts w:asciiTheme="minorEastAsia" w:hAnsiTheme="minorEastAsia"/>
                <w:sz w:val="24"/>
                <w:szCs w:val="24"/>
              </w:rPr>
            </w:pPr>
            <w:r>
              <w:rPr>
                <w:rFonts w:hint="eastAsia" w:asciiTheme="minorEastAsia" w:hAnsiTheme="minorEastAsia"/>
                <w:sz w:val="24"/>
                <w:szCs w:val="24"/>
              </w:rPr>
              <w:t>共计</w:t>
            </w:r>
          </w:p>
        </w:tc>
        <w:tc>
          <w:tcPr>
            <w:tcW w:w="2236" w:type="dxa"/>
          </w:tcPr>
          <w:p w14:paraId="1EB9DBE8">
            <w:pPr>
              <w:spacing w:line="360" w:lineRule="auto"/>
              <w:jc w:val="left"/>
              <w:rPr>
                <w:rFonts w:asciiTheme="minorEastAsia" w:hAnsiTheme="minorEastAsia"/>
                <w:sz w:val="24"/>
                <w:szCs w:val="24"/>
              </w:rPr>
            </w:pPr>
            <w:r>
              <w:rPr>
                <w:rFonts w:hint="eastAsia" w:asciiTheme="minorEastAsia" w:hAnsiTheme="minorEastAsia"/>
                <w:sz w:val="24"/>
                <w:szCs w:val="24"/>
              </w:rPr>
              <w:t>303,047.00</w:t>
            </w:r>
          </w:p>
        </w:tc>
      </w:tr>
      <w:tr w14:paraId="2059C0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gridSpan w:val="3"/>
          </w:tcPr>
          <w:p w14:paraId="73265362">
            <w:pPr>
              <w:spacing w:line="360" w:lineRule="auto"/>
              <w:jc w:val="center"/>
              <w:rPr>
                <w:rFonts w:asciiTheme="minorEastAsia" w:hAnsiTheme="minorEastAsia"/>
                <w:sz w:val="24"/>
                <w:szCs w:val="24"/>
              </w:rPr>
            </w:pPr>
            <w:r>
              <w:rPr>
                <w:rFonts w:hint="eastAsia" w:ascii="宋体" w:hAnsi="宋体" w:eastAsia="宋体" w:cstheme="minorEastAsia"/>
                <w:b/>
                <w:bCs/>
                <w:color w:val="FF0000"/>
                <w:sz w:val="24"/>
                <w:szCs w:val="24"/>
              </w:rPr>
              <w:t>（该信息仅供参考，具体以标的物现状为准。）</w:t>
            </w:r>
          </w:p>
        </w:tc>
      </w:tr>
      <w:tr w14:paraId="648D25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gridSpan w:val="3"/>
          </w:tcPr>
          <w:p w14:paraId="6A1FB169">
            <w:pPr>
              <w:spacing w:before="100" w:after="100" w:line="360" w:lineRule="auto"/>
              <w:ind w:firstLine="482" w:firstLineChars="200"/>
              <w:jc w:val="left"/>
              <w:rPr>
                <w:rFonts w:ascii="宋体" w:hAnsi="宋体"/>
                <w:b/>
                <w:bCs/>
                <w:color w:val="FF0000"/>
                <w:sz w:val="24"/>
                <w:shd w:val="clear" w:color="auto" w:fill="FFFFFF"/>
              </w:rPr>
            </w:pPr>
            <w:r>
              <w:rPr>
                <w:rFonts w:hint="eastAsia" w:asciiTheme="minorEastAsia" w:hAnsiTheme="minorEastAsia"/>
                <w:b/>
                <w:bCs/>
                <w:color w:val="FF0000"/>
                <w:sz w:val="24"/>
                <w:szCs w:val="24"/>
              </w:rPr>
              <w:t>1、</w:t>
            </w:r>
            <w:r>
              <w:rPr>
                <w:rFonts w:hint="eastAsia" w:ascii="宋体" w:hAnsi="宋体"/>
                <w:b/>
                <w:bCs/>
                <w:color w:val="FF0000"/>
                <w:sz w:val="24"/>
                <w:shd w:val="clear" w:color="auto" w:fill="FFFFFF"/>
              </w:rPr>
              <w:t>本标的北京东方汇通教育科技有限公司对翼德（银川）科技有限公司等3个主体持有的应收账款303,047.00元，交付时以其现有价值为准，拍卖成交价格不做任何调整。</w:t>
            </w:r>
          </w:p>
          <w:p w14:paraId="6A66DEF5">
            <w:pPr>
              <w:spacing w:before="100" w:after="100" w:line="360" w:lineRule="auto"/>
              <w:ind w:firstLine="482" w:firstLineChars="200"/>
              <w:jc w:val="left"/>
              <w:rPr>
                <w:rFonts w:ascii="宋体" w:hAnsi="宋体"/>
                <w:b/>
                <w:bCs/>
                <w:color w:val="FF0000"/>
                <w:sz w:val="24"/>
                <w:shd w:val="clear" w:color="auto" w:fill="FFFFFF"/>
              </w:rPr>
            </w:pPr>
            <w:r>
              <w:rPr>
                <w:rFonts w:hint="eastAsia" w:ascii="宋体" w:hAnsi="宋体"/>
                <w:b/>
                <w:bCs/>
                <w:color w:val="FF0000"/>
                <w:sz w:val="24"/>
                <w:shd w:val="clear" w:color="auto" w:fill="FFFFFF"/>
              </w:rPr>
              <w:t>2、针对翼德(银川)科技有限公司未回款181,697.00元根据东方汇通向管理人提供的信息，东方汇通对翼德（银川）科技有限公司之应收账款系因双方，2021-28号供货合同产生，总价款为 433.380.00元，未履行款项共计181,697.00元；管理人仅仅掌握相关供货合同的扫描件，不掌握与合同履行情况相关的证据。2024年8月15日，管理人向翼德（银川）科技有限公司邮寄了债权催收函。经管理人电话联系，对方反馈不认可欠付金额。</w:t>
            </w:r>
          </w:p>
          <w:p w14:paraId="3FDC5E5C">
            <w:pPr>
              <w:spacing w:before="100" w:after="100" w:line="360" w:lineRule="auto"/>
              <w:ind w:firstLine="482" w:firstLineChars="200"/>
              <w:jc w:val="left"/>
              <w:rPr>
                <w:rFonts w:ascii="宋体" w:hAnsi="宋体"/>
                <w:b/>
                <w:bCs/>
                <w:color w:val="FF0000"/>
                <w:sz w:val="24"/>
                <w:shd w:val="clear" w:color="auto" w:fill="FFFFFF"/>
              </w:rPr>
            </w:pPr>
            <w:r>
              <w:rPr>
                <w:rFonts w:hint="eastAsia" w:ascii="宋体" w:hAnsi="宋体"/>
                <w:b/>
                <w:bCs/>
                <w:color w:val="FF0000"/>
                <w:sz w:val="24"/>
                <w:shd w:val="clear" w:color="auto" w:fill="FFFFFF"/>
              </w:rPr>
              <w:t>3、针对银川市唐徕回民中学的115,140.00元应收款根据东方汇通向管理人提供的信息，东方汇通对银川市唐徕回民中学之应收账款系因双方，2020-668号供货合同产生，总价款为 498000元，未履行款项共计115,140.00元。2024年8月15日，管理人向银川市唐回民中学邮寄了债权催收函。经管理人电话联系，对方表示不清楚相关情况。</w:t>
            </w:r>
          </w:p>
          <w:p w14:paraId="5D9D9FBA">
            <w:pPr>
              <w:spacing w:before="100" w:after="100" w:line="360" w:lineRule="auto"/>
              <w:ind w:firstLine="482" w:firstLineChars="200"/>
              <w:jc w:val="left"/>
              <w:rPr>
                <w:rFonts w:ascii="宋体" w:hAnsi="宋体"/>
                <w:b/>
                <w:bCs/>
                <w:color w:val="FF0000"/>
                <w:sz w:val="24"/>
                <w:shd w:val="clear" w:color="auto" w:fill="FFFFFF"/>
              </w:rPr>
            </w:pPr>
            <w:r>
              <w:rPr>
                <w:rFonts w:hint="eastAsia" w:ascii="宋体" w:hAnsi="宋体"/>
                <w:b/>
                <w:bCs/>
                <w:color w:val="FF0000"/>
                <w:sz w:val="24"/>
                <w:shd w:val="clear" w:color="auto" w:fill="FFFFFF"/>
              </w:rPr>
              <w:t>4、针对宁夏筑瑞项目管理有限公司的6,210.00元应收款管理人并未接管到关于对宁夏筑瑞项目管理有限公司应收账款的材料。2024年8月15日，管理人通过公开途径查询的联系地址及联系电话向宁夏筑瑞项目管理有限公司邮寄了债权催收函，该邮件被拒收。此后管理人多次拨打该电话，但至今无法接通。</w:t>
            </w:r>
          </w:p>
          <w:p w14:paraId="55FAB350">
            <w:pPr>
              <w:spacing w:before="100" w:after="100" w:line="360" w:lineRule="auto"/>
              <w:ind w:firstLine="480"/>
              <w:jc w:val="left"/>
              <w:rPr>
                <w:rFonts w:asciiTheme="minorEastAsia" w:hAnsiTheme="minorEastAsia"/>
                <w:b/>
                <w:bCs/>
                <w:color w:val="FF0000"/>
                <w:sz w:val="24"/>
                <w:szCs w:val="24"/>
              </w:rPr>
            </w:pPr>
            <w:r>
              <w:rPr>
                <w:rFonts w:hint="eastAsia" w:asciiTheme="minorEastAsia" w:hAnsiTheme="minorEastAsia"/>
                <w:b/>
                <w:bCs/>
                <w:color w:val="FF0000"/>
                <w:sz w:val="24"/>
                <w:szCs w:val="24"/>
              </w:rPr>
              <w:t xml:space="preserve">5、本标的物的应收类资产为北京东方汇通教育科技有限公司对翼德（银川）科技有限公司等3个主体持有的应收账款303,047.00元。若竞拍成交后买受人发现债务人偿还了其他部分债权，则标的物以剩余价值转让，拍卖成交价格不变。参与竞拍者即视为认可此规则，不能将因债权价值减少视为不当履行职责而向管理人或拍卖辅助机构索赔。交付时以其现有价值为准，拍卖成交价格不做任何调整。 </w:t>
            </w:r>
          </w:p>
          <w:p w14:paraId="6352D026">
            <w:pPr>
              <w:spacing w:before="100" w:after="100" w:line="360" w:lineRule="auto"/>
              <w:ind w:firstLine="480"/>
              <w:jc w:val="left"/>
              <w:rPr>
                <w:rFonts w:asciiTheme="minorEastAsia" w:hAnsiTheme="minorEastAsia"/>
                <w:b/>
                <w:bCs/>
                <w:color w:val="FF0000"/>
                <w:sz w:val="24"/>
                <w:szCs w:val="24"/>
              </w:rPr>
            </w:pPr>
            <w:r>
              <w:rPr>
                <w:rFonts w:hint="eastAsia" w:asciiTheme="minorEastAsia" w:hAnsiTheme="minorEastAsia"/>
                <w:b/>
                <w:bCs/>
                <w:color w:val="FF0000"/>
                <w:sz w:val="24"/>
                <w:szCs w:val="24"/>
              </w:rPr>
              <w:t>6、债权可能存在债务人实际已履行等原因已消灭，发票未开，被抵销、撤销以及其他原因或纠纷导致无法收回、产生损失等风险；</w:t>
            </w:r>
          </w:p>
          <w:p w14:paraId="038A5521">
            <w:pPr>
              <w:spacing w:before="100" w:after="100" w:line="360" w:lineRule="auto"/>
              <w:ind w:firstLine="480"/>
              <w:jc w:val="left"/>
              <w:rPr>
                <w:rFonts w:asciiTheme="minorEastAsia" w:hAnsiTheme="minorEastAsia"/>
                <w:b/>
                <w:bCs/>
                <w:color w:val="FF0000"/>
                <w:sz w:val="24"/>
                <w:szCs w:val="24"/>
              </w:rPr>
            </w:pPr>
            <w:r>
              <w:rPr>
                <w:rFonts w:hint="eastAsia" w:asciiTheme="minorEastAsia" w:hAnsiTheme="minorEastAsia"/>
                <w:b/>
                <w:bCs/>
                <w:color w:val="FF0000"/>
                <w:sz w:val="24"/>
                <w:szCs w:val="24"/>
              </w:rPr>
              <w:t>7、与债权相关的债务人或担保人或第三方可能存在破产、被解散、被注销被撤销、被关闭、被吊销、歇业、下落不明以及其他主体存续性瑕疵的情形；</w:t>
            </w:r>
          </w:p>
          <w:p w14:paraId="44D907ED">
            <w:pPr>
              <w:spacing w:before="100" w:after="100" w:line="360" w:lineRule="auto"/>
              <w:ind w:firstLine="480"/>
              <w:jc w:val="left"/>
              <w:rPr>
                <w:rFonts w:asciiTheme="minorEastAsia" w:hAnsiTheme="minorEastAsia"/>
                <w:b/>
                <w:bCs/>
                <w:color w:val="FF0000"/>
                <w:sz w:val="24"/>
                <w:szCs w:val="24"/>
              </w:rPr>
            </w:pPr>
            <w:r>
              <w:rPr>
                <w:rFonts w:hint="eastAsia" w:asciiTheme="minorEastAsia" w:hAnsiTheme="minorEastAsia"/>
                <w:b/>
                <w:bCs/>
                <w:color w:val="FF0000"/>
                <w:sz w:val="24"/>
                <w:szCs w:val="24"/>
              </w:rPr>
              <w:t>8、债权文件对于债权的行使可能存在不真实、不完整，可能法律上或当事人间约定不得转让致使受让方无法行使权利，债权凭证原件缺失不存在或内容冲突或导致债权存在争议、无法收回、产生损失等相关情形：</w:t>
            </w:r>
          </w:p>
          <w:p w14:paraId="35FAF1E0">
            <w:pPr>
              <w:spacing w:before="100" w:after="100" w:line="360" w:lineRule="auto"/>
              <w:ind w:firstLine="480"/>
              <w:jc w:val="left"/>
              <w:rPr>
                <w:rFonts w:asciiTheme="minorEastAsia" w:hAnsiTheme="minorEastAsia"/>
                <w:b/>
                <w:bCs/>
                <w:color w:val="FF0000"/>
                <w:sz w:val="24"/>
                <w:szCs w:val="24"/>
              </w:rPr>
            </w:pPr>
            <w:r>
              <w:rPr>
                <w:rFonts w:hint="eastAsia" w:asciiTheme="minorEastAsia" w:hAnsiTheme="minorEastAsia"/>
                <w:b/>
                <w:bCs/>
                <w:color w:val="FF0000"/>
                <w:sz w:val="24"/>
                <w:szCs w:val="24"/>
              </w:rPr>
              <w:t>9、应收账款项目可能存在已经被其他应收账款债权人或第三人收取的情形。</w:t>
            </w:r>
          </w:p>
          <w:p w14:paraId="58BE807D">
            <w:pPr>
              <w:spacing w:before="100" w:after="100" w:line="360" w:lineRule="auto"/>
              <w:ind w:firstLine="480"/>
              <w:jc w:val="left"/>
              <w:rPr>
                <w:rFonts w:asciiTheme="minorEastAsia" w:hAnsiTheme="minorEastAsia"/>
                <w:b/>
                <w:bCs/>
                <w:color w:val="FF0000"/>
                <w:sz w:val="24"/>
                <w:szCs w:val="24"/>
              </w:rPr>
            </w:pPr>
            <w:r>
              <w:rPr>
                <w:rFonts w:hint="eastAsia" w:asciiTheme="minorEastAsia" w:hAnsiTheme="minorEastAsia"/>
                <w:b/>
                <w:bCs/>
                <w:color w:val="FF0000"/>
                <w:sz w:val="24"/>
                <w:szCs w:val="24"/>
              </w:rPr>
              <w:t>10、其他已经或尚未发现的可能导致应收账款存在争议、不存在、无法收回、产生损失等风险。</w:t>
            </w:r>
          </w:p>
          <w:p w14:paraId="37B6DCC3">
            <w:pPr>
              <w:spacing w:before="100" w:after="100" w:line="360" w:lineRule="auto"/>
              <w:ind w:firstLine="480"/>
              <w:jc w:val="left"/>
              <w:rPr>
                <w:rFonts w:asciiTheme="minorEastAsia" w:hAnsiTheme="minorEastAsia"/>
                <w:b/>
                <w:bCs/>
                <w:color w:val="FF0000"/>
                <w:sz w:val="24"/>
                <w:szCs w:val="24"/>
              </w:rPr>
            </w:pPr>
            <w:r>
              <w:rPr>
                <w:rFonts w:hint="eastAsia" w:asciiTheme="minorEastAsia" w:hAnsiTheme="minorEastAsia"/>
                <w:b/>
                <w:bCs/>
                <w:color w:val="FF0000"/>
                <w:sz w:val="24"/>
                <w:szCs w:val="24"/>
              </w:rPr>
              <w:t>11、应收账款可能已超过诉讼时效、执行时效或丧失相关的法定期间或因其他原因已部分消灭或成为自然债导致存在无法收回的可能，因合同约定、债务人实际已履行等原因已消灭，发票未开，被抵销、撤销以及其他原因或纠纷导致无法收回、产生损失等风险。</w:t>
            </w:r>
          </w:p>
          <w:p w14:paraId="172275E0">
            <w:pPr>
              <w:spacing w:before="100" w:after="100" w:line="360" w:lineRule="auto"/>
              <w:ind w:firstLine="480"/>
              <w:jc w:val="left"/>
              <w:rPr>
                <w:rFonts w:asciiTheme="minorEastAsia" w:hAnsiTheme="minorEastAsia"/>
                <w:b/>
                <w:bCs/>
                <w:color w:val="FF0000"/>
                <w:sz w:val="24"/>
                <w:szCs w:val="24"/>
              </w:rPr>
            </w:pPr>
            <w:r>
              <w:rPr>
                <w:rFonts w:hint="eastAsia" w:asciiTheme="minorEastAsia" w:hAnsiTheme="minorEastAsia"/>
                <w:b/>
                <w:bCs/>
                <w:color w:val="FF0000"/>
                <w:sz w:val="24"/>
                <w:szCs w:val="24"/>
              </w:rPr>
              <w:t>12、应收账款文件可能与应收账款文件清单记载不一致导致应收账款存在争议、无法收回、产生损失等风险。</w:t>
            </w:r>
          </w:p>
          <w:p w14:paraId="2241AFCF">
            <w:pPr>
              <w:spacing w:before="100" w:after="100" w:line="360" w:lineRule="auto"/>
              <w:ind w:firstLine="480"/>
              <w:jc w:val="left"/>
              <w:rPr>
                <w:rFonts w:asciiTheme="minorEastAsia" w:hAnsiTheme="minorEastAsia"/>
                <w:b/>
                <w:bCs/>
                <w:color w:val="FF0000"/>
                <w:sz w:val="24"/>
                <w:szCs w:val="24"/>
              </w:rPr>
            </w:pPr>
            <w:r>
              <w:rPr>
                <w:rFonts w:hint="eastAsia" w:asciiTheme="minorEastAsia" w:hAnsiTheme="minorEastAsia"/>
                <w:b/>
                <w:bCs/>
                <w:color w:val="FF0000"/>
                <w:sz w:val="24"/>
                <w:szCs w:val="24"/>
              </w:rPr>
              <w:t>13、就应收账款提起诉讼可能存在败诉、不能变更诉讼主体、执行主体等诉讼风险。</w:t>
            </w:r>
          </w:p>
          <w:p w14:paraId="77F39453">
            <w:pPr>
              <w:spacing w:before="100" w:after="100" w:line="360" w:lineRule="auto"/>
              <w:ind w:firstLine="480"/>
              <w:jc w:val="left"/>
              <w:rPr>
                <w:rFonts w:asciiTheme="minorEastAsia" w:hAnsiTheme="minorEastAsia"/>
                <w:b/>
                <w:bCs/>
                <w:color w:val="FF0000"/>
                <w:sz w:val="24"/>
                <w:szCs w:val="24"/>
              </w:rPr>
            </w:pPr>
            <w:r>
              <w:rPr>
                <w:rFonts w:hint="eastAsia" w:asciiTheme="minorEastAsia" w:hAnsiTheme="minorEastAsia"/>
                <w:b/>
                <w:bCs/>
                <w:color w:val="FF0000"/>
                <w:sz w:val="24"/>
                <w:szCs w:val="24"/>
              </w:rPr>
              <w:t>因上述问题发生费用及造成的导致应收账款存在争议、无法收回、产生损失等风险由买受竞买人自行承担。</w:t>
            </w:r>
          </w:p>
          <w:p w14:paraId="267A228F">
            <w:pPr>
              <w:spacing w:before="100" w:after="100" w:line="360" w:lineRule="auto"/>
              <w:ind w:firstLine="480"/>
              <w:jc w:val="left"/>
              <w:rPr>
                <w:rFonts w:asciiTheme="minorEastAsia" w:hAnsiTheme="minorEastAsia"/>
                <w:b/>
                <w:bCs/>
                <w:color w:val="FF0000"/>
                <w:sz w:val="24"/>
                <w:szCs w:val="24"/>
              </w:rPr>
            </w:pPr>
            <w:r>
              <w:rPr>
                <w:rFonts w:hint="eastAsia" w:asciiTheme="minorEastAsia" w:hAnsiTheme="minorEastAsia"/>
                <w:b/>
                <w:bCs/>
                <w:color w:val="FF0000"/>
                <w:sz w:val="24"/>
                <w:szCs w:val="24"/>
              </w:rPr>
              <w:t>14、管理人负责向买受人出具成交文件，向债务人送达的相关通知或文书由买受人自行负责并承担相关费用。</w:t>
            </w:r>
          </w:p>
          <w:p w14:paraId="5EA04B24">
            <w:pPr>
              <w:spacing w:before="100" w:after="100" w:line="360" w:lineRule="auto"/>
              <w:ind w:firstLine="480"/>
              <w:jc w:val="left"/>
              <w:rPr>
                <w:rFonts w:asciiTheme="minorEastAsia" w:hAnsiTheme="minorEastAsia"/>
                <w:b/>
                <w:bCs/>
                <w:color w:val="FF0000"/>
                <w:sz w:val="24"/>
                <w:szCs w:val="24"/>
              </w:rPr>
            </w:pPr>
            <w:r>
              <w:rPr>
                <w:rFonts w:hint="eastAsia" w:asciiTheme="minorEastAsia" w:hAnsiTheme="minorEastAsia"/>
                <w:b/>
                <w:bCs/>
                <w:color w:val="FF0000"/>
                <w:sz w:val="24"/>
                <w:szCs w:val="24"/>
              </w:rPr>
              <w:t>15、竞买人应在竞价前自行做好尽职调查，自行判断是否符合受让本标的物的资格。因不符合条件参加竞买的，由竞买人自行承担相应的法律责任，并自行承担由此产生的全部责任及后果，包括但不限于费用、风险和损失。</w:t>
            </w:r>
          </w:p>
          <w:p w14:paraId="09FD7E2B">
            <w:pPr>
              <w:spacing w:before="100" w:after="100" w:line="360" w:lineRule="auto"/>
              <w:ind w:firstLine="480"/>
              <w:jc w:val="left"/>
              <w:rPr>
                <w:rFonts w:asciiTheme="minorEastAsia" w:hAnsiTheme="minorEastAsia"/>
                <w:b/>
                <w:bCs/>
                <w:color w:val="FF0000"/>
                <w:sz w:val="24"/>
                <w:szCs w:val="24"/>
              </w:rPr>
            </w:pPr>
            <w:r>
              <w:rPr>
                <w:rFonts w:hint="eastAsia" w:asciiTheme="minorEastAsia" w:hAnsiTheme="minorEastAsia"/>
                <w:b/>
                <w:bCs/>
                <w:color w:val="FF0000"/>
                <w:sz w:val="24"/>
                <w:szCs w:val="24"/>
              </w:rPr>
              <w:t>16、拍卖成交之日起，买受人须承担标的物可能发生的一切风险。</w:t>
            </w:r>
          </w:p>
          <w:p w14:paraId="0D19FFB9">
            <w:pPr>
              <w:spacing w:before="100" w:after="100" w:line="360" w:lineRule="auto"/>
              <w:ind w:firstLine="480"/>
              <w:jc w:val="left"/>
              <w:rPr>
                <w:rFonts w:asciiTheme="minorEastAsia" w:hAnsiTheme="minorEastAsia"/>
                <w:b/>
                <w:bCs/>
                <w:color w:val="FF0000"/>
                <w:sz w:val="24"/>
                <w:szCs w:val="24"/>
              </w:rPr>
            </w:pPr>
            <w:r>
              <w:rPr>
                <w:rFonts w:hint="eastAsia" w:asciiTheme="minorEastAsia" w:hAnsiTheme="minorEastAsia"/>
                <w:b/>
                <w:bCs/>
                <w:color w:val="FF0000"/>
                <w:sz w:val="24"/>
                <w:szCs w:val="24"/>
              </w:rPr>
              <w:t>17、管理人将秉持诚信原则尽量提供给竞买人所需资料，管理人和拍卖辅助机构不对标的物任何权利负担或瑕疵承担责任。竞买人根据自身需求可自行调查、了解、核实。未尽事宜，管理人和拍卖辅助机构不承担任何责任。</w:t>
            </w:r>
          </w:p>
          <w:p w14:paraId="12DBE64B">
            <w:pPr>
              <w:spacing w:before="100" w:after="100" w:line="360" w:lineRule="auto"/>
              <w:ind w:firstLine="480"/>
              <w:jc w:val="left"/>
              <w:rPr>
                <w:rFonts w:asciiTheme="minorEastAsia" w:hAnsiTheme="minorEastAsia"/>
                <w:b/>
                <w:bCs/>
                <w:color w:val="FF0000"/>
                <w:sz w:val="24"/>
                <w:szCs w:val="24"/>
              </w:rPr>
            </w:pPr>
            <w:r>
              <w:rPr>
                <w:rFonts w:hint="eastAsia" w:asciiTheme="minorEastAsia" w:hAnsiTheme="minorEastAsia"/>
                <w:b/>
                <w:bCs/>
                <w:color w:val="FF0000"/>
                <w:sz w:val="24"/>
                <w:szCs w:val="24"/>
              </w:rPr>
              <w:t>18、应收账款可能存在的其他瑕疵或缺陷。其他未尽事宜由买受人自行了解。</w:t>
            </w:r>
          </w:p>
          <w:p w14:paraId="1F355269">
            <w:pPr>
              <w:spacing w:before="100" w:after="100" w:line="360" w:lineRule="auto"/>
              <w:ind w:firstLine="480"/>
              <w:jc w:val="left"/>
              <w:rPr>
                <w:rFonts w:ascii="宋体" w:hAnsi="宋体" w:eastAsia="宋体" w:cstheme="minorEastAsia"/>
                <w:b/>
                <w:bCs/>
                <w:color w:val="FF0000"/>
                <w:sz w:val="24"/>
                <w:szCs w:val="24"/>
              </w:rPr>
            </w:pPr>
            <w:r>
              <w:rPr>
                <w:rFonts w:hint="eastAsia" w:asciiTheme="minorEastAsia" w:hAnsiTheme="minorEastAsia"/>
                <w:b/>
                <w:bCs/>
                <w:color w:val="FF0000"/>
                <w:sz w:val="24"/>
                <w:szCs w:val="24"/>
              </w:rPr>
              <w:t>因上述问题发生费用及造成的应收账款不能变更的风险由买受人自行承担。</w:t>
            </w:r>
          </w:p>
        </w:tc>
      </w:tr>
      <w:bookmarkEnd w:id="1"/>
    </w:tbl>
    <w:p w14:paraId="5B6CCBA2">
      <w:pPr>
        <w:spacing w:line="360" w:lineRule="auto"/>
        <w:ind w:right="960"/>
        <w:rPr>
          <w:rFonts w:asciiTheme="minorEastAsia" w:hAnsiTheme="minorEastAsia"/>
          <w:sz w:val="24"/>
          <w:szCs w:val="24"/>
        </w:rPr>
      </w:pPr>
    </w:p>
    <w:p w14:paraId="4AFA8FB0">
      <w:pPr>
        <w:spacing w:line="360" w:lineRule="auto"/>
        <w:ind w:firstLine="480" w:firstLineChars="200"/>
        <w:jc w:val="right"/>
        <w:rPr>
          <w:rFonts w:asciiTheme="minorEastAsia" w:hAnsiTheme="minorEastAsia"/>
          <w:sz w:val="24"/>
          <w:szCs w:val="24"/>
        </w:rPr>
      </w:pPr>
    </w:p>
    <w:p w14:paraId="0C30B380">
      <w:pPr>
        <w:spacing w:line="360" w:lineRule="auto"/>
        <w:ind w:firstLine="480" w:firstLineChars="200"/>
        <w:jc w:val="right"/>
        <w:rPr>
          <w:rFonts w:asciiTheme="minorEastAsia" w:hAnsiTheme="minorEastAsia"/>
          <w:sz w:val="24"/>
          <w:szCs w:val="24"/>
        </w:rPr>
      </w:pPr>
    </w:p>
    <w:p w14:paraId="0DB8AF36">
      <w:pPr>
        <w:spacing w:line="360" w:lineRule="auto"/>
        <w:jc w:val="left"/>
        <w:rPr>
          <w:rFonts w:asciiTheme="minorEastAsia" w:hAnsiTheme="minorEastAsia"/>
          <w:sz w:val="24"/>
          <w:szCs w:val="24"/>
        </w:rPr>
      </w:pPr>
      <w:r>
        <w:rPr>
          <w:rFonts w:hint="eastAsia" w:asciiTheme="minorEastAsia" w:hAnsiTheme="minorEastAsia"/>
          <w:sz w:val="24"/>
          <w:szCs w:val="24"/>
        </w:rPr>
        <w:t>照片：</w:t>
      </w:r>
    </w:p>
    <w:p w14:paraId="00E18F70">
      <w:pPr>
        <w:spacing w:line="360" w:lineRule="auto"/>
        <w:jc w:val="left"/>
        <w:rPr>
          <w:rFonts w:asciiTheme="minorEastAsia" w:hAnsiTheme="minorEastAsia"/>
          <w:sz w:val="24"/>
          <w:szCs w:val="24"/>
        </w:rPr>
      </w:pPr>
    </w:p>
    <w:p w14:paraId="4838E2A6">
      <w:pPr>
        <w:spacing w:line="360" w:lineRule="auto"/>
        <w:jc w:val="left"/>
        <w:rPr>
          <w:rFonts w:asciiTheme="minorEastAsia" w:hAnsiTheme="minorEastAsia"/>
          <w:sz w:val="24"/>
          <w:szCs w:val="2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32808A5"/>
    <w:multiLevelType w:val="singleLevel"/>
    <w:tmpl w:val="332808A5"/>
    <w:lvl w:ilvl="0" w:tentative="0">
      <w:start w:val="1"/>
      <w:numFmt w:val="chineseCounting"/>
      <w:suff w:val="nothing"/>
      <w:lvlText w:val="%1、"/>
      <w:lvlJc w:val="left"/>
      <w:rPr>
        <w:rFonts w:hint="eastAsia"/>
      </w:rPr>
    </w:lvl>
  </w:abstractNum>
  <w:abstractNum w:abstractNumId="1">
    <w:nsid w:val="367B4CCA"/>
    <w:multiLevelType w:val="singleLevel"/>
    <w:tmpl w:val="367B4CCA"/>
    <w:lvl w:ilvl="0" w:tentative="0">
      <w:start w:val="1"/>
      <w:numFmt w:val="decimal"/>
      <w:suff w:val="nothing"/>
      <w:lvlText w:val="%1、"/>
      <w:lvlJc w:val="left"/>
    </w:lvl>
  </w:abstractNum>
  <w:abstractNum w:abstractNumId="2">
    <w:nsid w:val="38FC4E75"/>
    <w:multiLevelType w:val="singleLevel"/>
    <w:tmpl w:val="38FC4E75"/>
    <w:lvl w:ilvl="0" w:tentative="0">
      <w:start w:val="8"/>
      <w:numFmt w:val="chineseCounting"/>
      <w:suff w:val="nothing"/>
      <w:lvlText w:val="%1、"/>
      <w:lvlJc w:val="left"/>
      <w:rPr>
        <w:rFonts w:hint="eastAsia"/>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trackRevisions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g5MjViNTc4NGIwZDVkMjg2NDE2NWViZmE4YTVjNmYifQ=="/>
  </w:docVars>
  <w:rsids>
    <w:rsidRoot w:val="006705CC"/>
    <w:rsid w:val="000134B2"/>
    <w:rsid w:val="0002393B"/>
    <w:rsid w:val="000345F8"/>
    <w:rsid w:val="000505EB"/>
    <w:rsid w:val="00051E02"/>
    <w:rsid w:val="0005677F"/>
    <w:rsid w:val="00061D2E"/>
    <w:rsid w:val="000763A0"/>
    <w:rsid w:val="00087E11"/>
    <w:rsid w:val="0009418A"/>
    <w:rsid w:val="000A0642"/>
    <w:rsid w:val="000A33CA"/>
    <w:rsid w:val="000A527A"/>
    <w:rsid w:val="000D5FB3"/>
    <w:rsid w:val="000D639B"/>
    <w:rsid w:val="00104AEB"/>
    <w:rsid w:val="001206E4"/>
    <w:rsid w:val="00122E94"/>
    <w:rsid w:val="00142839"/>
    <w:rsid w:val="00151626"/>
    <w:rsid w:val="00156667"/>
    <w:rsid w:val="001A0EAB"/>
    <w:rsid w:val="001B706C"/>
    <w:rsid w:val="001C7094"/>
    <w:rsid w:val="001D7A05"/>
    <w:rsid w:val="001F53A3"/>
    <w:rsid w:val="0021232E"/>
    <w:rsid w:val="00224C38"/>
    <w:rsid w:val="002556C1"/>
    <w:rsid w:val="00266827"/>
    <w:rsid w:val="002749EF"/>
    <w:rsid w:val="00281631"/>
    <w:rsid w:val="00286172"/>
    <w:rsid w:val="00294F47"/>
    <w:rsid w:val="002B6F1B"/>
    <w:rsid w:val="002C2F87"/>
    <w:rsid w:val="002E4FD4"/>
    <w:rsid w:val="002F34CD"/>
    <w:rsid w:val="00305174"/>
    <w:rsid w:val="003159B6"/>
    <w:rsid w:val="003242AB"/>
    <w:rsid w:val="00325429"/>
    <w:rsid w:val="00326BBB"/>
    <w:rsid w:val="00326FEE"/>
    <w:rsid w:val="003571DB"/>
    <w:rsid w:val="00365E3C"/>
    <w:rsid w:val="00380359"/>
    <w:rsid w:val="00387D3D"/>
    <w:rsid w:val="003A21D7"/>
    <w:rsid w:val="003A6E3E"/>
    <w:rsid w:val="003B0D10"/>
    <w:rsid w:val="003B17D2"/>
    <w:rsid w:val="003B3810"/>
    <w:rsid w:val="003C3D69"/>
    <w:rsid w:val="003C6B6C"/>
    <w:rsid w:val="003C77FA"/>
    <w:rsid w:val="003E0A6E"/>
    <w:rsid w:val="003E3A56"/>
    <w:rsid w:val="00422112"/>
    <w:rsid w:val="00426B1C"/>
    <w:rsid w:val="00432721"/>
    <w:rsid w:val="004405BB"/>
    <w:rsid w:val="00447E03"/>
    <w:rsid w:val="004562F8"/>
    <w:rsid w:val="00460443"/>
    <w:rsid w:val="00462220"/>
    <w:rsid w:val="00463AAE"/>
    <w:rsid w:val="00482372"/>
    <w:rsid w:val="0049611D"/>
    <w:rsid w:val="004A1BD2"/>
    <w:rsid w:val="004E2BC3"/>
    <w:rsid w:val="00500AEE"/>
    <w:rsid w:val="0050228E"/>
    <w:rsid w:val="00503173"/>
    <w:rsid w:val="00515436"/>
    <w:rsid w:val="00537CA0"/>
    <w:rsid w:val="005425B1"/>
    <w:rsid w:val="005545E2"/>
    <w:rsid w:val="0055574E"/>
    <w:rsid w:val="00556B39"/>
    <w:rsid w:val="00566AEA"/>
    <w:rsid w:val="00572BF7"/>
    <w:rsid w:val="00573892"/>
    <w:rsid w:val="005A10DA"/>
    <w:rsid w:val="005A6E8D"/>
    <w:rsid w:val="005B0D5B"/>
    <w:rsid w:val="005C6CF4"/>
    <w:rsid w:val="005D0597"/>
    <w:rsid w:val="005D0905"/>
    <w:rsid w:val="005D6FFF"/>
    <w:rsid w:val="005E1744"/>
    <w:rsid w:val="005F6202"/>
    <w:rsid w:val="00602FC9"/>
    <w:rsid w:val="00607854"/>
    <w:rsid w:val="0061488C"/>
    <w:rsid w:val="00614ADA"/>
    <w:rsid w:val="00630929"/>
    <w:rsid w:val="00631D73"/>
    <w:rsid w:val="00634749"/>
    <w:rsid w:val="00640E85"/>
    <w:rsid w:val="00642EF7"/>
    <w:rsid w:val="00647971"/>
    <w:rsid w:val="00660A2C"/>
    <w:rsid w:val="00660E79"/>
    <w:rsid w:val="006705CC"/>
    <w:rsid w:val="00681EB6"/>
    <w:rsid w:val="006A08CE"/>
    <w:rsid w:val="006C4FC7"/>
    <w:rsid w:val="006D518E"/>
    <w:rsid w:val="00712119"/>
    <w:rsid w:val="00722D29"/>
    <w:rsid w:val="00725E01"/>
    <w:rsid w:val="00752568"/>
    <w:rsid w:val="00770350"/>
    <w:rsid w:val="00771872"/>
    <w:rsid w:val="0077240D"/>
    <w:rsid w:val="00785D6A"/>
    <w:rsid w:val="00797413"/>
    <w:rsid w:val="007A6F25"/>
    <w:rsid w:val="007B0CB7"/>
    <w:rsid w:val="007B4810"/>
    <w:rsid w:val="007B5604"/>
    <w:rsid w:val="007B7150"/>
    <w:rsid w:val="007E40A2"/>
    <w:rsid w:val="007E5167"/>
    <w:rsid w:val="007F1380"/>
    <w:rsid w:val="007F6DE8"/>
    <w:rsid w:val="008075C1"/>
    <w:rsid w:val="00826999"/>
    <w:rsid w:val="00842B8B"/>
    <w:rsid w:val="00855563"/>
    <w:rsid w:val="00865D20"/>
    <w:rsid w:val="00867981"/>
    <w:rsid w:val="00875907"/>
    <w:rsid w:val="008948BB"/>
    <w:rsid w:val="008B73C2"/>
    <w:rsid w:val="008C624B"/>
    <w:rsid w:val="008C7C40"/>
    <w:rsid w:val="008D07BD"/>
    <w:rsid w:val="008D4415"/>
    <w:rsid w:val="008D6C43"/>
    <w:rsid w:val="008F5105"/>
    <w:rsid w:val="009055FB"/>
    <w:rsid w:val="00905E85"/>
    <w:rsid w:val="00924B2A"/>
    <w:rsid w:val="00925CD2"/>
    <w:rsid w:val="0093506B"/>
    <w:rsid w:val="00935E72"/>
    <w:rsid w:val="009662BA"/>
    <w:rsid w:val="0097776F"/>
    <w:rsid w:val="009A415F"/>
    <w:rsid w:val="009A44B4"/>
    <w:rsid w:val="009A710C"/>
    <w:rsid w:val="009C0090"/>
    <w:rsid w:val="009E1E20"/>
    <w:rsid w:val="009F4B58"/>
    <w:rsid w:val="00A116C6"/>
    <w:rsid w:val="00A13D27"/>
    <w:rsid w:val="00A86A9F"/>
    <w:rsid w:val="00A95514"/>
    <w:rsid w:val="00A95637"/>
    <w:rsid w:val="00AB1824"/>
    <w:rsid w:val="00AD6809"/>
    <w:rsid w:val="00AE53BD"/>
    <w:rsid w:val="00B13EC3"/>
    <w:rsid w:val="00B16476"/>
    <w:rsid w:val="00B30199"/>
    <w:rsid w:val="00B410CE"/>
    <w:rsid w:val="00B50838"/>
    <w:rsid w:val="00B51292"/>
    <w:rsid w:val="00B55EB3"/>
    <w:rsid w:val="00B83D57"/>
    <w:rsid w:val="00B87A8D"/>
    <w:rsid w:val="00BA3FBE"/>
    <w:rsid w:val="00BC3120"/>
    <w:rsid w:val="00BC43EC"/>
    <w:rsid w:val="00BD53F6"/>
    <w:rsid w:val="00BE6F9A"/>
    <w:rsid w:val="00BF6406"/>
    <w:rsid w:val="00C02618"/>
    <w:rsid w:val="00C14E9A"/>
    <w:rsid w:val="00C33D08"/>
    <w:rsid w:val="00C42247"/>
    <w:rsid w:val="00C43086"/>
    <w:rsid w:val="00C6555E"/>
    <w:rsid w:val="00C664F4"/>
    <w:rsid w:val="00C93046"/>
    <w:rsid w:val="00CA014A"/>
    <w:rsid w:val="00CA12D9"/>
    <w:rsid w:val="00CB1753"/>
    <w:rsid w:val="00CB42BA"/>
    <w:rsid w:val="00CC1726"/>
    <w:rsid w:val="00CC7E65"/>
    <w:rsid w:val="00CF00C1"/>
    <w:rsid w:val="00D0736B"/>
    <w:rsid w:val="00D5502D"/>
    <w:rsid w:val="00D562E6"/>
    <w:rsid w:val="00D6015C"/>
    <w:rsid w:val="00D75774"/>
    <w:rsid w:val="00DB2B6D"/>
    <w:rsid w:val="00DB2F04"/>
    <w:rsid w:val="00DC7749"/>
    <w:rsid w:val="00E03910"/>
    <w:rsid w:val="00E12626"/>
    <w:rsid w:val="00E151E1"/>
    <w:rsid w:val="00E42BF5"/>
    <w:rsid w:val="00E517D1"/>
    <w:rsid w:val="00E5365D"/>
    <w:rsid w:val="00E65D57"/>
    <w:rsid w:val="00E663A6"/>
    <w:rsid w:val="00E9472A"/>
    <w:rsid w:val="00EA3401"/>
    <w:rsid w:val="00F15297"/>
    <w:rsid w:val="00F42605"/>
    <w:rsid w:val="00F4643F"/>
    <w:rsid w:val="00F5403D"/>
    <w:rsid w:val="00F76566"/>
    <w:rsid w:val="00F87DBF"/>
    <w:rsid w:val="00FC48E7"/>
    <w:rsid w:val="00FD3104"/>
    <w:rsid w:val="00FD420B"/>
    <w:rsid w:val="00FE0B68"/>
    <w:rsid w:val="00FF23EA"/>
    <w:rsid w:val="00FF77F3"/>
    <w:rsid w:val="01286562"/>
    <w:rsid w:val="01311D17"/>
    <w:rsid w:val="01AE5688"/>
    <w:rsid w:val="01E70628"/>
    <w:rsid w:val="03FA6D38"/>
    <w:rsid w:val="0506170D"/>
    <w:rsid w:val="05143FCE"/>
    <w:rsid w:val="057335C1"/>
    <w:rsid w:val="068C5C42"/>
    <w:rsid w:val="06EC66E0"/>
    <w:rsid w:val="07464042"/>
    <w:rsid w:val="07526A91"/>
    <w:rsid w:val="07943000"/>
    <w:rsid w:val="07FC0BA5"/>
    <w:rsid w:val="0854278F"/>
    <w:rsid w:val="092B7994"/>
    <w:rsid w:val="09A514F4"/>
    <w:rsid w:val="09F064E7"/>
    <w:rsid w:val="09F935EE"/>
    <w:rsid w:val="0A0B0D13"/>
    <w:rsid w:val="0A206DCD"/>
    <w:rsid w:val="0B1526A9"/>
    <w:rsid w:val="0C0E77A3"/>
    <w:rsid w:val="0C547201"/>
    <w:rsid w:val="0CB35CD6"/>
    <w:rsid w:val="0D074274"/>
    <w:rsid w:val="0D6214AA"/>
    <w:rsid w:val="0D7E7B62"/>
    <w:rsid w:val="0DA900B3"/>
    <w:rsid w:val="0E034A3B"/>
    <w:rsid w:val="0E10441A"/>
    <w:rsid w:val="0E7F45D4"/>
    <w:rsid w:val="0EC71F0D"/>
    <w:rsid w:val="0EE24651"/>
    <w:rsid w:val="0F4E1E08"/>
    <w:rsid w:val="0F8C0A60"/>
    <w:rsid w:val="1008458B"/>
    <w:rsid w:val="104F3F68"/>
    <w:rsid w:val="10635C65"/>
    <w:rsid w:val="107F4121"/>
    <w:rsid w:val="11001706"/>
    <w:rsid w:val="11A42091"/>
    <w:rsid w:val="122F07E2"/>
    <w:rsid w:val="12CC5D44"/>
    <w:rsid w:val="12E110C3"/>
    <w:rsid w:val="13053004"/>
    <w:rsid w:val="13C073B2"/>
    <w:rsid w:val="13D1738A"/>
    <w:rsid w:val="13F84916"/>
    <w:rsid w:val="14891A12"/>
    <w:rsid w:val="149C7998"/>
    <w:rsid w:val="14E60C13"/>
    <w:rsid w:val="15AE04E9"/>
    <w:rsid w:val="15B036FB"/>
    <w:rsid w:val="15C01464"/>
    <w:rsid w:val="162E0AC3"/>
    <w:rsid w:val="16500A3A"/>
    <w:rsid w:val="166338AE"/>
    <w:rsid w:val="16DC407B"/>
    <w:rsid w:val="16DE4297"/>
    <w:rsid w:val="170D06D9"/>
    <w:rsid w:val="176F4EEF"/>
    <w:rsid w:val="179130B8"/>
    <w:rsid w:val="185A794E"/>
    <w:rsid w:val="188744BB"/>
    <w:rsid w:val="18A1557C"/>
    <w:rsid w:val="19185113"/>
    <w:rsid w:val="19406B43"/>
    <w:rsid w:val="197E766C"/>
    <w:rsid w:val="198729C4"/>
    <w:rsid w:val="1A613215"/>
    <w:rsid w:val="1BAD248A"/>
    <w:rsid w:val="1C181028"/>
    <w:rsid w:val="1D882867"/>
    <w:rsid w:val="1DC064A5"/>
    <w:rsid w:val="1DE50B42"/>
    <w:rsid w:val="1DF61EC7"/>
    <w:rsid w:val="1E043040"/>
    <w:rsid w:val="1E1B192D"/>
    <w:rsid w:val="1E674B72"/>
    <w:rsid w:val="1E965203"/>
    <w:rsid w:val="1E9A6CF6"/>
    <w:rsid w:val="1EAE09F3"/>
    <w:rsid w:val="1EEE2B9E"/>
    <w:rsid w:val="1FC009DE"/>
    <w:rsid w:val="20C462AC"/>
    <w:rsid w:val="20C938C2"/>
    <w:rsid w:val="20CB0BD7"/>
    <w:rsid w:val="2130749E"/>
    <w:rsid w:val="213A656E"/>
    <w:rsid w:val="21DA1AFF"/>
    <w:rsid w:val="223D2F6D"/>
    <w:rsid w:val="228026A7"/>
    <w:rsid w:val="22EA6095"/>
    <w:rsid w:val="23411E36"/>
    <w:rsid w:val="235054FF"/>
    <w:rsid w:val="23DB11C1"/>
    <w:rsid w:val="23ED7DE4"/>
    <w:rsid w:val="240370EB"/>
    <w:rsid w:val="242C755F"/>
    <w:rsid w:val="24CF521F"/>
    <w:rsid w:val="251D626C"/>
    <w:rsid w:val="25590EF0"/>
    <w:rsid w:val="268D7140"/>
    <w:rsid w:val="26B97F35"/>
    <w:rsid w:val="272C6959"/>
    <w:rsid w:val="273E668C"/>
    <w:rsid w:val="276C144B"/>
    <w:rsid w:val="27F422C9"/>
    <w:rsid w:val="28836A4D"/>
    <w:rsid w:val="290F02E0"/>
    <w:rsid w:val="297B3BC8"/>
    <w:rsid w:val="298C1931"/>
    <w:rsid w:val="29CE021D"/>
    <w:rsid w:val="2A697EC4"/>
    <w:rsid w:val="2ABC535A"/>
    <w:rsid w:val="2B2A7653"/>
    <w:rsid w:val="2B6568DD"/>
    <w:rsid w:val="2B717030"/>
    <w:rsid w:val="2B7D3C27"/>
    <w:rsid w:val="2B844FB6"/>
    <w:rsid w:val="2C8C39F6"/>
    <w:rsid w:val="2C9C632F"/>
    <w:rsid w:val="2CE60A95"/>
    <w:rsid w:val="2D546C0A"/>
    <w:rsid w:val="2D915768"/>
    <w:rsid w:val="2DCC71AE"/>
    <w:rsid w:val="2E1450B0"/>
    <w:rsid w:val="2E2B38E3"/>
    <w:rsid w:val="2E352597"/>
    <w:rsid w:val="2EC67693"/>
    <w:rsid w:val="2EDC2A13"/>
    <w:rsid w:val="2F3F11F4"/>
    <w:rsid w:val="2F7470EF"/>
    <w:rsid w:val="2FD61B58"/>
    <w:rsid w:val="305B205D"/>
    <w:rsid w:val="314A45AB"/>
    <w:rsid w:val="315947EF"/>
    <w:rsid w:val="31B54AD3"/>
    <w:rsid w:val="31E7342E"/>
    <w:rsid w:val="320F1351"/>
    <w:rsid w:val="32144BB9"/>
    <w:rsid w:val="32146967"/>
    <w:rsid w:val="326F3B9E"/>
    <w:rsid w:val="32770A74"/>
    <w:rsid w:val="32C92362"/>
    <w:rsid w:val="332E1CAB"/>
    <w:rsid w:val="335B411D"/>
    <w:rsid w:val="33745910"/>
    <w:rsid w:val="34334EB1"/>
    <w:rsid w:val="346F4329"/>
    <w:rsid w:val="354E2190"/>
    <w:rsid w:val="358D0F0B"/>
    <w:rsid w:val="35A87AF3"/>
    <w:rsid w:val="36203B2D"/>
    <w:rsid w:val="36471C4E"/>
    <w:rsid w:val="36581D34"/>
    <w:rsid w:val="366538CF"/>
    <w:rsid w:val="366A124C"/>
    <w:rsid w:val="37677539"/>
    <w:rsid w:val="37977E1F"/>
    <w:rsid w:val="37FC2378"/>
    <w:rsid w:val="38972A67"/>
    <w:rsid w:val="38A547BD"/>
    <w:rsid w:val="38CA7D80"/>
    <w:rsid w:val="39047736"/>
    <w:rsid w:val="39FB5839"/>
    <w:rsid w:val="3A35391F"/>
    <w:rsid w:val="3A922B1F"/>
    <w:rsid w:val="3ACC4283"/>
    <w:rsid w:val="3AEA4709"/>
    <w:rsid w:val="3B163750"/>
    <w:rsid w:val="3B5F3BF5"/>
    <w:rsid w:val="3B912DD7"/>
    <w:rsid w:val="3D0A4BEF"/>
    <w:rsid w:val="3D3D4FC4"/>
    <w:rsid w:val="3DA60DBB"/>
    <w:rsid w:val="3DB159B2"/>
    <w:rsid w:val="3E0930F8"/>
    <w:rsid w:val="3E5013BC"/>
    <w:rsid w:val="3E545134"/>
    <w:rsid w:val="3E546A69"/>
    <w:rsid w:val="3ECA0ADA"/>
    <w:rsid w:val="3EED2A1A"/>
    <w:rsid w:val="3F1955BD"/>
    <w:rsid w:val="3F424B14"/>
    <w:rsid w:val="3F47037C"/>
    <w:rsid w:val="3F76656C"/>
    <w:rsid w:val="40062655"/>
    <w:rsid w:val="407F3B46"/>
    <w:rsid w:val="409F1AF2"/>
    <w:rsid w:val="40A84E4B"/>
    <w:rsid w:val="40B97058"/>
    <w:rsid w:val="40E24E97"/>
    <w:rsid w:val="40E71050"/>
    <w:rsid w:val="412C5A7C"/>
    <w:rsid w:val="4168282C"/>
    <w:rsid w:val="42064A3F"/>
    <w:rsid w:val="42213106"/>
    <w:rsid w:val="42332E3A"/>
    <w:rsid w:val="427D40B5"/>
    <w:rsid w:val="42C27D1A"/>
    <w:rsid w:val="439B2A45"/>
    <w:rsid w:val="43B81849"/>
    <w:rsid w:val="44365E73"/>
    <w:rsid w:val="451F1453"/>
    <w:rsid w:val="45652C74"/>
    <w:rsid w:val="45763769"/>
    <w:rsid w:val="4597548E"/>
    <w:rsid w:val="45A02594"/>
    <w:rsid w:val="462F1B6A"/>
    <w:rsid w:val="464B7318"/>
    <w:rsid w:val="47217705"/>
    <w:rsid w:val="47FE35A2"/>
    <w:rsid w:val="4823125B"/>
    <w:rsid w:val="483671E0"/>
    <w:rsid w:val="48746863"/>
    <w:rsid w:val="48B12D0A"/>
    <w:rsid w:val="48B65D2E"/>
    <w:rsid w:val="49D071C0"/>
    <w:rsid w:val="49DE7B2F"/>
    <w:rsid w:val="49F424A8"/>
    <w:rsid w:val="49F904C5"/>
    <w:rsid w:val="4A1C2405"/>
    <w:rsid w:val="4ABB39CC"/>
    <w:rsid w:val="4AC9298F"/>
    <w:rsid w:val="4B335C59"/>
    <w:rsid w:val="4B493608"/>
    <w:rsid w:val="4B555BCF"/>
    <w:rsid w:val="4BCE14DD"/>
    <w:rsid w:val="4C39729F"/>
    <w:rsid w:val="4C9646F1"/>
    <w:rsid w:val="4D096C71"/>
    <w:rsid w:val="4D2B45C3"/>
    <w:rsid w:val="4DC94652"/>
    <w:rsid w:val="4DE4323A"/>
    <w:rsid w:val="4E061402"/>
    <w:rsid w:val="4E1E674C"/>
    <w:rsid w:val="4E45017D"/>
    <w:rsid w:val="4F26459F"/>
    <w:rsid w:val="4F512B51"/>
    <w:rsid w:val="4F6E3703"/>
    <w:rsid w:val="505C7A00"/>
    <w:rsid w:val="51465525"/>
    <w:rsid w:val="51EA1F63"/>
    <w:rsid w:val="524977E8"/>
    <w:rsid w:val="53227BED"/>
    <w:rsid w:val="53642E53"/>
    <w:rsid w:val="53BD6A07"/>
    <w:rsid w:val="550F5041"/>
    <w:rsid w:val="551560AA"/>
    <w:rsid w:val="55410F72"/>
    <w:rsid w:val="558E1B65"/>
    <w:rsid w:val="55A559A5"/>
    <w:rsid w:val="560B1CAC"/>
    <w:rsid w:val="564822B6"/>
    <w:rsid w:val="56E55F4F"/>
    <w:rsid w:val="57802226"/>
    <w:rsid w:val="57AD28EF"/>
    <w:rsid w:val="57D63BF4"/>
    <w:rsid w:val="583D0117"/>
    <w:rsid w:val="58B8779D"/>
    <w:rsid w:val="590D7AE9"/>
    <w:rsid w:val="59101387"/>
    <w:rsid w:val="598A113A"/>
    <w:rsid w:val="59AF0BA0"/>
    <w:rsid w:val="5A731BCE"/>
    <w:rsid w:val="5AA4622B"/>
    <w:rsid w:val="5AE26D53"/>
    <w:rsid w:val="5B372BFB"/>
    <w:rsid w:val="5BB85C75"/>
    <w:rsid w:val="5BD11AA4"/>
    <w:rsid w:val="5C4C0928"/>
    <w:rsid w:val="5D8C7ADA"/>
    <w:rsid w:val="5DF2411B"/>
    <w:rsid w:val="5FD17AC2"/>
    <w:rsid w:val="5FE95E21"/>
    <w:rsid w:val="601E5FEC"/>
    <w:rsid w:val="602776E2"/>
    <w:rsid w:val="60491497"/>
    <w:rsid w:val="607E751E"/>
    <w:rsid w:val="60A14042"/>
    <w:rsid w:val="60DA0450"/>
    <w:rsid w:val="61954B1F"/>
    <w:rsid w:val="624A590A"/>
    <w:rsid w:val="62960B4F"/>
    <w:rsid w:val="62966DA1"/>
    <w:rsid w:val="64137F7D"/>
    <w:rsid w:val="64801AB7"/>
    <w:rsid w:val="64D140C0"/>
    <w:rsid w:val="650C6EA7"/>
    <w:rsid w:val="656F7435"/>
    <w:rsid w:val="65856C59"/>
    <w:rsid w:val="65B37C6A"/>
    <w:rsid w:val="65C6799D"/>
    <w:rsid w:val="65D976D1"/>
    <w:rsid w:val="66680A54"/>
    <w:rsid w:val="66C961AA"/>
    <w:rsid w:val="6716225F"/>
    <w:rsid w:val="6731781D"/>
    <w:rsid w:val="67B664A1"/>
    <w:rsid w:val="67F26828"/>
    <w:rsid w:val="68095B31"/>
    <w:rsid w:val="688651C2"/>
    <w:rsid w:val="698B192D"/>
    <w:rsid w:val="6A2D2F30"/>
    <w:rsid w:val="6A721EA2"/>
    <w:rsid w:val="6AC4614D"/>
    <w:rsid w:val="6AF1726A"/>
    <w:rsid w:val="6B036F9E"/>
    <w:rsid w:val="6B2D6E6C"/>
    <w:rsid w:val="6B3C7DBA"/>
    <w:rsid w:val="6B6A2B79"/>
    <w:rsid w:val="6BC24763"/>
    <w:rsid w:val="6BC93D43"/>
    <w:rsid w:val="6BCF2DD3"/>
    <w:rsid w:val="6BD66460"/>
    <w:rsid w:val="6C1D5E3D"/>
    <w:rsid w:val="6CF920E8"/>
    <w:rsid w:val="6D800432"/>
    <w:rsid w:val="6DBB590E"/>
    <w:rsid w:val="6E35746E"/>
    <w:rsid w:val="6E8C1058"/>
    <w:rsid w:val="6ED00F45"/>
    <w:rsid w:val="6EDC3D8E"/>
    <w:rsid w:val="70B7060E"/>
    <w:rsid w:val="70CB230C"/>
    <w:rsid w:val="71662149"/>
    <w:rsid w:val="71CF1988"/>
    <w:rsid w:val="723143F0"/>
    <w:rsid w:val="72824C4C"/>
    <w:rsid w:val="72994DC2"/>
    <w:rsid w:val="72B648F6"/>
    <w:rsid w:val="733F0D8F"/>
    <w:rsid w:val="73B8604B"/>
    <w:rsid w:val="74145D78"/>
    <w:rsid w:val="74213FF1"/>
    <w:rsid w:val="74343D24"/>
    <w:rsid w:val="74505DF9"/>
    <w:rsid w:val="745443C6"/>
    <w:rsid w:val="75232716"/>
    <w:rsid w:val="75271ADB"/>
    <w:rsid w:val="75F06371"/>
    <w:rsid w:val="760B4F58"/>
    <w:rsid w:val="76497D1C"/>
    <w:rsid w:val="76A01B45"/>
    <w:rsid w:val="76AA4771"/>
    <w:rsid w:val="76CE249E"/>
    <w:rsid w:val="76F8372F"/>
    <w:rsid w:val="77112A42"/>
    <w:rsid w:val="77244524"/>
    <w:rsid w:val="778B00FF"/>
    <w:rsid w:val="779C055E"/>
    <w:rsid w:val="77EF68E0"/>
    <w:rsid w:val="780F6F82"/>
    <w:rsid w:val="784B19A6"/>
    <w:rsid w:val="791D56CF"/>
    <w:rsid w:val="794B223C"/>
    <w:rsid w:val="7A344A7E"/>
    <w:rsid w:val="7AB43E11"/>
    <w:rsid w:val="7AD14365"/>
    <w:rsid w:val="7B7F61CD"/>
    <w:rsid w:val="7BFF10BB"/>
    <w:rsid w:val="7C09018C"/>
    <w:rsid w:val="7C5C02BC"/>
    <w:rsid w:val="7DED1B13"/>
    <w:rsid w:val="7ECF76A3"/>
    <w:rsid w:val="7EDE1D96"/>
    <w:rsid w:val="7EEC1DCB"/>
    <w:rsid w:val="7F45772D"/>
    <w:rsid w:val="7F9147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9">
    <w:name w:val="Default Paragraph Font"/>
    <w:semiHidden/>
    <w:unhideWhenUsed/>
    <w:uiPriority w:val="1"/>
  </w:style>
  <w:style w:type="table" w:default="1" w:styleId="7">
    <w:name w:val="Normal Table"/>
    <w:semiHidden/>
    <w:unhideWhenUsed/>
    <w:uiPriority w:val="99"/>
    <w:tblPr>
      <w:tblCellMar>
        <w:top w:w="0" w:type="dxa"/>
        <w:left w:w="108" w:type="dxa"/>
        <w:bottom w:w="0" w:type="dxa"/>
        <w:right w:w="108" w:type="dxa"/>
      </w:tblCellMar>
    </w:tblPr>
  </w:style>
  <w:style w:type="paragraph" w:styleId="2">
    <w:name w:val="Date"/>
    <w:basedOn w:val="1"/>
    <w:next w:val="1"/>
    <w:link w:val="13"/>
    <w:semiHidden/>
    <w:unhideWhenUsed/>
    <w:qFormat/>
    <w:uiPriority w:val="99"/>
    <w:pPr>
      <w:ind w:left="100" w:leftChars="2500"/>
    </w:pPr>
  </w:style>
  <w:style w:type="paragraph" w:styleId="3">
    <w:name w:val="Balloon Text"/>
    <w:basedOn w:val="1"/>
    <w:link w:val="15"/>
    <w:semiHidden/>
    <w:unhideWhenUsed/>
    <w:uiPriority w:val="99"/>
    <w:rPr>
      <w:sz w:val="18"/>
      <w:szCs w:val="18"/>
    </w:rPr>
  </w:style>
  <w:style w:type="paragraph" w:styleId="4">
    <w:name w:val="footer"/>
    <w:basedOn w:val="1"/>
    <w:link w:val="12"/>
    <w:unhideWhenUsed/>
    <w:qFormat/>
    <w:uiPriority w:val="99"/>
    <w:pPr>
      <w:tabs>
        <w:tab w:val="center" w:pos="4153"/>
        <w:tab w:val="right" w:pos="8306"/>
      </w:tabs>
      <w:snapToGrid w:val="0"/>
      <w:jc w:val="left"/>
    </w:pPr>
    <w:rPr>
      <w:sz w:val="18"/>
      <w:szCs w:val="18"/>
    </w:rPr>
  </w:style>
  <w:style w:type="paragraph" w:styleId="5">
    <w:name w:val="header"/>
    <w:basedOn w:val="1"/>
    <w:link w:val="11"/>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table" w:styleId="8">
    <w:name w:val="Table Grid"/>
    <w:basedOn w:val="7"/>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Hyperlink"/>
    <w:basedOn w:val="9"/>
    <w:unhideWhenUsed/>
    <w:qFormat/>
    <w:uiPriority w:val="99"/>
    <w:rPr>
      <w:color w:val="0000FF" w:themeColor="hyperlink"/>
      <w:u w:val="single"/>
      <w14:textFill>
        <w14:solidFill>
          <w14:schemeClr w14:val="hlink"/>
        </w14:solidFill>
      </w14:textFill>
    </w:rPr>
  </w:style>
  <w:style w:type="character" w:customStyle="1" w:styleId="11">
    <w:name w:val="页眉 字符"/>
    <w:basedOn w:val="9"/>
    <w:link w:val="5"/>
    <w:qFormat/>
    <w:uiPriority w:val="99"/>
    <w:rPr>
      <w:sz w:val="18"/>
      <w:szCs w:val="18"/>
    </w:rPr>
  </w:style>
  <w:style w:type="character" w:customStyle="1" w:styleId="12">
    <w:name w:val="页脚 字符"/>
    <w:basedOn w:val="9"/>
    <w:link w:val="4"/>
    <w:qFormat/>
    <w:uiPriority w:val="99"/>
    <w:rPr>
      <w:sz w:val="18"/>
      <w:szCs w:val="18"/>
    </w:rPr>
  </w:style>
  <w:style w:type="character" w:customStyle="1" w:styleId="13">
    <w:name w:val="日期 字符"/>
    <w:basedOn w:val="9"/>
    <w:link w:val="2"/>
    <w:semiHidden/>
    <w:qFormat/>
    <w:uiPriority w:val="99"/>
  </w:style>
  <w:style w:type="paragraph" w:styleId="14">
    <w:name w:val="List Paragraph"/>
    <w:basedOn w:val="1"/>
    <w:qFormat/>
    <w:uiPriority w:val="99"/>
    <w:pPr>
      <w:ind w:firstLine="420" w:firstLineChars="200"/>
    </w:pPr>
  </w:style>
  <w:style w:type="character" w:customStyle="1" w:styleId="15">
    <w:name w:val="批注框文本 字符"/>
    <w:basedOn w:val="9"/>
    <w:link w:val="3"/>
    <w:semiHidden/>
    <w:uiPriority w:val="99"/>
    <w:rPr>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15</Pages>
  <Words>10526</Words>
  <Characters>11327</Characters>
  <Lines>82</Lines>
  <Paragraphs>23</Paragraphs>
  <TotalTime>27</TotalTime>
  <ScaleCrop>false</ScaleCrop>
  <LinksUpToDate>false</LinksUpToDate>
  <CharactersWithSpaces>11421</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2023-03-23T05:29:00Z</dcterms:created>
  <dc:creator>Administrator</dc:creator>
  <cp:lastModifiedBy>阿妍.</cp:lastModifiedBy>
  <dcterms:modified xsi:type="dcterms:W3CDTF">2026-01-09T06:30:37Z</dcterms:modified>
  <cp:revision>83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A986AF36A2584889929F23BED9F33D7D_13</vt:lpwstr>
  </property>
  <property fmtid="{D5CDD505-2E9C-101B-9397-08002B2CF9AE}" pid="4" name="KSOTemplateDocerSaveRecord">
    <vt:lpwstr>eyJoZGlkIjoiZWRkOGFkZGJlNTE2MTA1ZDNiOTQwNjQzNThhNWFkNDUiLCJ1c2VySWQiOiI0NTQ5NTI5MjUifQ==</vt:lpwstr>
  </property>
</Properties>
</file>