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4B2027">
      <w:pPr>
        <w:spacing w:line="580" w:lineRule="exact"/>
        <w:ind w:firstLine="0" w:firstLineChars="0"/>
        <w:rPr>
          <w:rFonts w:ascii="楷体_GB2312" w:hAnsi="楷体_GB2312" w:eastAsia="楷体_GB2312" w:cs="仿宋_GB2312"/>
          <w:sz w:val="32"/>
          <w:szCs w:val="32"/>
        </w:rPr>
      </w:pPr>
      <w:r>
        <w:rPr>
          <w:rFonts w:hint="eastAsia" w:ascii="楷体_GB2312" w:hAnsi="楷体_GB2312" w:eastAsia="楷体_GB2312" w:cs="仿宋_GB2312"/>
          <w:sz w:val="32"/>
          <w:szCs w:val="32"/>
        </w:rPr>
        <w:t>附件7</w:t>
      </w:r>
    </w:p>
    <w:p w14:paraId="439A02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2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Hans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长江星等七家公司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Hans"/>
        </w:rPr>
        <w:t>实质合并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破产清算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Hans"/>
        </w:rPr>
        <w:t>案</w:t>
      </w:r>
    </w:p>
    <w:p w14:paraId="540363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20" w:lineRule="exact"/>
        <w:ind w:firstLine="0" w:firstLineChars="0"/>
        <w:jc w:val="center"/>
        <w:textAlignment w:val="auto"/>
        <w:rPr>
          <w:rFonts w:ascii="方正小标宋_GBK" w:hAnsi="方正小标宋_GBK" w:eastAsia="方正小标宋_GBK" w:cs="方正小标宋_GBK"/>
          <w:sz w:val="36"/>
          <w:szCs w:val="36"/>
          <w:lang w:eastAsia="zh-Hans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Hans"/>
        </w:rPr>
        <w:t>送达地址和方式确认书</w:t>
      </w:r>
    </w:p>
    <w:tbl>
      <w:tblPr>
        <w:tblStyle w:val="3"/>
        <w:tblpPr w:leftFromText="180" w:rightFromText="180" w:vertAnchor="text" w:horzAnchor="margin" w:tblpXSpec="center" w:tblpY="197"/>
        <w:tblOverlap w:val="never"/>
        <w:tblW w:w="102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464"/>
        <w:gridCol w:w="2072"/>
        <w:gridCol w:w="2010"/>
        <w:gridCol w:w="2951"/>
      </w:tblGrid>
      <w:tr w14:paraId="76002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8" w:hRule="atLeast"/>
        </w:trPr>
        <w:tc>
          <w:tcPr>
            <w:tcW w:w="704" w:type="dxa"/>
            <w:vAlign w:val="center"/>
          </w:tcPr>
          <w:p w14:paraId="54F57130">
            <w:pPr>
              <w:adjustRightInd w:val="0"/>
              <w:snapToGrid w:val="0"/>
              <w:spacing w:line="580" w:lineRule="exact"/>
              <w:ind w:firstLine="0" w:firstLineChars="0"/>
              <w:jc w:val="left"/>
              <w:rPr>
                <w:rFonts w:ascii="仿宋" w:hAnsi="仿宋" w:eastAsia="仿宋" w:cs="仿宋_GB2312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</w:rPr>
              <w:t>告知</w:t>
            </w:r>
          </w:p>
          <w:p w14:paraId="37E5AD6A">
            <w:pPr>
              <w:adjustRightInd w:val="0"/>
              <w:snapToGrid w:val="0"/>
              <w:spacing w:line="580" w:lineRule="exact"/>
              <w:ind w:firstLine="0" w:firstLineChars="0"/>
              <w:jc w:val="left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</w:rPr>
              <w:t>事项</w:t>
            </w:r>
          </w:p>
        </w:tc>
        <w:tc>
          <w:tcPr>
            <w:tcW w:w="9497" w:type="dxa"/>
            <w:gridSpan w:val="4"/>
          </w:tcPr>
          <w:p w14:paraId="7B6CFDD1">
            <w:pPr>
              <w:adjustRightInd w:val="0"/>
              <w:snapToGrid w:val="0"/>
              <w:spacing w:before="156" w:beforeLines="50" w:line="360" w:lineRule="auto"/>
              <w:ind w:firstLine="0" w:firstLineChars="0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一、申报人申报债权时应当向</w:t>
            </w:r>
            <w:r>
              <w:rPr>
                <w:rFonts w:ascii="仿宋" w:hAnsi="仿宋" w:eastAsia="仿宋" w:cs="仿宋_GB2312"/>
                <w:sz w:val="21"/>
                <w:szCs w:val="21"/>
              </w:rPr>
              <w:t>管理人</w:t>
            </w:r>
            <w:r>
              <w:rPr>
                <w:rFonts w:hint="eastAsia" w:ascii="仿宋" w:hAnsi="仿宋" w:eastAsia="仿宋" w:cs="仿宋_GB2312"/>
                <w:sz w:val="21"/>
                <w:szCs w:val="21"/>
              </w:rPr>
              <w:t>提供或者确认自己准确的送达地址，并填写送达地址确认书。</w:t>
            </w:r>
          </w:p>
          <w:p w14:paraId="4F82D1B2"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二、申报人在</w:t>
            </w:r>
            <w:r>
              <w:rPr>
                <w:rFonts w:hint="eastAsia" w:ascii="仿宋" w:hAnsi="仿宋" w:cs="仿宋_GB2312"/>
                <w:sz w:val="21"/>
                <w:szCs w:val="21"/>
                <w:lang w:eastAsia="zh-CN"/>
              </w:rPr>
              <w:t>长江星等七家公司</w:t>
            </w:r>
            <w:r>
              <w:rPr>
                <w:rFonts w:hint="eastAsia" w:ascii="仿宋" w:hAnsi="仿宋" w:eastAsia="仿宋" w:cs="仿宋_GB2312"/>
                <w:sz w:val="21"/>
                <w:szCs w:val="21"/>
              </w:rPr>
              <w:t>实质合并</w:t>
            </w:r>
            <w:r>
              <w:rPr>
                <w:rFonts w:hint="eastAsia" w:ascii="仿宋" w:hAnsi="仿宋" w:eastAsia="仿宋" w:cs="仿宋_GB2312"/>
                <w:sz w:val="21"/>
                <w:szCs w:val="21"/>
                <w:lang w:val="en-US" w:eastAsia="zh-CN"/>
              </w:rPr>
              <w:t>清算</w:t>
            </w:r>
            <w:r>
              <w:rPr>
                <w:rFonts w:hint="eastAsia" w:ascii="仿宋" w:hAnsi="仿宋" w:eastAsia="仿宋" w:cs="仿宋_GB2312"/>
                <w:sz w:val="21"/>
                <w:szCs w:val="21"/>
              </w:rPr>
              <w:t>程序终结前变更送达地址的，应当及时以书面方式告知</w:t>
            </w:r>
            <w:r>
              <w:rPr>
                <w:rFonts w:ascii="仿宋" w:hAnsi="仿宋" w:eastAsia="仿宋" w:cs="仿宋_GB2312"/>
                <w:sz w:val="21"/>
                <w:szCs w:val="21"/>
              </w:rPr>
              <w:t>管理人</w:t>
            </w:r>
            <w:r>
              <w:rPr>
                <w:rFonts w:hint="eastAsia" w:ascii="仿宋" w:hAnsi="仿宋" w:eastAsia="仿宋" w:cs="仿宋_GB2312"/>
                <w:sz w:val="21"/>
                <w:szCs w:val="21"/>
              </w:rPr>
              <w:t>。</w:t>
            </w:r>
          </w:p>
          <w:p w14:paraId="3BD0323B"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三、申报人拒绝提供自己的送达地址，经</w:t>
            </w:r>
            <w:r>
              <w:rPr>
                <w:rFonts w:ascii="仿宋" w:hAnsi="仿宋" w:eastAsia="仿宋" w:cs="仿宋_GB2312"/>
                <w:sz w:val="21"/>
                <w:szCs w:val="21"/>
              </w:rPr>
              <w:t>管理人</w:t>
            </w:r>
            <w:r>
              <w:rPr>
                <w:rFonts w:hint="eastAsia" w:ascii="仿宋" w:hAnsi="仿宋" w:eastAsia="仿宋" w:cs="仿宋_GB2312"/>
                <w:sz w:val="21"/>
                <w:szCs w:val="21"/>
              </w:rPr>
              <w:t>告知后仍不提供的：自然人以其户籍登记中的住所地或者经常居住地为送达地址；法人或者非法人组织以其工商登记或者其他依法登记、备案中的住所地为送达地址。</w:t>
            </w:r>
          </w:p>
          <w:p w14:paraId="2EE03817"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四、为提高工作效率，并降低文件传送的成本</w:t>
            </w:r>
            <w:r>
              <w:rPr>
                <w:rFonts w:ascii="仿宋" w:hAnsi="仿宋" w:eastAsia="仿宋" w:cs="仿宋_GB2312"/>
                <w:sz w:val="21"/>
                <w:szCs w:val="21"/>
              </w:rPr>
              <w:t>，管理人</w:t>
            </w:r>
            <w:r>
              <w:rPr>
                <w:rFonts w:hint="eastAsia" w:ascii="仿宋" w:hAnsi="仿宋" w:eastAsia="仿宋" w:cs="仿宋_GB2312"/>
                <w:sz w:val="21"/>
                <w:szCs w:val="21"/>
              </w:rPr>
              <w:t>对案件中的部分信息将优先采用传真、电子邮件、短信等电子送达方式送达申报人。</w:t>
            </w:r>
          </w:p>
          <w:p w14:paraId="723653C4">
            <w:pPr>
              <w:adjustRightInd w:val="0"/>
              <w:snapToGrid w:val="0"/>
              <w:spacing w:line="360" w:lineRule="auto"/>
              <w:ind w:firstLine="0" w:firstLineChars="0"/>
              <w:rPr>
                <w:rFonts w:ascii="仿宋" w:hAnsi="仿宋" w:eastAsia="仿宋" w:cs="仿宋_GB2312"/>
                <w:b/>
                <w:bCs/>
                <w:sz w:val="21"/>
                <w:szCs w:val="21"/>
                <w:u w:val="double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1"/>
                <w:szCs w:val="21"/>
                <w:u w:val="double"/>
              </w:rPr>
              <w:t>五、因申报人提供或者确认的送达地址不准确、拒不提供送达地址、送达地址变更未及时告知</w:t>
            </w:r>
            <w:r>
              <w:rPr>
                <w:rFonts w:ascii="仿宋" w:hAnsi="仿宋" w:eastAsia="仿宋" w:cs="仿宋_GB2312"/>
                <w:b/>
                <w:bCs/>
                <w:sz w:val="21"/>
                <w:szCs w:val="21"/>
                <w:u w:val="double"/>
              </w:rPr>
              <w:t>管理人</w:t>
            </w:r>
            <w:r>
              <w:rPr>
                <w:rFonts w:hint="eastAsia" w:ascii="仿宋" w:hAnsi="仿宋" w:eastAsia="仿宋" w:cs="仿宋_GB2312"/>
                <w:b/>
                <w:bCs/>
                <w:sz w:val="21"/>
                <w:szCs w:val="21"/>
                <w:u w:val="double"/>
              </w:rPr>
              <w:t>、申报人本人或者申报人指定的代收人拒绝签收，导致相关文书未能被申报人实际接收的，文书寄出之日视为送达之日。采取电子送达方式的，</w:t>
            </w:r>
            <w:r>
              <w:rPr>
                <w:rFonts w:ascii="仿宋" w:hAnsi="仿宋" w:eastAsia="仿宋" w:cs="仿宋_GB2312"/>
                <w:b/>
                <w:bCs/>
                <w:sz w:val="21"/>
                <w:szCs w:val="21"/>
                <w:u w:val="double"/>
              </w:rPr>
              <w:t>管理人</w:t>
            </w:r>
            <w:r>
              <w:rPr>
                <w:rFonts w:hint="eastAsia" w:ascii="仿宋" w:hAnsi="仿宋" w:eastAsia="仿宋" w:cs="仿宋_GB2312"/>
                <w:b/>
                <w:bCs/>
                <w:sz w:val="21"/>
                <w:szCs w:val="21"/>
                <w:u w:val="double"/>
              </w:rPr>
              <w:t>对应系统显示发送成功的日期为送达之日。</w:t>
            </w:r>
          </w:p>
        </w:tc>
      </w:tr>
      <w:tr w14:paraId="6A098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04" w:type="dxa"/>
            <w:vMerge w:val="restart"/>
          </w:tcPr>
          <w:p w14:paraId="273E1237">
            <w:pPr>
              <w:adjustRightInd w:val="0"/>
              <w:snapToGrid w:val="0"/>
              <w:spacing w:line="580" w:lineRule="exact"/>
              <w:ind w:firstLine="0" w:firstLineChars="0"/>
              <w:jc w:val="left"/>
              <w:rPr>
                <w:rFonts w:ascii="仿宋" w:hAnsi="仿宋" w:eastAsia="仿宋" w:cs="仿宋_GB2312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</w:rPr>
              <w:t>送达地址和方式</w:t>
            </w:r>
          </w:p>
        </w:tc>
        <w:tc>
          <w:tcPr>
            <w:tcW w:w="2464" w:type="dxa"/>
          </w:tcPr>
          <w:p w14:paraId="15C4E474">
            <w:pPr>
              <w:adjustRightInd w:val="0"/>
              <w:snapToGrid w:val="0"/>
              <w:spacing w:line="580" w:lineRule="exact"/>
              <w:ind w:firstLine="0" w:firstLineChars="0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申报人（必填）</w:t>
            </w:r>
          </w:p>
        </w:tc>
        <w:tc>
          <w:tcPr>
            <w:tcW w:w="7033" w:type="dxa"/>
            <w:gridSpan w:val="3"/>
          </w:tcPr>
          <w:p w14:paraId="368C4ACF">
            <w:pPr>
              <w:adjustRightInd w:val="0"/>
              <w:snapToGrid w:val="0"/>
              <w:spacing w:line="580" w:lineRule="exact"/>
              <w:ind w:firstLine="0" w:firstLineChars="0"/>
              <w:rPr>
                <w:rFonts w:ascii="仿宋" w:hAnsi="仿宋" w:eastAsia="仿宋" w:cs="仿宋_GB2312"/>
                <w:sz w:val="21"/>
                <w:szCs w:val="21"/>
              </w:rPr>
            </w:pPr>
          </w:p>
        </w:tc>
      </w:tr>
      <w:tr w14:paraId="56B89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04" w:type="dxa"/>
            <w:vMerge w:val="continue"/>
          </w:tcPr>
          <w:p w14:paraId="7E192E4F">
            <w:pPr>
              <w:adjustRightInd w:val="0"/>
              <w:snapToGrid w:val="0"/>
              <w:spacing w:line="580" w:lineRule="exact"/>
              <w:ind w:firstLine="0" w:firstLineChars="0"/>
              <w:jc w:val="left"/>
              <w:rPr>
                <w:rFonts w:ascii="仿宋" w:hAnsi="仿宋" w:eastAsia="仿宋" w:cs="仿宋_GB2312"/>
                <w:sz w:val="21"/>
                <w:szCs w:val="21"/>
              </w:rPr>
            </w:pPr>
          </w:p>
        </w:tc>
        <w:tc>
          <w:tcPr>
            <w:tcW w:w="2464" w:type="dxa"/>
          </w:tcPr>
          <w:p w14:paraId="68BB47FE">
            <w:pPr>
              <w:adjustRightInd w:val="0"/>
              <w:snapToGrid w:val="0"/>
              <w:spacing w:line="580" w:lineRule="exact"/>
              <w:ind w:firstLine="0" w:firstLineChars="0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送达地址（必填）</w:t>
            </w:r>
          </w:p>
        </w:tc>
        <w:tc>
          <w:tcPr>
            <w:tcW w:w="7033" w:type="dxa"/>
            <w:gridSpan w:val="3"/>
          </w:tcPr>
          <w:p w14:paraId="15A88339">
            <w:pPr>
              <w:adjustRightInd w:val="0"/>
              <w:snapToGrid w:val="0"/>
              <w:spacing w:line="580" w:lineRule="exact"/>
              <w:ind w:firstLine="0" w:firstLineChars="0"/>
              <w:rPr>
                <w:rFonts w:ascii="仿宋" w:hAnsi="仿宋" w:eastAsia="仿宋" w:cs="仿宋_GB2312"/>
                <w:sz w:val="21"/>
                <w:szCs w:val="21"/>
              </w:rPr>
            </w:pPr>
          </w:p>
        </w:tc>
      </w:tr>
      <w:tr w14:paraId="15EEB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04" w:type="dxa"/>
            <w:vMerge w:val="continue"/>
          </w:tcPr>
          <w:p w14:paraId="26E72806">
            <w:pPr>
              <w:adjustRightInd w:val="0"/>
              <w:snapToGrid w:val="0"/>
              <w:spacing w:line="580" w:lineRule="exact"/>
              <w:ind w:firstLine="0" w:firstLineChars="0"/>
              <w:jc w:val="left"/>
              <w:rPr>
                <w:rFonts w:ascii="仿宋" w:hAnsi="仿宋" w:eastAsia="仿宋" w:cs="仿宋_GB2312"/>
                <w:sz w:val="21"/>
                <w:szCs w:val="21"/>
              </w:rPr>
            </w:pPr>
          </w:p>
        </w:tc>
        <w:tc>
          <w:tcPr>
            <w:tcW w:w="2464" w:type="dxa"/>
          </w:tcPr>
          <w:p w14:paraId="3402AE34">
            <w:pPr>
              <w:adjustRightInd w:val="0"/>
              <w:snapToGrid w:val="0"/>
              <w:spacing w:line="580" w:lineRule="exact"/>
              <w:ind w:firstLine="0" w:firstLineChars="0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收件人（必填）</w:t>
            </w:r>
          </w:p>
        </w:tc>
        <w:tc>
          <w:tcPr>
            <w:tcW w:w="7033" w:type="dxa"/>
            <w:gridSpan w:val="3"/>
          </w:tcPr>
          <w:p w14:paraId="1224644E">
            <w:pPr>
              <w:adjustRightInd w:val="0"/>
              <w:snapToGrid w:val="0"/>
              <w:spacing w:line="580" w:lineRule="exact"/>
              <w:ind w:firstLine="0" w:firstLineChars="0"/>
              <w:rPr>
                <w:rFonts w:ascii="仿宋" w:hAnsi="仿宋" w:eastAsia="仿宋" w:cs="仿宋_GB2312"/>
                <w:sz w:val="21"/>
                <w:szCs w:val="21"/>
              </w:rPr>
            </w:pPr>
          </w:p>
        </w:tc>
      </w:tr>
      <w:tr w14:paraId="44AC0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04" w:type="dxa"/>
            <w:vMerge w:val="continue"/>
          </w:tcPr>
          <w:p w14:paraId="4E927AA1">
            <w:pPr>
              <w:adjustRightInd w:val="0"/>
              <w:snapToGrid w:val="0"/>
              <w:spacing w:line="580" w:lineRule="exact"/>
              <w:ind w:firstLine="0" w:firstLineChars="0"/>
              <w:jc w:val="left"/>
              <w:rPr>
                <w:rFonts w:ascii="仿宋" w:hAnsi="仿宋" w:eastAsia="仿宋" w:cs="仿宋_GB2312"/>
                <w:sz w:val="21"/>
                <w:szCs w:val="21"/>
              </w:rPr>
            </w:pPr>
          </w:p>
        </w:tc>
        <w:tc>
          <w:tcPr>
            <w:tcW w:w="2464" w:type="dxa"/>
          </w:tcPr>
          <w:p w14:paraId="79D159CE">
            <w:pPr>
              <w:adjustRightInd w:val="0"/>
              <w:snapToGrid w:val="0"/>
              <w:spacing w:line="580" w:lineRule="exact"/>
              <w:ind w:firstLine="0" w:firstLineChars="0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联系电话（必填）</w:t>
            </w:r>
          </w:p>
        </w:tc>
        <w:tc>
          <w:tcPr>
            <w:tcW w:w="2072" w:type="dxa"/>
          </w:tcPr>
          <w:p w14:paraId="3BEA686F">
            <w:pPr>
              <w:adjustRightInd w:val="0"/>
              <w:snapToGrid w:val="0"/>
              <w:spacing w:line="580" w:lineRule="exact"/>
              <w:ind w:firstLine="0" w:firstLineChars="0"/>
              <w:rPr>
                <w:rFonts w:ascii="仿宋" w:hAnsi="仿宋" w:eastAsia="仿宋" w:cs="仿宋_GB2312"/>
                <w:sz w:val="21"/>
                <w:szCs w:val="21"/>
              </w:rPr>
            </w:pPr>
          </w:p>
        </w:tc>
        <w:tc>
          <w:tcPr>
            <w:tcW w:w="2010" w:type="dxa"/>
          </w:tcPr>
          <w:p w14:paraId="6BABB178">
            <w:pPr>
              <w:adjustRightInd w:val="0"/>
              <w:snapToGrid w:val="0"/>
              <w:spacing w:line="580" w:lineRule="exact"/>
              <w:ind w:firstLine="0" w:firstLineChars="0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手机（必填）</w:t>
            </w:r>
          </w:p>
        </w:tc>
        <w:tc>
          <w:tcPr>
            <w:tcW w:w="2951" w:type="dxa"/>
          </w:tcPr>
          <w:p w14:paraId="0578DEF7">
            <w:pPr>
              <w:adjustRightInd w:val="0"/>
              <w:snapToGrid w:val="0"/>
              <w:spacing w:line="580" w:lineRule="exact"/>
              <w:ind w:firstLine="0" w:firstLineChars="0"/>
              <w:rPr>
                <w:rFonts w:ascii="仿宋" w:hAnsi="仿宋" w:eastAsia="仿宋" w:cs="仿宋_GB2312"/>
                <w:sz w:val="21"/>
                <w:szCs w:val="21"/>
              </w:rPr>
            </w:pPr>
          </w:p>
        </w:tc>
      </w:tr>
      <w:tr w14:paraId="485D4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04" w:type="dxa"/>
            <w:vMerge w:val="continue"/>
          </w:tcPr>
          <w:p w14:paraId="5D99EDF0">
            <w:pPr>
              <w:adjustRightInd w:val="0"/>
              <w:snapToGrid w:val="0"/>
              <w:spacing w:line="580" w:lineRule="exact"/>
              <w:ind w:firstLine="0" w:firstLineChars="0"/>
              <w:jc w:val="left"/>
              <w:rPr>
                <w:rFonts w:ascii="仿宋" w:hAnsi="仿宋" w:eastAsia="仿宋" w:cs="仿宋_GB2312"/>
                <w:sz w:val="21"/>
                <w:szCs w:val="21"/>
              </w:rPr>
            </w:pPr>
          </w:p>
        </w:tc>
        <w:tc>
          <w:tcPr>
            <w:tcW w:w="2464" w:type="dxa"/>
          </w:tcPr>
          <w:p w14:paraId="044CCCC9">
            <w:pPr>
              <w:adjustRightInd w:val="0"/>
              <w:snapToGrid w:val="0"/>
              <w:spacing w:line="580" w:lineRule="exact"/>
              <w:ind w:firstLine="0" w:firstLineChars="0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电子邮箱（必填）</w:t>
            </w:r>
          </w:p>
        </w:tc>
        <w:tc>
          <w:tcPr>
            <w:tcW w:w="2072" w:type="dxa"/>
          </w:tcPr>
          <w:p w14:paraId="217357F7">
            <w:pPr>
              <w:adjustRightInd w:val="0"/>
              <w:snapToGrid w:val="0"/>
              <w:spacing w:line="580" w:lineRule="exact"/>
              <w:ind w:firstLine="0" w:firstLineChars="0"/>
              <w:rPr>
                <w:rFonts w:ascii="仿宋" w:hAnsi="仿宋" w:eastAsia="仿宋" w:cs="仿宋_GB2312"/>
                <w:sz w:val="21"/>
                <w:szCs w:val="21"/>
              </w:rPr>
            </w:pPr>
          </w:p>
        </w:tc>
        <w:tc>
          <w:tcPr>
            <w:tcW w:w="2010" w:type="dxa"/>
          </w:tcPr>
          <w:p w14:paraId="5BEF9EB8">
            <w:pPr>
              <w:adjustRightInd w:val="0"/>
              <w:snapToGrid w:val="0"/>
              <w:spacing w:line="580" w:lineRule="exact"/>
              <w:ind w:firstLine="0" w:firstLineChars="0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</w:rPr>
              <w:t>微信账号</w:t>
            </w:r>
          </w:p>
        </w:tc>
        <w:tc>
          <w:tcPr>
            <w:tcW w:w="2951" w:type="dxa"/>
          </w:tcPr>
          <w:p w14:paraId="4E7F253D">
            <w:pPr>
              <w:adjustRightInd w:val="0"/>
              <w:snapToGrid w:val="0"/>
              <w:spacing w:line="580" w:lineRule="exact"/>
              <w:ind w:firstLine="0" w:firstLineChars="0"/>
              <w:rPr>
                <w:rFonts w:ascii="仿宋" w:hAnsi="仿宋" w:eastAsia="仿宋" w:cs="仿宋_GB2312"/>
                <w:sz w:val="21"/>
                <w:szCs w:val="21"/>
              </w:rPr>
            </w:pPr>
          </w:p>
        </w:tc>
      </w:tr>
      <w:tr w14:paraId="0B43C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9" w:hRule="atLeast"/>
        </w:trPr>
        <w:tc>
          <w:tcPr>
            <w:tcW w:w="704" w:type="dxa"/>
          </w:tcPr>
          <w:p w14:paraId="395849DF">
            <w:pPr>
              <w:adjustRightInd w:val="0"/>
              <w:snapToGrid w:val="0"/>
              <w:spacing w:line="580" w:lineRule="exact"/>
              <w:ind w:firstLine="0" w:firstLineChars="0"/>
              <w:jc w:val="left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</w:rPr>
              <w:t>申报人确认</w:t>
            </w:r>
          </w:p>
        </w:tc>
        <w:tc>
          <w:tcPr>
            <w:tcW w:w="9497" w:type="dxa"/>
            <w:gridSpan w:val="4"/>
          </w:tcPr>
          <w:p w14:paraId="31C2AEF2">
            <w:pPr>
              <w:adjustRightInd w:val="0"/>
              <w:snapToGrid w:val="0"/>
              <w:spacing w:before="156" w:beforeLines="50" w:line="360" w:lineRule="auto"/>
              <w:ind w:firstLine="482" w:firstLineChars="200"/>
              <w:jc w:val="left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  <w:u w:val="double"/>
              </w:rPr>
              <w:t>本人已经详细阅读了告知事项，并同意</w:t>
            </w:r>
            <w:r>
              <w:rPr>
                <w:rFonts w:ascii="仿宋" w:hAnsi="仿宋" w:eastAsia="仿宋" w:cs="仿宋_GB2312"/>
                <w:b/>
                <w:bCs/>
                <w:sz w:val="24"/>
                <w:u w:val="double"/>
              </w:rPr>
              <w:t>管理人</w:t>
            </w:r>
            <w:r>
              <w:rPr>
                <w:rFonts w:hint="eastAsia" w:ascii="仿宋" w:hAnsi="仿宋" w:eastAsia="仿宋" w:cs="仿宋_GB2312"/>
                <w:b/>
                <w:bCs/>
                <w:sz w:val="24"/>
                <w:u w:val="double"/>
              </w:rPr>
              <w:t>采取电子送达方式送达文件。本人保证上栏所提供的送达地址各项内容正确、有效。</w:t>
            </w:r>
            <w:r>
              <w:rPr>
                <w:rFonts w:hint="eastAsia" w:ascii="仿宋" w:hAnsi="仿宋" w:eastAsia="仿宋" w:cs="仿宋_GB2312"/>
                <w:sz w:val="24"/>
              </w:rPr>
              <w:t>若变更送达地址或其他联系方式，将及时以书面方式告知</w:t>
            </w:r>
            <w:r>
              <w:rPr>
                <w:rFonts w:ascii="仿宋" w:hAnsi="仿宋" w:eastAsia="仿宋" w:cs="仿宋_GB2312"/>
                <w:sz w:val="24"/>
              </w:rPr>
              <w:t>管理人</w:t>
            </w:r>
            <w:r>
              <w:rPr>
                <w:rFonts w:hint="eastAsia" w:ascii="仿宋" w:hAnsi="仿宋" w:eastAsia="仿宋" w:cs="仿宋_GB2312"/>
                <w:sz w:val="24"/>
              </w:rPr>
              <w:t>，未及时告知</w:t>
            </w:r>
            <w:r>
              <w:rPr>
                <w:rFonts w:ascii="仿宋" w:hAnsi="仿宋" w:eastAsia="仿宋" w:cs="仿宋_GB2312"/>
                <w:sz w:val="24"/>
              </w:rPr>
              <w:t>管理人</w:t>
            </w:r>
            <w:r>
              <w:rPr>
                <w:rFonts w:hint="eastAsia" w:ascii="仿宋" w:hAnsi="仿宋" w:eastAsia="仿宋" w:cs="仿宋_GB2312"/>
                <w:sz w:val="24"/>
              </w:rPr>
              <w:t>导致相关文书不能送达的法律后果由本人承担。</w:t>
            </w:r>
          </w:p>
          <w:p w14:paraId="6D0EA6BE">
            <w:pPr>
              <w:adjustRightInd w:val="0"/>
              <w:snapToGrid w:val="0"/>
              <w:spacing w:line="240" w:lineRule="auto"/>
              <w:ind w:firstLine="0" w:firstLineChars="0"/>
              <w:jc w:val="left"/>
              <w:rPr>
                <w:rFonts w:ascii="仿宋" w:hAnsi="仿宋" w:eastAsia="仿宋" w:cs="仿宋_GB2312"/>
                <w:sz w:val="24"/>
              </w:rPr>
            </w:pPr>
          </w:p>
          <w:p w14:paraId="318E21ED">
            <w:pPr>
              <w:wordWrap w:val="0"/>
              <w:adjustRightInd w:val="0"/>
              <w:snapToGrid w:val="0"/>
              <w:spacing w:line="240" w:lineRule="auto"/>
              <w:ind w:firstLine="0" w:firstLineChars="0"/>
              <w:jc w:val="right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 xml:space="preserve">申报人（签章）：             </w:t>
            </w:r>
          </w:p>
          <w:p w14:paraId="151C3AF6">
            <w:pPr>
              <w:adjustRightInd w:val="0"/>
              <w:snapToGrid w:val="0"/>
              <w:spacing w:line="240" w:lineRule="auto"/>
              <w:ind w:firstLine="0" w:firstLineChars="0"/>
              <w:jc w:val="right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年    月    日</w:t>
            </w:r>
          </w:p>
        </w:tc>
      </w:tr>
    </w:tbl>
    <w:p w14:paraId="6C4C1E6F">
      <w:pPr>
        <w:ind w:left="0" w:leftChars="0" w:firstLine="0" w:firstLineChars="0"/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pgNumType w:fmt="decimal" w:start="9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2C5A6EEA-8887-403A-9284-691CE5CEF67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2187FA23-DDBE-4538-8E55-41804C6799A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C2F1A7BB-56BD-435B-BA11-FE4EC8861A49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C60F54A1-A9D1-4D44-AE2C-85FA451EDB54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5" w:fontKey="{079732AE-A043-4FBD-B7E1-B5347BC1D3CD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decorative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FB18F1">
    <w:pPr>
      <w:keepNext w:val="0"/>
      <w:keepLines w:val="0"/>
      <w:pageBreakBefore w:val="0"/>
      <w:widowControl w:val="0"/>
      <w:kinsoku/>
      <w:wordWrap/>
      <w:overflowPunct/>
      <w:topLinePunct w:val="0"/>
      <w:bidi w:val="0"/>
      <w:adjustRightInd/>
      <w:snapToGrid/>
      <w:spacing w:line="240" w:lineRule="auto"/>
      <w:ind w:left="0" w:leftChars="0" w:firstLine="420" w:firstLineChars="200"/>
      <w:textAlignment w:val="auto"/>
      <w:rPr>
        <w:rFonts w:ascii="仿宋_GB2312" w:hAnsi="仿宋_GB2312" w:eastAsia="仿宋_GB2312" w:cs="仿宋_GB2312"/>
        <w:sz w:val="21"/>
        <w:szCs w:val="21"/>
        <w:lang w:eastAsia="zh-Hans"/>
      </w:rPr>
    </w:pPr>
    <w:r>
      <w:rPr>
        <w:rFonts w:hint="eastAsia" w:ascii="仿宋_GB2312" w:hAnsi="仿宋_GB2312" w:eastAsia="仿宋_GB2312" w:cs="仿宋_GB2312"/>
        <w:sz w:val="21"/>
        <w:szCs w:val="21"/>
        <w:lang w:eastAsia="zh-Hans"/>
      </w:rPr>
      <w:t>请注意：申报人如提交伪造、变造等虚假证据及相关材料，以及对重要事实虚假、隐瞒陈述或拒绝陈述的，将承担相应的法律责任，如构成犯罪的，将移交司法机关进行处理。</w:t>
    </w:r>
  </w:p>
  <w:p w14:paraId="6EEE5E8E">
    <w:pPr>
      <w:widowControl w:val="0"/>
      <w:snapToGrid w:val="0"/>
      <w:jc w:val="center"/>
      <w:rPr>
        <w:rFonts w:asciiTheme="minorHAnsi" w:hAnsiTheme="minorHAnsi" w:eastAsiaTheme="minorEastAsia" w:cstheme="minorBidi"/>
        <w:kern w:val="2"/>
        <w:sz w:val="18"/>
        <w:szCs w:val="24"/>
        <w:lang w:val="en-US" w:eastAsia="zh-CN" w:bidi="ar-SA"/>
      </w:rPr>
    </w:pPr>
    <w:r>
      <w:rPr>
        <w:rFonts w:asciiTheme="minorHAnsi" w:hAnsiTheme="minorHAnsi" w:eastAsiaTheme="minorEastAsia" w:cstheme="minorBidi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2C722F">
                          <w:pPr>
                            <w:widowControl w:val="0"/>
                            <w:snapToGrid w:val="0"/>
                            <w:jc w:val="center"/>
                            <w:rPr>
                              <w:rFonts w:asciiTheme="minorHAnsi" w:hAnsiTheme="minorHAnsi" w:eastAsiaTheme="minorEastAsia" w:cstheme="minorBidi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  <w:r>
                            <w:rPr>
                              <w:rFonts w:asciiTheme="minorHAnsi" w:hAnsiTheme="minorHAnsi" w:eastAsiaTheme="minorEastAsia" w:cstheme="minorBidi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asciiTheme="minorHAnsi" w:hAnsiTheme="minorHAnsi" w:eastAsiaTheme="minorEastAsia" w:cstheme="minorBidi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asciiTheme="minorHAnsi" w:hAnsiTheme="minorHAnsi" w:eastAsiaTheme="minorEastAsia" w:cstheme="minorBidi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HAnsi" w:hAnsiTheme="minorHAnsi" w:eastAsiaTheme="minorEastAsia" w:cstheme="minorBidi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asciiTheme="minorHAnsi" w:hAnsiTheme="minorHAnsi" w:eastAsiaTheme="minorEastAsia" w:cstheme="minorBidi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>1</w:t>
                          </w:r>
                          <w:r>
                            <w:rPr>
                              <w:rFonts w:asciiTheme="minorHAnsi" w:hAnsiTheme="minorHAnsi" w:eastAsiaTheme="minorEastAsia" w:cstheme="minorBidi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asciiTheme="minorHAnsi" w:hAnsiTheme="minorHAnsi" w:eastAsiaTheme="minorEastAsia" w:cstheme="minorBidi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DajL89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72C722F">
                    <w:pPr>
                      <w:widowControl w:val="0"/>
                      <w:snapToGrid w:val="0"/>
                      <w:jc w:val="center"/>
                      <w:rPr>
                        <w:rFonts w:asciiTheme="minorHAnsi" w:hAnsiTheme="minorHAnsi" w:eastAsiaTheme="minorEastAsia" w:cstheme="minorBidi"/>
                        <w:kern w:val="2"/>
                        <w:sz w:val="18"/>
                        <w:szCs w:val="18"/>
                        <w:lang w:val="en-US" w:eastAsia="zh-CN" w:bidi="ar-SA"/>
                      </w:rPr>
                    </w:pPr>
                    <w:r>
                      <w:rPr>
                        <w:rFonts w:asciiTheme="minorHAnsi" w:hAnsiTheme="minorHAnsi" w:eastAsiaTheme="minorEastAsia" w:cstheme="minorBidi"/>
                        <w:kern w:val="2"/>
                        <w:sz w:val="18"/>
                        <w:szCs w:val="18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asciiTheme="minorHAnsi" w:hAnsiTheme="minorHAnsi" w:eastAsiaTheme="minorEastAsia" w:cstheme="minorBidi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asciiTheme="minorHAnsi" w:hAnsiTheme="minorHAnsi" w:eastAsiaTheme="minorEastAsia" w:cstheme="minorBidi"/>
                        <w:kern w:val="2"/>
                        <w:sz w:val="18"/>
                        <w:szCs w:val="1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asciiTheme="minorHAnsi" w:hAnsiTheme="minorHAnsi" w:eastAsiaTheme="minorEastAsia" w:cstheme="minorBidi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asciiTheme="minorHAnsi" w:hAnsiTheme="minorHAnsi" w:eastAsiaTheme="minorEastAsia" w:cstheme="minorBidi"/>
                        <w:kern w:val="2"/>
                        <w:sz w:val="18"/>
                        <w:szCs w:val="18"/>
                        <w:lang w:val="en-US" w:eastAsia="zh-CN" w:bidi="ar-SA"/>
                      </w:rPr>
                      <w:t>1</w:t>
                    </w:r>
                    <w:r>
                      <w:rPr>
                        <w:rFonts w:asciiTheme="minorHAnsi" w:hAnsiTheme="minorHAnsi" w:eastAsiaTheme="minorEastAsia" w:cstheme="minorBidi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asciiTheme="minorHAnsi" w:hAnsiTheme="minorHAnsi" w:eastAsiaTheme="minorEastAsia" w:cstheme="minorBidi"/>
                        <w:kern w:val="2"/>
                        <w:sz w:val="18"/>
                        <w:szCs w:val="18"/>
                        <w:lang w:val="en-US" w:eastAsia="zh-CN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014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70" w:lineRule="exact"/>
      <w:ind w:firstLine="880" w:firstLineChars="200"/>
      <w:jc w:val="both"/>
    </w:pPr>
    <w:rPr>
      <w:rFonts w:ascii="Calibri" w:hAnsi="Calibri" w:eastAsia="仿宋" w:cs="宋体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2026-01-28T03:14:08Z</dcterms:created>
  <dc:creator>yuan</dc:creator>
  <cp:lastModifiedBy>yuanyuqing</cp:lastModifiedBy>
  <dcterms:modified xsi:type="dcterms:W3CDTF">2026-01-28T03:14:50Z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KSOTemplateDocerSaveRecord">
    <vt:lpwstr>eyJoZGlkIjoiMWVhN2FkNWY1OGFiZTVhMTJlYzAxZjlmZWNlYjBlYmIiLCJ1c2VySWQiOiIxMzQzMTI4NjQ4In0=</vt:lpwstr>
  </property>
  <property fmtid="{D5CDD505-2E9C-101B-9397-08002B2CF9AE}" pid="4" name="ICV">
    <vt:lpwstr>9C8C6124EBF0401D80F0DE19E6C214D7_12</vt:lpwstr>
  </property>
</Properties>
</file>