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11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武汉信有为金属制品有限公司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eastAsia="zh-CN"/>
          <w:woUserID w:val="0"/>
        </w:rPr>
        <w:t>的</w:t>
      </w: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法定代表人余敏刚代持，基本信息如下表：</w:t>
      </w:r>
    </w:p>
    <w:tbl>
      <w:tblPr>
        <w:tblStyle w:val="3"/>
        <w:tblW w:w="8646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1349"/>
        <w:gridCol w:w="831"/>
        <w:gridCol w:w="2092"/>
        <w:gridCol w:w="769"/>
        <w:gridCol w:w="939"/>
        <w:gridCol w:w="633"/>
        <w:gridCol w:w="736"/>
        <w:gridCol w:w="939"/>
      </w:tblGrid>
      <w:tr w14:paraId="7E1B6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权证编号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权利人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坐落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用途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层数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1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建筑面积</w:t>
            </w: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现状</w:t>
            </w:r>
          </w:p>
        </w:tc>
      </w:tr>
      <w:tr w14:paraId="25D7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default" w:ascii="Times New Roman Regular" w:hAnsi="Times New Roman Regular" w:eastAsia="仿宋" w:cs="Times New Roman Regular"/>
                <w:sz w:val="18"/>
                <w:szCs w:val="18"/>
                <w:lang w:val="en-US" w:eastAsia="zh-CN" w:bidi="ar"/>
              </w:rPr>
              <w:t>鄂</w:t>
            </w:r>
            <w:r>
              <w:rPr>
                <w:rStyle w:val="5"/>
                <w:rFonts w:hint="eastAsia" w:ascii="Times New Roman Regular" w:hAnsi="Times New Roman Regular" w:eastAsia="仿宋" w:cs="Times New Roman Regular"/>
                <w:sz w:val="18"/>
                <w:szCs w:val="18"/>
                <w:lang w:val="en-US" w:eastAsia="zh-CN" w:bidi="ar"/>
              </w:rPr>
              <w:t>（</w:t>
            </w: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Style w:val="5"/>
                <w:rFonts w:hint="default" w:ascii="Times New Roman Regular" w:hAnsi="Times New Roman Regular" w:eastAsia="仿宋" w:cs="Times New Roman Regular"/>
                <w:sz w:val="18"/>
                <w:szCs w:val="18"/>
                <w:lang w:val="en-US" w:eastAsia="zh-CN" w:bidi="ar"/>
              </w:rPr>
              <w:t>武汉市蔡甸不动产权第</w:t>
            </w: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0020850</w:t>
            </w:r>
            <w:r>
              <w:rPr>
                <w:rStyle w:val="5"/>
                <w:rFonts w:hint="default" w:ascii="Times New Roman Regular" w:hAnsi="Times New Roman Regular" w:eastAsia="仿宋" w:cs="Times New Roman Regular"/>
                <w:sz w:val="18"/>
                <w:szCs w:val="18"/>
                <w:lang w:val="en-US" w:eastAsia="zh-CN" w:bidi="ar"/>
              </w:rPr>
              <w:t>号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0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default" w:ascii="Times New Roman Regular" w:hAnsi="Times New Roman Regular" w:eastAsia="仿宋" w:cs="Times New Roman Regular"/>
                <w:sz w:val="18"/>
                <w:szCs w:val="18"/>
                <w:lang w:val="en-US" w:eastAsia="zh-CN" w:bidi="ar"/>
              </w:rPr>
              <w:t>余敏刚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蔡甸区蔡甸大街与西环路交汇处以西</w:t>
            </w:r>
            <w:r>
              <w:rPr>
                <w:rFonts w:hint="eastAsia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张湾街太山村</w:t>
            </w:r>
            <w:r>
              <w:rPr>
                <w:rFonts w:hint="eastAsia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中粮国际营养健康城启动区</w:t>
            </w:r>
            <w:r>
              <w:rPr>
                <w:rFonts w:hint="eastAsia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中粮祥云地铁小镇</w:t>
            </w:r>
            <w:r>
              <w:rPr>
                <w:rFonts w:hint="eastAsia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一期24栋2单元28层1号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E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城镇住宅用地/住宅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钢混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28/34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113.43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毛坯、空置</w:t>
            </w:r>
          </w:p>
        </w:tc>
      </w:tr>
    </w:tbl>
    <w:p w14:paraId="19DCD1E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868EA"/>
    <w:rsid w:val="424D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172</Characters>
  <Lines>0</Lines>
  <Paragraphs>0</Paragraphs>
  <TotalTime>0</TotalTime>
  <ScaleCrop>false</ScaleCrop>
  <LinksUpToDate>false</LinksUpToDate>
  <CharactersWithSpaces>172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  acoustic </cp:lastModifiedBy>
  <dcterms:modified xsi:type="dcterms:W3CDTF">2026-01-10T03:39:00Z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eyJoZGlkIjoiMGYyZjkyOWQwMTA5YTUyNTBiNTM5Mjc3ZDBiMGU2YzQiLCJ1c2VySWQiOiIzMDc4ODM5MjAifQ==</vt:lpwstr>
  </property>
  <property fmtid="{D5CDD505-2E9C-101B-9397-08002B2CF9AE}" pid="4" name="ICV">
    <vt:lpwstr>AC8CE5AC02C24C5C8A2158F33C625336_12</vt:lpwstr>
  </property>
</Properties>
</file>