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FA1F91">
      <w:pPr>
        <w:spacing w:after="156" w:afterLines="50" w:line="460" w:lineRule="exact"/>
        <w:rPr>
          <w:rFonts w:ascii="仿宋" w:hAnsi="仿宋" w:eastAsia="仿宋" w:cs="仿宋"/>
          <w:b/>
          <w:bCs/>
          <w:sz w:val="44"/>
          <w:szCs w:val="44"/>
        </w:rPr>
      </w:pPr>
      <w:bookmarkStart w:id="7" w:name="_GoBack"/>
      <w:bookmarkEnd w:id="7"/>
      <w:r>
        <w:rPr>
          <w:rFonts w:hint="eastAsia" w:ascii="仿宋" w:hAnsi="仿宋" w:eastAsia="仿宋" w:cs="宋体"/>
          <w:spacing w:val="15"/>
          <w:kern w:val="0"/>
          <w:sz w:val="28"/>
          <w:szCs w:val="28"/>
        </w:rPr>
        <w:t xml:space="preserve">附件： </w:t>
      </w:r>
      <w:r>
        <w:rPr>
          <w:rFonts w:ascii="仿宋" w:hAnsi="仿宋" w:eastAsia="仿宋" w:cs="宋体"/>
          <w:spacing w:val="15"/>
          <w:kern w:val="0"/>
          <w:sz w:val="28"/>
          <w:szCs w:val="28"/>
        </w:rPr>
        <w:t xml:space="preserve">            </w:t>
      </w:r>
      <w:r>
        <w:rPr>
          <w:rFonts w:hint="eastAsia" w:ascii="仿宋" w:hAnsi="仿宋" w:eastAsia="仿宋" w:cs="仿宋"/>
          <w:b/>
          <w:bCs/>
          <w:sz w:val="44"/>
          <w:szCs w:val="44"/>
        </w:rPr>
        <w:t>招募方案</w:t>
      </w:r>
    </w:p>
    <w:p w14:paraId="229A0419">
      <w:pPr>
        <w:widowControl/>
        <w:spacing w:line="4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一、意向投资人应具备的基本条件</w:t>
      </w:r>
    </w:p>
    <w:p w14:paraId="099C07D4">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1.意向投资人参与中宝百鑫公司项目的，应向管理人缴纳投资保证金人民币</w:t>
      </w:r>
      <w:r>
        <w:rPr>
          <w:rFonts w:ascii="仿宋" w:hAnsi="仿宋" w:eastAsia="仿宋" w:cs="仿宋"/>
          <w:sz w:val="28"/>
          <w:szCs w:val="28"/>
        </w:rPr>
        <w:t>1</w:t>
      </w:r>
      <w:r>
        <w:rPr>
          <w:rFonts w:hint="eastAsia" w:ascii="仿宋" w:hAnsi="仿宋" w:eastAsia="仿宋" w:cs="仿宋"/>
          <w:sz w:val="28"/>
          <w:szCs w:val="28"/>
        </w:rPr>
        <w:t>00万元；</w:t>
      </w:r>
    </w:p>
    <w:p w14:paraId="41E51433">
      <w:pPr>
        <w:widowControl/>
        <w:spacing w:line="46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sz w:val="28"/>
          <w:szCs w:val="28"/>
        </w:rPr>
        <w:t>2.意向投资人应具</w:t>
      </w:r>
      <w:r>
        <w:rPr>
          <w:rFonts w:hint="eastAsia" w:ascii="仿宋" w:hAnsi="仿宋" w:eastAsia="仿宋" w:cs="仿宋"/>
          <w:color w:val="000000" w:themeColor="text1"/>
          <w:sz w:val="28"/>
          <w:szCs w:val="28"/>
          <w14:textFill>
            <w14:solidFill>
              <w14:schemeClr w14:val="tx1"/>
            </w14:solidFill>
          </w14:textFill>
        </w:rPr>
        <w:t>备持续管理中宝百鑫公司原经营范围和经营规模的能力；</w:t>
      </w:r>
    </w:p>
    <w:p w14:paraId="0C44CD9C">
      <w:pPr>
        <w:widowControl/>
        <w:spacing w:line="46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3.意向投资人无数额较大到期未清偿债务，无作为被执行人的案件，无重大违法行为，未被列入失信被执行人等；</w:t>
      </w:r>
    </w:p>
    <w:p w14:paraId="46908E6C">
      <w:pPr>
        <w:widowControl/>
        <w:spacing w:line="460" w:lineRule="exact"/>
        <w:ind w:firstLine="560" w:firstLineChars="200"/>
        <w:rPr>
          <w:rFonts w:ascii="仿宋" w:hAnsi="仿宋" w:eastAsia="仿宋" w:cs="仿宋"/>
          <w:sz w:val="28"/>
          <w:szCs w:val="28"/>
        </w:rPr>
      </w:pPr>
      <w:r>
        <w:rPr>
          <w:rFonts w:hint="eastAsia" w:ascii="仿宋" w:hAnsi="仿宋" w:eastAsia="仿宋" w:cs="仿宋"/>
          <w:color w:val="000000" w:themeColor="text1"/>
          <w:sz w:val="28"/>
          <w:szCs w:val="28"/>
          <w14:textFill>
            <w14:solidFill>
              <w14:schemeClr w14:val="tx1"/>
            </w14:solidFill>
          </w14:textFill>
        </w:rPr>
        <w:t>4.意向投资人应拥有足够的资金实力进行该项目投资，并提供相应的资金证明。意向投资人须投入足额现金资金以清</w:t>
      </w:r>
      <w:r>
        <w:rPr>
          <w:rFonts w:hint="eastAsia" w:ascii="仿宋" w:hAnsi="仿宋" w:eastAsia="仿宋" w:cs="仿宋"/>
          <w:sz w:val="28"/>
          <w:szCs w:val="28"/>
        </w:rPr>
        <w:t>偿债务和恢复经营，以保证用于向中宝百鑫公司的债权人清偿的资金来源；</w:t>
      </w:r>
    </w:p>
    <w:p w14:paraId="32B49A47">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5.意向投资人应当向管理人提供详细、具体且具备可操作性的《投资方案》，主要内容包括经营方案、债权清偿比例和清偿方式等；</w:t>
      </w:r>
    </w:p>
    <w:p w14:paraId="558F75DA">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6.意向投资人在其他企业重整程序中（如有）没有重大违反重整计划的行为；</w:t>
      </w:r>
    </w:p>
    <w:p w14:paraId="7BA900C9">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7.意向投资人为两人（单位）以上的，应当为中宝百鑫公司项目保持一致行动，并书面说明各自角色分工、权利义务等，且同时符合上述所有基本条件；</w:t>
      </w:r>
    </w:p>
    <w:p w14:paraId="1D9021FF">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8.其他必要条件。</w:t>
      </w:r>
    </w:p>
    <w:p w14:paraId="3D74FA98">
      <w:pPr>
        <w:widowControl/>
        <w:spacing w:line="4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二、尽职调查</w:t>
      </w:r>
    </w:p>
    <w:p w14:paraId="4BBE7395">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1.报名并申请尽职调查</w:t>
      </w:r>
    </w:p>
    <w:p w14:paraId="6464F737">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意向投资人需要对中宝百鑫公司进行尽职调查的，应满足上述重整投资人资格条件并提交以下文件：</w:t>
      </w:r>
    </w:p>
    <w:p w14:paraId="106CDBE4">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向管理人提交书面的《投资意向书》（内容应包括但不限于意向投资人情况介绍、投资优势、资金实力，以及愿作为投资人参与中宝百鑫公司项目投资的意向等。意向投资人为单位的需法定代表人签字并加盖公章，为个人的需有本人签字）；</w:t>
      </w:r>
    </w:p>
    <w:p w14:paraId="3B3C6450">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（2）加盖公章的企业法人营业执照副本复印件（意向投资人为自然人的，需提供身份证复印件）；</w:t>
      </w:r>
    </w:p>
    <w:p w14:paraId="16E12A88">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（3）用以证明符合项目投资人资格条件的相关资料；</w:t>
      </w:r>
    </w:p>
    <w:p w14:paraId="5729523C">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（4）两个或两个以上主体联合参与投资的，需书面说明各自的角色分工、权利义务等，并分别按要求提供相关资料。</w:t>
      </w:r>
    </w:p>
    <w:p w14:paraId="6744B5CA">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意向投资人缴纳投资保证金后，在与管理人签订保密协议的前提下才可以针对中宝百鑫公司开展尽职调查工作。</w:t>
      </w:r>
    </w:p>
    <w:p w14:paraId="51FEF919">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2.尽职调查报名审查</w:t>
      </w:r>
    </w:p>
    <w:p w14:paraId="3DA71171">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管理人根据本公告确定的项目投资人资格条件和要求对意向投资人提交的尽职调查报名材料进行审查，对符合项目投资人资格条件并按要求提交尽职调查报名材料的意向投资人发出尽职调查通知。</w:t>
      </w:r>
    </w:p>
    <w:p w14:paraId="4D550254">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3.尽职调查内容及期间</w:t>
      </w:r>
    </w:p>
    <w:p w14:paraId="51472808">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收到管理人发出尽职调查通知的意向投资人应在3个工作日内与管理人签订保密协议，保密协议签订后，意向投资人可针对包括但不限于债务人的财产情况、负债状况、经营情况等开展尽职调查。尽职调查截止时间为</w:t>
      </w:r>
      <w:r>
        <w:rPr>
          <w:rFonts w:hint="eastAsia" w:ascii="仿宋" w:hAnsi="仿宋" w:eastAsia="仿宋" w:cs="仿宋"/>
          <w:sz w:val="28"/>
          <w:szCs w:val="28"/>
          <w:lang w:eastAsia="zh-CN"/>
        </w:rPr>
        <w:t>2026年3月31日</w:t>
      </w:r>
      <w:r>
        <w:rPr>
          <w:rFonts w:hint="eastAsia" w:ascii="仿宋" w:hAnsi="仿宋" w:eastAsia="仿宋" w:cs="仿宋"/>
          <w:sz w:val="28"/>
          <w:szCs w:val="28"/>
        </w:rPr>
        <w:t>16:00。</w:t>
      </w:r>
    </w:p>
    <w:p w14:paraId="31D79ABE">
      <w:pPr>
        <w:widowControl/>
        <w:spacing w:line="4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三、投资保证金</w:t>
      </w:r>
    </w:p>
    <w:p w14:paraId="37582AB7">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1.投资保证金的金额及缴纳方式</w:t>
      </w:r>
    </w:p>
    <w:p w14:paraId="4C6B7117">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意向投资人参与中宝百鑫公司项目招投标活动的，应当向管理人缴纳投资保证金人民币</w:t>
      </w:r>
      <w:r>
        <w:rPr>
          <w:rFonts w:ascii="仿宋" w:hAnsi="仿宋" w:eastAsia="仿宋" w:cs="仿宋"/>
          <w:sz w:val="28"/>
          <w:szCs w:val="28"/>
        </w:rPr>
        <w:t>100</w:t>
      </w:r>
      <w:r>
        <w:rPr>
          <w:rFonts w:hint="eastAsia" w:ascii="仿宋" w:hAnsi="仿宋" w:eastAsia="仿宋" w:cs="仿宋"/>
          <w:sz w:val="28"/>
          <w:szCs w:val="28"/>
        </w:rPr>
        <w:t>万元。意向投资人最迟应于</w:t>
      </w:r>
      <w:r>
        <w:rPr>
          <w:rFonts w:hint="eastAsia" w:ascii="仿宋" w:hAnsi="仿宋" w:eastAsia="仿宋" w:cs="仿宋"/>
          <w:sz w:val="28"/>
          <w:szCs w:val="28"/>
          <w:lang w:eastAsia="zh-CN"/>
        </w:rPr>
        <w:t>2026年3月31日</w:t>
      </w:r>
      <w:r>
        <w:rPr>
          <w:rFonts w:ascii="仿宋" w:hAnsi="仿宋" w:eastAsia="仿宋" w:cs="仿宋"/>
          <w:sz w:val="28"/>
          <w:szCs w:val="28"/>
        </w:rPr>
        <w:t>16:00</w:t>
      </w:r>
      <w:r>
        <w:rPr>
          <w:rFonts w:hint="eastAsia" w:ascii="仿宋" w:hAnsi="仿宋" w:eastAsia="仿宋" w:cs="仿宋"/>
          <w:sz w:val="28"/>
          <w:szCs w:val="28"/>
        </w:rPr>
        <w:t>前，将投资保证金汇入以下银行账户：</w:t>
      </w:r>
    </w:p>
    <w:p w14:paraId="50DE6B8D">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开户银行：中国银行股份有限公司江汉支行</w:t>
      </w:r>
    </w:p>
    <w:p w14:paraId="7FD0E526">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账户名称：孝感市中宝百鑫旅游开发有限责任公司管理人</w:t>
      </w:r>
    </w:p>
    <w:p w14:paraId="0BF3D659">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账号：5</w:t>
      </w:r>
      <w:r>
        <w:rPr>
          <w:rFonts w:ascii="仿宋" w:hAnsi="仿宋" w:eastAsia="仿宋" w:cs="仿宋"/>
          <w:sz w:val="28"/>
          <w:szCs w:val="28"/>
        </w:rPr>
        <w:t>78178443593</w:t>
      </w:r>
    </w:p>
    <w:p w14:paraId="2472CB68">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意向投资人应当及时与管理人核实投资保证金是否到账。因银行系统原因导致未能按时到账的，责任由意向投资人自行承担。</w:t>
      </w:r>
    </w:p>
    <w:p w14:paraId="62F21BA9">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未按上述规定缴纳投资保证金的，意向投资人丧失参与本项目投资人遴选资格。</w:t>
      </w:r>
    </w:p>
    <w:p w14:paraId="7D1C1C26">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2.投资保证金的使用</w:t>
      </w:r>
    </w:p>
    <w:p w14:paraId="3A70E460">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中宝百鑫公司重整计划或重整计划草案获得孝南法院裁定批准后，项目投资人所缴的投资保证金将转为其应缴纳的等额投资款，在根据书面投资协议及/或书面投资承诺应缴纳的最后一期投资款中等额抵扣，最后一期不足抵扣的，不足部分在上一期投资款中相应抵扣。</w:t>
      </w:r>
    </w:p>
    <w:p w14:paraId="17F61969">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3.投资保证金的退还</w:t>
      </w:r>
    </w:p>
    <w:p w14:paraId="57397F26">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管理人向中标的意向投资人送达《投资人确认函》之日起15个工作日内，向未中标的意向投资人退还其缴纳的投资保证金（该投资保证金不计利息）。</w:t>
      </w:r>
    </w:p>
    <w:p w14:paraId="53CFC2E0">
      <w:pPr>
        <w:widowControl/>
        <w:spacing w:line="460" w:lineRule="exact"/>
        <w:ind w:firstLine="560" w:firstLineChars="200"/>
        <w:rPr>
          <w:rFonts w:ascii="仿宋" w:hAnsi="仿宋" w:eastAsia="仿宋" w:cs="仿宋"/>
          <w:color w:val="FF0000"/>
          <w:sz w:val="28"/>
          <w:szCs w:val="28"/>
        </w:rPr>
      </w:pPr>
      <w:r>
        <w:rPr>
          <w:rFonts w:hint="eastAsia" w:ascii="仿宋" w:hAnsi="仿宋" w:eastAsia="仿宋" w:cs="仿宋"/>
          <w:sz w:val="28"/>
          <w:szCs w:val="28"/>
        </w:rPr>
        <w:t>如果《孝感市中宝百鑫旅游开发有限责任公司重整计划（草案）》最终未获得债权人会议表决通过或孝南法院裁定批准，管理人应当自法院裁定终止重整程序，宣告中宝百鑫公司破产之日起15个工作日内向投资人退还其缴纳的投资保证金（该投资保证金不计利息）</w:t>
      </w:r>
      <w:r>
        <w:rPr>
          <w:rFonts w:hint="eastAsia" w:ascii="仿宋" w:hAnsi="仿宋" w:eastAsia="仿宋" w:cs="仿宋"/>
          <w:color w:val="000000"/>
          <w:sz w:val="28"/>
          <w:szCs w:val="28"/>
        </w:rPr>
        <w:t>。</w:t>
      </w:r>
    </w:p>
    <w:p w14:paraId="6473DEB2">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4.投资保证金的没收</w:t>
      </w:r>
    </w:p>
    <w:p w14:paraId="4C332BE7">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意向投资人应自中标（即缴纳投资保证金并收到投资人确认函）起3个工作日内与管理人签订书面投资协议及/或向管理人提交书面投资承诺（书面投资协议及/或书面投资承诺将按本招募公告与其投资文件确定彼此的权利义务，并以投资计划或投资计划草案获得孝南法院裁定批准为生效条件）；该意向投资人拒绝与管理人签订书面投资协议及/或拒绝向管理人提交书面投资承诺的，管理人有权没收其缴纳的投资保证金，取消其中标资格，重新确定项目投资人。</w:t>
      </w:r>
    </w:p>
    <w:p w14:paraId="62282391">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中宝百鑫公司管理人重整计划或重整计划草案获得孝南法院裁定批准后，意向投资人未按书面投资协议及/或书面投资承诺缴纳投资款或履行其他主要义务的，管理人有权没收其缴纳的投资保证金，取消其项目投资人资格，重新确定项目投资人。</w:t>
      </w:r>
    </w:p>
    <w:p w14:paraId="38E96C09">
      <w:pPr>
        <w:widowControl/>
        <w:spacing w:line="4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四、投资方案</w:t>
      </w:r>
    </w:p>
    <w:p w14:paraId="6DE2607F">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意向投资人应当根据调查了解到的情况，并结合自身的商业判断和法律风险评估，在</w:t>
      </w:r>
      <w:r>
        <w:rPr>
          <w:rFonts w:hint="eastAsia" w:ascii="仿宋" w:hAnsi="仿宋" w:eastAsia="仿宋" w:cs="仿宋"/>
          <w:sz w:val="28"/>
          <w:szCs w:val="28"/>
          <w:lang w:eastAsia="zh-CN"/>
        </w:rPr>
        <w:t>2026年3月31日</w:t>
      </w:r>
      <w:r>
        <w:rPr>
          <w:rFonts w:hint="eastAsia" w:ascii="仿宋" w:hAnsi="仿宋" w:eastAsia="仿宋" w:cs="仿宋"/>
          <w:sz w:val="28"/>
          <w:szCs w:val="28"/>
        </w:rPr>
        <w:t>16:00前向管理人提交具有操作性的《投资方案》，要求同时提交纸质文本和电子版文本（《投资方案》的内容应当包括但不限于投资意向、投资方式、投资金额、偿债方案、经营方案和维稳方案等)。</w:t>
      </w:r>
    </w:p>
    <w:p w14:paraId="209CD011">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为依法推进中宝百鑫公司重整，确保兼顾全体债权人和债务人等各方利益，并得到有效执行，意向投资人应当主要围绕偿债方案和经营方案制作《投资方案》。《投资方案》应当包括但不限于以下内容：</w:t>
      </w:r>
    </w:p>
    <w:p w14:paraId="3AE6CD41">
      <w:pPr>
        <w:widowControl/>
        <w:spacing w:line="460" w:lineRule="exact"/>
        <w:ind w:firstLine="560" w:firstLineChars="200"/>
        <w:rPr>
          <w:rFonts w:ascii="仿宋" w:hAnsi="仿宋" w:eastAsia="仿宋" w:cs="仿宋"/>
          <w:sz w:val="28"/>
          <w:szCs w:val="28"/>
        </w:rPr>
      </w:pPr>
      <w:bookmarkStart w:id="0" w:name="_Hlk71032299"/>
      <w:r>
        <w:rPr>
          <w:rFonts w:hint="eastAsia" w:ascii="仿宋" w:hAnsi="仿宋" w:eastAsia="仿宋" w:cs="仿宋"/>
          <w:sz w:val="28"/>
          <w:szCs w:val="28"/>
        </w:rPr>
        <w:t>1.投资方式</w:t>
      </w:r>
    </w:p>
    <w:bookmarkEnd w:id="0"/>
    <w:p w14:paraId="435D0F7A">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投资方式可采取股权让渡同时债务清偿方式，或资产整体出售方式</w:t>
      </w:r>
      <w:r>
        <w:rPr>
          <w:rFonts w:hint="eastAsia" w:ascii="仿宋" w:hAnsi="仿宋" w:eastAsia="仿宋" w:cs="仿宋"/>
          <w:sz w:val="28"/>
          <w:szCs w:val="28"/>
          <w:lang w:eastAsia="zh-CN"/>
        </w:rPr>
        <w:t>，</w:t>
      </w:r>
      <w:r>
        <w:rPr>
          <w:rFonts w:hint="eastAsia" w:ascii="仿宋" w:hAnsi="仿宋" w:eastAsia="仿宋" w:cs="仿宋"/>
          <w:sz w:val="28"/>
          <w:szCs w:val="28"/>
        </w:rPr>
        <w:t>意向投资人可择一出具《投资方案》，也可同时出具两种《投资方案》（同时出具两种《投资方案》的，对两种《投资方案》分别评分）。</w:t>
      </w:r>
    </w:p>
    <w:p w14:paraId="6427A57E">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在管理人认可且不影响据此制作《重整计划（草案）》的合法性、公平性、可行性的前提下，意向投资人可以在出具的投资方案中采用其他具体投资方式。</w:t>
      </w:r>
    </w:p>
    <w:p w14:paraId="6004BB5F">
      <w:pPr>
        <w:widowControl/>
        <w:spacing w:line="460" w:lineRule="exact"/>
        <w:ind w:firstLine="560" w:firstLineChars="200"/>
        <w:rPr>
          <w:rFonts w:ascii="仿宋" w:hAnsi="仿宋" w:eastAsia="仿宋" w:cs="仿宋"/>
          <w:sz w:val="28"/>
          <w:szCs w:val="28"/>
        </w:rPr>
      </w:pPr>
      <w:bookmarkStart w:id="1" w:name="_Hlk71032364"/>
      <w:r>
        <w:rPr>
          <w:rFonts w:hint="eastAsia" w:ascii="仿宋" w:hAnsi="仿宋" w:eastAsia="仿宋" w:cs="仿宋"/>
          <w:sz w:val="28"/>
          <w:szCs w:val="28"/>
        </w:rPr>
        <w:t>2.偿债方案</w:t>
      </w:r>
    </w:p>
    <w:bookmarkEnd w:id="1"/>
    <w:p w14:paraId="30951B3B">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（1）偿债资金金额</w:t>
      </w:r>
    </w:p>
    <w:p w14:paraId="6342799A">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意向投资人提供的偿债资金金额仅指提供给中宝百鑫公司用以清偿破产费用、共益债务及各类债权的资金，不包括破产（重整）过程中涉及各种证照办理和变更、资产权属变更过程中产生的应由中宝百鑫公司或投资人承担的税费、经营成本等费用。</w:t>
      </w:r>
    </w:p>
    <w:p w14:paraId="083FFA9E">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意向投资人提供的偿债资金金额不得低于人民币</w:t>
      </w:r>
      <w:r>
        <w:rPr>
          <w:rFonts w:ascii="仿宋" w:hAnsi="仿宋" w:eastAsia="仿宋" w:cs="仿宋"/>
          <w:sz w:val="28"/>
          <w:szCs w:val="28"/>
        </w:rPr>
        <w:t>80,000,000.00</w:t>
      </w:r>
      <w:r>
        <w:rPr>
          <w:rFonts w:hint="eastAsia" w:ascii="仿宋" w:hAnsi="仿宋" w:eastAsia="仿宋" w:cs="仿宋"/>
          <w:sz w:val="28"/>
          <w:szCs w:val="28"/>
        </w:rPr>
        <w:t>元（大写捌仟万元整）。</w:t>
      </w:r>
    </w:p>
    <w:p w14:paraId="197E2192">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（2）付款方式</w:t>
      </w:r>
    </w:p>
    <w:p w14:paraId="16DA8AED">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意向投资人需明确付款方式为一次性付款，或分多次付款及每次付款的时间和金额等其他方式。</w:t>
      </w:r>
    </w:p>
    <w:p w14:paraId="59105201">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（3）付款能力</w:t>
      </w:r>
    </w:p>
    <w:p w14:paraId="6226DB22">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意向投资人应当提供书面材料证明其付款能力，证明材料包括但不限于自有资金证明（如银行流水）。</w:t>
      </w:r>
    </w:p>
    <w:p w14:paraId="07B1A157">
      <w:pPr>
        <w:widowControl/>
        <w:spacing w:line="460" w:lineRule="exact"/>
        <w:ind w:firstLine="560" w:firstLineChars="200"/>
        <w:rPr>
          <w:rFonts w:ascii="仿宋" w:hAnsi="仿宋" w:eastAsia="仿宋" w:cs="仿宋"/>
          <w:sz w:val="28"/>
          <w:szCs w:val="28"/>
        </w:rPr>
      </w:pPr>
      <w:bookmarkStart w:id="2" w:name="_Hlk71032419"/>
      <w:r>
        <w:rPr>
          <w:rFonts w:hint="eastAsia" w:ascii="仿宋" w:hAnsi="仿宋" w:eastAsia="仿宋" w:cs="仿宋"/>
          <w:sz w:val="28"/>
          <w:szCs w:val="28"/>
        </w:rPr>
        <w:t>3.经营方案</w:t>
      </w:r>
    </w:p>
    <w:bookmarkEnd w:id="2"/>
    <w:p w14:paraId="44872EFE">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意向投资人应当详细阐述其经营方案，经营方案应当包括但不限于建设开发能力、运营方案、管理方案和维稳（安置）方案等。</w:t>
      </w:r>
    </w:p>
    <w:p w14:paraId="11229C72">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4.有利于债权人合法权益的其他安排</w:t>
      </w:r>
    </w:p>
    <w:p w14:paraId="77D8708A">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为保障各类债权人合法权益，在上述偿债方案和经营方案外，意向投资人可另行作出有利于各类债权人合法权益的安排。</w:t>
      </w:r>
    </w:p>
    <w:p w14:paraId="45626800">
      <w:pPr>
        <w:widowControl/>
        <w:spacing w:line="4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五、投资文件的编制</w:t>
      </w:r>
    </w:p>
    <w:p w14:paraId="6B3CAA3B">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1.意向投资人应仔细阅读本招募公告，按照要求编制投资文件，并保证投资文件正文和附件的真实性、准确性和完整性。</w:t>
      </w:r>
    </w:p>
    <w:p w14:paraId="115B784C">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2.意向投资人可于本招募公告期内（截止时间为</w:t>
      </w:r>
      <w:r>
        <w:rPr>
          <w:rFonts w:hint="eastAsia" w:ascii="仿宋" w:hAnsi="仿宋" w:eastAsia="仿宋" w:cs="仿宋"/>
          <w:sz w:val="28"/>
          <w:szCs w:val="28"/>
          <w:lang w:eastAsia="zh-CN"/>
        </w:rPr>
        <w:t>2026年3月31日</w:t>
      </w:r>
      <w:r>
        <w:rPr>
          <w:rFonts w:hint="eastAsia" w:ascii="仿宋" w:hAnsi="仿宋" w:eastAsia="仿宋" w:cs="仿宋"/>
          <w:sz w:val="28"/>
          <w:szCs w:val="28"/>
        </w:rPr>
        <w:t>16:00），向管理人获取中宝百鑫公司项目相关材料，用于编制投资文件。</w:t>
      </w:r>
    </w:p>
    <w:p w14:paraId="7D22AD95">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3.投资文件的内容不得设置假设性前提。</w:t>
      </w:r>
    </w:p>
    <w:p w14:paraId="366A3340">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4.投资文件应当包括但不限于以下内容：</w:t>
      </w:r>
    </w:p>
    <w:p w14:paraId="233CFD7C">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w:t>
      </w:r>
      <w:bookmarkStart w:id="3" w:name="_Hlk71032219"/>
      <w:r>
        <w:rPr>
          <w:rFonts w:hint="eastAsia" w:ascii="仿宋" w:hAnsi="仿宋" w:eastAsia="仿宋" w:cs="仿宋"/>
          <w:sz w:val="28"/>
          <w:szCs w:val="28"/>
        </w:rPr>
        <w:t>意向投资人介绍</w:t>
      </w:r>
      <w:bookmarkEnd w:id="3"/>
      <w:r>
        <w:rPr>
          <w:rFonts w:hint="eastAsia" w:ascii="仿宋" w:hAnsi="仿宋" w:eastAsia="仿宋" w:cs="仿宋"/>
          <w:sz w:val="28"/>
          <w:szCs w:val="28"/>
        </w:rPr>
        <w:t>（意向投资人主体资格、股权结构、历史沿革、经营范围等，如为联合投资人，需说明各主体的角色分工、权利义务等）；</w:t>
      </w:r>
    </w:p>
    <w:p w14:paraId="75D552B6">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w:t>
      </w:r>
      <w:bookmarkStart w:id="4" w:name="_Hlk71032270"/>
      <w:r>
        <w:rPr>
          <w:rFonts w:hint="eastAsia" w:ascii="仿宋" w:hAnsi="仿宋" w:eastAsia="仿宋" w:cs="仿宋"/>
          <w:sz w:val="28"/>
          <w:szCs w:val="28"/>
        </w:rPr>
        <w:t>投资方案</w:t>
      </w:r>
      <w:bookmarkEnd w:id="4"/>
      <w:r>
        <w:rPr>
          <w:rFonts w:hint="eastAsia" w:ascii="仿宋" w:hAnsi="仿宋" w:eastAsia="仿宋" w:cs="仿宋"/>
          <w:sz w:val="28"/>
          <w:szCs w:val="28"/>
        </w:rPr>
        <w:t>；</w:t>
      </w:r>
    </w:p>
    <w:p w14:paraId="13D31A10">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（3）</w:t>
      </w:r>
      <w:bookmarkStart w:id="5" w:name="_Hlk71032462"/>
      <w:r>
        <w:rPr>
          <w:rFonts w:hint="eastAsia" w:ascii="仿宋" w:hAnsi="仿宋" w:eastAsia="仿宋" w:cs="仿宋"/>
          <w:sz w:val="28"/>
          <w:szCs w:val="28"/>
        </w:rPr>
        <w:t>相关附件</w:t>
      </w:r>
      <w:bookmarkEnd w:id="5"/>
      <w:r>
        <w:rPr>
          <w:rFonts w:hint="eastAsia" w:ascii="仿宋" w:hAnsi="仿宋" w:eastAsia="仿宋" w:cs="仿宋"/>
          <w:sz w:val="28"/>
          <w:szCs w:val="28"/>
        </w:rPr>
        <w:t>，包括但不限于：</w:t>
      </w:r>
    </w:p>
    <w:p w14:paraId="249B9ABA">
      <w:pPr>
        <w:widowControl/>
        <w:spacing w:line="460" w:lineRule="exact"/>
        <w:ind w:firstLine="560" w:firstLineChars="200"/>
        <w:rPr>
          <w:rFonts w:ascii="仿宋" w:hAnsi="仿宋" w:eastAsia="仿宋" w:cs="仿宋"/>
          <w:sz w:val="28"/>
          <w:szCs w:val="28"/>
        </w:rPr>
      </w:pPr>
      <w:bookmarkStart w:id="6" w:name="_Hlk71032511"/>
      <w:r>
        <w:rPr>
          <w:rFonts w:hint="eastAsia" w:ascii="仿宋" w:hAnsi="仿宋" w:eastAsia="仿宋" w:cs="仿宋"/>
          <w:sz w:val="28"/>
          <w:szCs w:val="28"/>
        </w:rPr>
        <w:t>①企业法人营业执照或非法人企业注册登记证书复印件；</w:t>
      </w:r>
    </w:p>
    <w:p w14:paraId="008B8CEB">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②现行有效的企业法人或非法人企业章程复印件；</w:t>
      </w:r>
    </w:p>
    <w:p w14:paraId="04A9C175">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③法定代表人或负责人身份证明书原件及其身份证复印件；</w:t>
      </w:r>
    </w:p>
    <w:p w14:paraId="7F6F4DD0">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④授权委托书原件和受委托人身份证复印件；</w:t>
      </w:r>
    </w:p>
    <w:p w14:paraId="6C09259F">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⑤意向投资人董事会、股东（大）会等决策机构同意对中宝百鑫公司项目投资的决议原件；</w:t>
      </w:r>
    </w:p>
    <w:p w14:paraId="35F5257F">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⑥投资保证金支付凭证复印件；</w:t>
      </w:r>
    </w:p>
    <w:p w14:paraId="18AC3FCC">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⑦载明联系人、联系电话、电子邮箱、传真号码、通信地址的书面文件；</w:t>
      </w:r>
    </w:p>
    <w:p w14:paraId="2318339A">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⑧其他必要资料。</w:t>
      </w:r>
    </w:p>
    <w:bookmarkEnd w:id="6"/>
    <w:p w14:paraId="72806126">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如意向投资人为自然人的，则相关附件为意向投资人身份证复印件，授权委托书原件和受委托人身份证复印件（如有受委托人），投资保证金支付凭证复印件，载明联系人、联系电话、电子邮箱、传真号码、通信地址的书面文件等资料。</w:t>
      </w:r>
    </w:p>
    <w:p w14:paraId="421BF693">
      <w:pPr>
        <w:widowControl/>
        <w:spacing w:line="4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意向投资人向管理人提交的投资文件正文和附件均需加盖意向投资人公章。如意向投资人为自然人的，则由其本人或受托人签名、按手印。</w:t>
      </w:r>
    </w:p>
    <w:p w14:paraId="45CF4456">
      <w:pPr>
        <w:widowControl/>
        <w:spacing w:line="4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六、报名投标</w:t>
      </w:r>
    </w:p>
    <w:p w14:paraId="3B7D7667">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报名文件的提交视为正式报名投标。意向投资人应当按照下列要求进行报名投标：</w:t>
      </w:r>
    </w:p>
    <w:p w14:paraId="57341B1E">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1.报名文件应当密封并装订成册。</w:t>
      </w:r>
    </w:p>
    <w:p w14:paraId="0501359A">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2.报名时间与地址：</w:t>
      </w:r>
    </w:p>
    <w:p w14:paraId="1A721769">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（1）报名时间：</w:t>
      </w:r>
    </w:p>
    <w:p w14:paraId="25F8CF0B">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自本招募公告发布之日起接受意向投资人尽职调查报名，截止时间为</w:t>
      </w:r>
      <w:r>
        <w:rPr>
          <w:rFonts w:hint="eastAsia" w:ascii="仿宋" w:hAnsi="仿宋" w:eastAsia="仿宋" w:cs="仿宋"/>
          <w:sz w:val="28"/>
          <w:szCs w:val="28"/>
          <w:lang w:eastAsia="zh-CN"/>
        </w:rPr>
        <w:t>2026年3月31日</w:t>
      </w:r>
      <w:r>
        <w:rPr>
          <w:rFonts w:hint="eastAsia" w:ascii="仿宋" w:hAnsi="仿宋" w:eastAsia="仿宋" w:cs="仿宋"/>
          <w:sz w:val="28"/>
          <w:szCs w:val="28"/>
        </w:rPr>
        <w:t>16:00。</w:t>
      </w:r>
    </w:p>
    <w:p w14:paraId="552B9FCD">
      <w:pPr>
        <w:widowControl/>
        <w:numPr>
          <w:ilvl w:val="0"/>
          <w:numId w:val="1"/>
        </w:num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报名地址：</w:t>
      </w:r>
    </w:p>
    <w:p w14:paraId="059E6E44">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报名文件应提交至下列地址，并由管理人出具投资文件接收凭证，文件接收凭证应加盖管理人公章并由接收人签名。</w:t>
      </w:r>
    </w:p>
    <w:p w14:paraId="7BF0D975">
      <w:pPr>
        <w:widowControl/>
        <w:spacing w:line="46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接收地址：湖北省武汉市江汉区精武路1号武汉越秀国际金融中心T5栋3</w:t>
      </w:r>
      <w:r>
        <w:rPr>
          <w:rFonts w:hint="eastAsia" w:ascii="仿宋" w:hAnsi="仿宋" w:eastAsia="仿宋" w:cs="仿宋"/>
          <w:sz w:val="28"/>
          <w:szCs w:val="28"/>
          <w:lang w:val="en-US" w:eastAsia="zh-CN"/>
        </w:rPr>
        <w:t>3</w:t>
      </w:r>
      <w:r>
        <w:rPr>
          <w:rFonts w:hint="eastAsia" w:ascii="仿宋" w:hAnsi="仿宋" w:eastAsia="仿宋" w:cs="仿宋"/>
          <w:sz w:val="28"/>
          <w:szCs w:val="28"/>
        </w:rPr>
        <w:t>层</w:t>
      </w:r>
      <w:r>
        <w:rPr>
          <w:rFonts w:hint="eastAsia" w:ascii="仿宋" w:hAnsi="仿宋" w:eastAsia="仿宋" w:cs="仿宋"/>
          <w:sz w:val="28"/>
          <w:szCs w:val="28"/>
          <w:lang w:val="en-US" w:eastAsia="zh-CN"/>
        </w:rPr>
        <w:t>北京大成（武汉）律师事务所</w:t>
      </w:r>
    </w:p>
    <w:p w14:paraId="4C695647">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联 系 人：</w:t>
      </w:r>
      <w:r>
        <w:rPr>
          <w:rFonts w:hint="eastAsia" w:ascii="仿宋" w:hAnsi="仿宋" w:eastAsia="仿宋" w:cs="仿宋"/>
          <w:sz w:val="28"/>
          <w:szCs w:val="28"/>
          <w:lang w:val="en-US" w:eastAsia="zh-CN"/>
        </w:rPr>
        <w:t>郭士露</w:t>
      </w:r>
      <w:r>
        <w:rPr>
          <w:rFonts w:hint="eastAsia" w:ascii="仿宋" w:hAnsi="仿宋" w:eastAsia="仿宋" w:cs="仿宋"/>
          <w:sz w:val="28"/>
          <w:szCs w:val="28"/>
        </w:rPr>
        <w:t>律师</w:t>
      </w:r>
    </w:p>
    <w:p w14:paraId="001FB9B0">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电子邮箱</w:t>
      </w:r>
      <w:r>
        <w:rPr>
          <w:rFonts w:hint="eastAsia" w:ascii="仿宋" w:hAnsi="仿宋" w:eastAsia="仿宋" w:cs="仿宋"/>
          <w:sz w:val="28"/>
          <w:szCs w:val="28"/>
          <w:lang w:eastAsia="zh-CN"/>
        </w:rPr>
        <w:t>：</w:t>
      </w:r>
      <w:r>
        <w:rPr>
          <w:rFonts w:hint="eastAsia" w:ascii="仿宋" w:hAnsi="仿宋" w:eastAsia="仿宋" w:cs="仿宋"/>
          <w:i w:val="0"/>
          <w:iCs w:val="0"/>
          <w:caps w:val="0"/>
          <w:spacing w:val="0"/>
          <w:sz w:val="28"/>
          <w:szCs w:val="28"/>
          <w:shd w:val="clear"/>
        </w:rPr>
        <w:t>shilu.guo@dentons.cn</w:t>
      </w:r>
    </w:p>
    <w:p w14:paraId="5C234AE2">
      <w:pPr>
        <w:widowControl/>
        <w:spacing w:line="46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联系电话：</w:t>
      </w:r>
      <w:r>
        <w:rPr>
          <w:rFonts w:hint="eastAsia" w:ascii="仿宋" w:hAnsi="仿宋" w:eastAsia="仿宋" w:cs="仿宋"/>
          <w:sz w:val="28"/>
          <w:szCs w:val="28"/>
          <w:lang w:val="en-US" w:eastAsia="zh-CN"/>
        </w:rPr>
        <w:t>13971391426</w:t>
      </w:r>
    </w:p>
    <w:p w14:paraId="50FCB7EA">
      <w:pPr>
        <w:widowControl/>
        <w:spacing w:line="4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七、保密义务</w:t>
      </w:r>
    </w:p>
    <w:p w14:paraId="0A285EE2">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对于意向投资人需要的且未以任何形式公开披露的中宝百鑫公司信息、数据和资料等，意向投资人应严格遵守保密义务，善意使用中宝百鑫公司信息、数据和资料等。除用于制定投资方案外，不得另作他用，更不得泄露给任何第三方，否则，管理人有权没收其缴纳的投资保证金并要求相对方赔偿损失。</w:t>
      </w:r>
    </w:p>
    <w:p w14:paraId="49CCB388">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本招募公告的最终解释权归招募人所有。若需了解相关详细情况，请与招募人联系。（联系方式同上）</w:t>
      </w:r>
    </w:p>
    <w:p w14:paraId="4D10416C">
      <w:pPr>
        <w:widowControl/>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欢迎社会各界人士和单位前来接洽、参与项目投资！</w:t>
      </w:r>
    </w:p>
    <w:p w14:paraId="03AA9DFC">
      <w:pPr>
        <w:widowControl/>
        <w:rPr>
          <w:rFonts w:ascii="Times New Roman" w:hAnsi="Times New Roman" w:eastAsia="宋体" w:cs="Times New Roman"/>
          <w:szCs w:val="20"/>
        </w:rPr>
      </w:pPr>
    </w:p>
    <w:p w14:paraId="437B868B">
      <w:pPr>
        <w:spacing w:line="480" w:lineRule="exact"/>
        <w:rPr>
          <w:rFonts w:ascii="仿宋" w:hAnsi="仿宋" w:eastAsia="仿宋" w:cs="宋体"/>
          <w:spacing w:val="15"/>
          <w:kern w:val="0"/>
          <w:sz w:val="28"/>
          <w:szCs w:val="28"/>
        </w:rPr>
      </w:pPr>
    </w:p>
    <w:p w14:paraId="1BB87C13"/>
    <w:p w14:paraId="0F7CAD5C">
      <w:pPr>
        <w:jc w:val="center"/>
        <w:rPr>
          <w:rFonts w:ascii="仿宋" w:hAnsi="仿宋" w:eastAsia="仿宋"/>
          <w:b/>
          <w:bCs/>
          <w:sz w:val="32"/>
          <w:szCs w:val="32"/>
        </w:rPr>
      </w:pPr>
      <w:r>
        <w:rPr>
          <w:rFonts w:hint="eastAsia" w:ascii="仿宋" w:hAnsi="仿宋" w:eastAsia="仿宋"/>
          <w:b/>
          <w:bCs/>
          <w:sz w:val="32"/>
          <w:szCs w:val="32"/>
        </w:rPr>
        <w:t>双峰山旅游度假区风景图片</w:t>
      </w:r>
    </w:p>
    <w:p w14:paraId="3D136EB3">
      <w:pPr>
        <w:jc w:val="center"/>
        <w:rPr>
          <w:rFonts w:ascii="仿宋" w:hAnsi="仿宋" w:eastAsia="仿宋"/>
          <w:sz w:val="32"/>
          <w:szCs w:val="32"/>
        </w:rPr>
      </w:pPr>
      <w:r>
        <w:drawing>
          <wp:inline distT="0" distB="0" distL="0" distR="0">
            <wp:extent cx="5274310" cy="3753485"/>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5280385" cy="3758175"/>
                    </a:xfrm>
                    <a:prstGeom prst="rect">
                      <a:avLst/>
                    </a:prstGeom>
                    <a:noFill/>
                    <a:ln>
                      <a:noFill/>
                    </a:ln>
                  </pic:spPr>
                </pic:pic>
              </a:graphicData>
            </a:graphic>
          </wp:inline>
        </w:drawing>
      </w:r>
    </w:p>
    <w:p w14:paraId="2D8A9F6C">
      <w:pPr>
        <w:jc w:val="center"/>
        <w:rPr>
          <w:rFonts w:ascii="仿宋" w:hAnsi="仿宋" w:eastAsia="仿宋"/>
          <w:sz w:val="32"/>
          <w:szCs w:val="32"/>
        </w:rPr>
      </w:pPr>
    </w:p>
    <w:p w14:paraId="3A12B645">
      <w:pPr>
        <w:jc w:val="center"/>
        <w:rPr>
          <w:rFonts w:ascii="仿宋" w:hAnsi="仿宋" w:eastAsia="仿宋"/>
          <w:sz w:val="32"/>
          <w:szCs w:val="32"/>
        </w:rPr>
      </w:pPr>
      <w:r>
        <w:drawing>
          <wp:inline distT="0" distB="0" distL="0" distR="0">
            <wp:extent cx="5261610" cy="3921760"/>
            <wp:effectExtent l="0" t="0" r="0" b="25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289737" cy="3942575"/>
                    </a:xfrm>
                    <a:prstGeom prst="rect">
                      <a:avLst/>
                    </a:prstGeom>
                    <a:noFill/>
                    <a:ln>
                      <a:noFill/>
                    </a:ln>
                  </pic:spPr>
                </pic:pic>
              </a:graphicData>
            </a:graphic>
          </wp:inline>
        </w:drawing>
      </w:r>
    </w:p>
    <w:p w14:paraId="7AE74C34">
      <w:pPr>
        <w:jc w:val="center"/>
      </w:pPr>
      <w:r>
        <w:drawing>
          <wp:inline distT="0" distB="0" distL="0" distR="0">
            <wp:extent cx="5273040" cy="3905885"/>
            <wp:effectExtent l="0" t="0" r="381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303470" cy="3928456"/>
                    </a:xfrm>
                    <a:prstGeom prst="rect">
                      <a:avLst/>
                    </a:prstGeom>
                    <a:noFill/>
                    <a:ln>
                      <a:noFill/>
                    </a:ln>
                  </pic:spPr>
                </pic:pic>
              </a:graphicData>
            </a:graphic>
          </wp:inline>
        </w:drawing>
      </w:r>
    </w:p>
    <w:p w14:paraId="1663709D">
      <w:pPr>
        <w:tabs>
          <w:tab w:val="left" w:pos="4920"/>
        </w:tabs>
        <w:rPr>
          <w:rFonts w:ascii="仿宋" w:hAnsi="仿宋" w:eastAsia="仿宋"/>
          <w:sz w:val="32"/>
          <w:szCs w:val="32"/>
        </w:rPr>
      </w:pPr>
    </w:p>
    <w:p w14:paraId="7FE3E51D">
      <w:pPr>
        <w:tabs>
          <w:tab w:val="left" w:pos="4920"/>
        </w:tabs>
        <w:rPr>
          <w:rFonts w:ascii="仿宋" w:hAnsi="仿宋" w:eastAsia="仿宋"/>
          <w:sz w:val="32"/>
          <w:szCs w:val="32"/>
        </w:rPr>
      </w:pPr>
      <w:r>
        <w:drawing>
          <wp:inline distT="0" distB="0" distL="0" distR="0">
            <wp:extent cx="5274310" cy="3956050"/>
            <wp:effectExtent l="0" t="0" r="2540"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274310" cy="3956050"/>
                    </a:xfrm>
                    <a:prstGeom prst="rect">
                      <a:avLst/>
                    </a:prstGeom>
                    <a:noFill/>
                    <a:ln>
                      <a:noFill/>
                    </a:ln>
                  </pic:spPr>
                </pic:pic>
              </a:graphicData>
            </a:graphic>
          </wp:inline>
        </w:drawing>
      </w:r>
    </w:p>
    <w:p w14:paraId="64D97E92">
      <w:pPr>
        <w:tabs>
          <w:tab w:val="left" w:pos="5410"/>
        </w:tabs>
        <w:jc w:val="center"/>
        <w:rPr>
          <w:rFonts w:ascii="仿宋" w:hAnsi="仿宋" w:eastAsia="仿宋"/>
          <w:sz w:val="32"/>
          <w:szCs w:val="32"/>
        </w:rPr>
      </w:pPr>
      <w:r>
        <w:drawing>
          <wp:inline distT="0" distB="0" distL="0" distR="0">
            <wp:extent cx="5274310" cy="3956050"/>
            <wp:effectExtent l="0" t="0" r="254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274310" cy="3956050"/>
                    </a:xfrm>
                    <a:prstGeom prst="rect">
                      <a:avLst/>
                    </a:prstGeom>
                    <a:noFill/>
                    <a:ln>
                      <a:noFill/>
                    </a:ln>
                  </pic:spPr>
                </pic:pic>
              </a:graphicData>
            </a:graphic>
          </wp:inline>
        </w:drawing>
      </w:r>
    </w:p>
    <w:p w14:paraId="3662D536">
      <w:pPr>
        <w:tabs>
          <w:tab w:val="left" w:pos="5410"/>
        </w:tabs>
        <w:jc w:val="center"/>
        <w:rPr>
          <w:rFonts w:hint="eastAsia" w:ascii="仿宋" w:hAnsi="仿宋" w:eastAsia="仿宋"/>
          <w:b/>
          <w:bCs/>
          <w:sz w:val="32"/>
          <w:szCs w:val="32"/>
        </w:rPr>
      </w:pPr>
    </w:p>
    <w:p w14:paraId="06D99CC1">
      <w:pPr>
        <w:tabs>
          <w:tab w:val="left" w:pos="5410"/>
        </w:tabs>
        <w:jc w:val="center"/>
        <w:rPr>
          <w:rFonts w:ascii="仿宋" w:hAnsi="仿宋" w:eastAsia="仿宋"/>
          <w:b/>
          <w:bCs/>
          <w:sz w:val="32"/>
          <w:szCs w:val="32"/>
        </w:rPr>
      </w:pPr>
      <w:r>
        <w:rPr>
          <w:rFonts w:hint="eastAsia" w:ascii="仿宋" w:hAnsi="仿宋" w:eastAsia="仿宋"/>
          <w:b/>
          <w:bCs/>
          <w:sz w:val="32"/>
          <w:szCs w:val="32"/>
        </w:rPr>
        <w:t>观湖山庄图片</w:t>
      </w:r>
    </w:p>
    <w:p w14:paraId="655F594D">
      <w:pPr>
        <w:tabs>
          <w:tab w:val="left" w:pos="5410"/>
        </w:tabs>
        <w:jc w:val="center"/>
        <w:rPr>
          <w:rFonts w:ascii="仿宋" w:hAnsi="仿宋" w:eastAsia="仿宋"/>
          <w:sz w:val="32"/>
          <w:szCs w:val="32"/>
        </w:rPr>
      </w:pPr>
      <w:r>
        <w:drawing>
          <wp:inline distT="0" distB="0" distL="0" distR="0">
            <wp:extent cx="5274310" cy="3955415"/>
            <wp:effectExtent l="0" t="0" r="2540" b="6985"/>
            <wp:docPr id="13" name="图片 13" descr="C:\Users\admin\Desktop\中宝百鑫\照片\微信图片_20200611143237.jpg微信图片_20200611143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Users\admin\Desktop\中宝百鑫\照片\微信图片_20200611143237.jpg微信图片_20200611143237"/>
                    <pic:cNvPicPr>
                      <a:picLocks noChangeAspect="1" noChangeArrowheads="1"/>
                    </pic:cNvPicPr>
                  </pic:nvPicPr>
                  <pic:blipFill>
                    <a:blip r:embed="rId10"/>
                    <a:srcRect/>
                    <a:stretch>
                      <a:fillRect/>
                    </a:stretch>
                  </pic:blipFill>
                  <pic:spPr>
                    <a:xfrm>
                      <a:off x="0" y="0"/>
                      <a:ext cx="5274310" cy="3955415"/>
                    </a:xfrm>
                    <a:prstGeom prst="rect">
                      <a:avLst/>
                    </a:prstGeom>
                    <a:noFill/>
                    <a:ln>
                      <a:noFill/>
                    </a:ln>
                  </pic:spPr>
                </pic:pic>
              </a:graphicData>
            </a:graphic>
          </wp:inline>
        </w:drawing>
      </w:r>
    </w:p>
    <w:p w14:paraId="15F1B9DD">
      <w:pPr>
        <w:tabs>
          <w:tab w:val="left" w:pos="5410"/>
        </w:tabs>
        <w:jc w:val="center"/>
        <w:rPr>
          <w:rFonts w:ascii="仿宋" w:hAnsi="仿宋" w:eastAsia="仿宋"/>
          <w:sz w:val="32"/>
          <w:szCs w:val="32"/>
        </w:rPr>
      </w:pPr>
      <w:r>
        <w:drawing>
          <wp:inline distT="0" distB="0" distL="0" distR="0">
            <wp:extent cx="5049520" cy="3787140"/>
            <wp:effectExtent l="0" t="0" r="17780" b="3810"/>
            <wp:docPr id="14" name="图片 14" descr="C:\Users\admin\Desktop\中宝百鑫\照片\微信图片_20200611143325.jpg微信图片_20200611143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Users\admin\Desktop\中宝百鑫\照片\微信图片_20200611143325.jpg微信图片_20200611143325"/>
                    <pic:cNvPicPr>
                      <a:picLocks noChangeAspect="1" noChangeArrowheads="1"/>
                    </pic:cNvPicPr>
                  </pic:nvPicPr>
                  <pic:blipFill>
                    <a:blip r:embed="rId11"/>
                    <a:srcRect/>
                    <a:stretch>
                      <a:fillRect/>
                    </a:stretch>
                  </pic:blipFill>
                  <pic:spPr>
                    <a:xfrm>
                      <a:off x="0" y="0"/>
                      <a:ext cx="5049520" cy="3789068"/>
                    </a:xfrm>
                    <a:prstGeom prst="rect">
                      <a:avLst/>
                    </a:prstGeom>
                    <a:noFill/>
                    <a:ln>
                      <a:noFill/>
                    </a:ln>
                  </pic:spPr>
                </pic:pic>
              </a:graphicData>
            </a:graphic>
          </wp:inline>
        </w:drawing>
      </w:r>
    </w:p>
    <w:p w14:paraId="7574136C">
      <w:pPr>
        <w:tabs>
          <w:tab w:val="left" w:pos="5410"/>
        </w:tabs>
        <w:jc w:val="center"/>
        <w:rPr>
          <w:rFonts w:ascii="仿宋" w:hAnsi="仿宋" w:eastAsia="仿宋"/>
          <w:sz w:val="32"/>
          <w:szCs w:val="32"/>
        </w:rPr>
      </w:pPr>
    </w:p>
    <w:p w14:paraId="4068F1AC">
      <w:pPr>
        <w:tabs>
          <w:tab w:val="left" w:pos="5410"/>
        </w:tabs>
        <w:jc w:val="center"/>
        <w:rPr>
          <w:rFonts w:ascii="仿宋" w:hAnsi="仿宋" w:eastAsia="仿宋"/>
          <w:sz w:val="32"/>
          <w:szCs w:val="32"/>
        </w:rPr>
      </w:pPr>
    </w:p>
    <w:p w14:paraId="011A02A9">
      <w:pPr>
        <w:tabs>
          <w:tab w:val="left" w:pos="5410"/>
        </w:tabs>
        <w:jc w:val="center"/>
        <w:rPr>
          <w:rFonts w:ascii="仿宋" w:hAnsi="仿宋" w:eastAsia="仿宋"/>
          <w:sz w:val="32"/>
          <w:szCs w:val="32"/>
        </w:rPr>
      </w:pPr>
      <w:r>
        <w:drawing>
          <wp:inline distT="0" distB="0" distL="0" distR="0">
            <wp:extent cx="4984750" cy="3738245"/>
            <wp:effectExtent l="0" t="0" r="6350" b="0"/>
            <wp:docPr id="15" name="图片 15" descr="C:\Users\admin\Desktop\中宝百鑫\照片\微信图片_20200611143115.jpg微信图片_20200611143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C:\Users\admin\Desktop\中宝百鑫\照片\微信图片_20200611143115.jpg微信图片_20200611143115"/>
                    <pic:cNvPicPr>
                      <a:picLocks noChangeAspect="1" noChangeArrowheads="1"/>
                    </pic:cNvPicPr>
                  </pic:nvPicPr>
                  <pic:blipFill>
                    <a:blip r:embed="rId12"/>
                    <a:srcRect/>
                    <a:stretch>
                      <a:fillRect/>
                    </a:stretch>
                  </pic:blipFill>
                  <pic:spPr>
                    <a:xfrm>
                      <a:off x="0" y="0"/>
                      <a:ext cx="5001994" cy="3751194"/>
                    </a:xfrm>
                    <a:prstGeom prst="rect">
                      <a:avLst/>
                    </a:prstGeom>
                    <a:noFill/>
                    <a:ln>
                      <a:noFill/>
                    </a:ln>
                  </pic:spPr>
                </pic:pic>
              </a:graphicData>
            </a:graphic>
          </wp:inline>
        </w:drawing>
      </w:r>
    </w:p>
    <w:p w14:paraId="5AF2E96E"/>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108C40">
    <w:pPr>
      <w:pStyle w:val="2"/>
      <w:jc w:val="center"/>
    </w:pPr>
    <w:r>
      <w:rPr>
        <w:lang w:val="zh-CN"/>
      </w:rPr>
      <w:t xml:space="preserve"> </w:t>
    </w:r>
    <w:r>
      <w:fldChar w:fldCharType="begin"/>
    </w:r>
    <w:r>
      <w:instrText xml:space="preserve">PAGE  \* Arabic  \* MERGEFORMAT</w:instrText>
    </w:r>
    <w:r>
      <w:fldChar w:fldCharType="separate"/>
    </w:r>
    <w:r>
      <w:rPr>
        <w:lang w:val="zh-CN"/>
      </w:rPr>
      <w:t>5</w:t>
    </w:r>
    <w:r>
      <w:fldChar w:fldCharType="end"/>
    </w:r>
    <w:r>
      <w:rPr>
        <w:lang w:val="zh-CN"/>
      </w:rPr>
      <w:t xml:space="preserve"> / </w:t>
    </w:r>
    <w:r>
      <w:fldChar w:fldCharType="begin"/>
    </w:r>
    <w:r>
      <w:instrText xml:space="preserve">NUMPAGES  \* Arabic  \* MERGEFORMAT</w:instrText>
    </w:r>
    <w:r>
      <w:fldChar w:fldCharType="separate"/>
    </w:r>
    <w:r>
      <w:rPr>
        <w:lang w:val="zh-CN"/>
      </w:rPr>
      <w:t>16</w:t>
    </w:r>
    <w:r>
      <w:rPr>
        <w:lang w:val="zh-CN"/>
      </w:rPr>
      <w:fldChar w:fldCharType="end"/>
    </w:r>
  </w:p>
  <w:p w14:paraId="57E12CA5">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DA740E"/>
    <w:multiLevelType w:val="singleLevel"/>
    <w:tmpl w:val="C7DA740E"/>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69B2"/>
    <w:rsid w:val="00174BA5"/>
    <w:rsid w:val="008066A3"/>
    <w:rsid w:val="00F169B2"/>
    <w:rsid w:val="20393E82"/>
    <w:rsid w:val="26FB0102"/>
    <w:rsid w:val="6CFD43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3645</Words>
  <Characters>3770</Characters>
  <Lines>27</Lines>
  <Paragraphs>7</Paragraphs>
  <TotalTime>11</TotalTime>
  <ScaleCrop>false</ScaleCrop>
  <LinksUpToDate>false</LinksUpToDate>
  <CharactersWithSpaces>3787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2021-07-29T09:58:00Z</dcterms:created>
  <dc:creator>guo shilu</dc:creator>
  <cp:lastModifiedBy>GSL</cp:lastModifiedBy>
  <dcterms:modified xsi:type="dcterms:W3CDTF">2026-01-30T08:36:14Z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eyJoZGlkIjoiM2FiZDIzMjBhYjY3YjcwYmIxYWI1NjM4YzVmYjEyMDMiLCJ1c2VySWQiOiIxNTk0NzkxNjE1In0=</vt:lpwstr>
  </property>
  <property fmtid="{D5CDD505-2E9C-101B-9397-08002B2CF9AE}" pid="3" name="KSOProductBuildVer">
    <vt:lpwstr>2052-12.1.0.24657</vt:lpwstr>
  </property>
  <property fmtid="{D5CDD505-2E9C-101B-9397-08002B2CF9AE}" pid="4" name="ICV">
    <vt:lpwstr>A340BDBFAD0A492683A2D0A27110E446_13</vt:lpwstr>
  </property>
</Properties>
</file>