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479848">
      <w:pPr>
        <w:keepNext w:val="0"/>
        <w:keepLines w:val="0"/>
        <w:pageBreakBefore w:val="0"/>
        <w:kinsoku/>
        <w:wordWrap/>
        <w:overflowPunct/>
        <w:topLinePunct w:val="0"/>
        <w:autoSpaceDE/>
        <w:autoSpaceDN/>
        <w:bidi w:val="0"/>
        <w:adjustRightInd/>
        <w:snapToGrid/>
        <w:spacing w:line="420" w:lineRule="exact"/>
        <w:jc w:val="center"/>
        <w:textAlignment w:val="auto"/>
        <w:rPr>
          <w:rFonts w:hint="eastAsia" w:ascii="仿宋" w:hAnsi="仿宋" w:eastAsia="仿宋" w:cs="仿宋"/>
          <w:b/>
          <w:color w:val="000000" w:themeColor="text1"/>
          <w:sz w:val="44"/>
          <w:szCs w:val="44"/>
          <w14:textFill>
            <w14:solidFill>
              <w14:schemeClr w14:val="tx1"/>
            </w14:solidFill>
          </w14:textFill>
        </w:rPr>
      </w:pPr>
      <w:r>
        <w:rPr>
          <w:rFonts w:hint="eastAsia" w:ascii="仿宋" w:hAnsi="仿宋" w:eastAsia="仿宋" w:cs="仿宋"/>
          <w:b/>
          <w:color w:val="000000" w:themeColor="text1"/>
          <w:sz w:val="44"/>
          <w:szCs w:val="44"/>
          <w:lang w:val="en-US" w:eastAsia="zh-CN"/>
          <w14:textFill>
            <w14:solidFill>
              <w14:schemeClr w14:val="tx1"/>
            </w14:solidFill>
          </w14:textFill>
        </w:rPr>
        <w:t>拍卖</w:t>
      </w:r>
      <w:r>
        <w:rPr>
          <w:rFonts w:hint="eastAsia" w:ascii="仿宋" w:hAnsi="仿宋" w:eastAsia="仿宋" w:cs="仿宋"/>
          <w:b/>
          <w:color w:val="000000" w:themeColor="text1"/>
          <w:sz w:val="44"/>
          <w:szCs w:val="44"/>
          <w14:textFill>
            <w14:solidFill>
              <w14:schemeClr w14:val="tx1"/>
            </w14:solidFill>
          </w14:textFill>
        </w:rPr>
        <w:t>公告</w:t>
      </w:r>
    </w:p>
    <w:p w14:paraId="51EE962F">
      <w:pPr>
        <w:keepNext w:val="0"/>
        <w:keepLines w:val="0"/>
        <w:pageBreakBefore w:val="0"/>
        <w:kinsoku/>
        <w:wordWrap/>
        <w:overflowPunct/>
        <w:topLinePunct w:val="0"/>
        <w:autoSpaceDE/>
        <w:autoSpaceDN/>
        <w:bidi w:val="0"/>
        <w:adjustRightInd/>
        <w:snapToGrid/>
        <w:spacing w:line="420" w:lineRule="exact"/>
        <w:ind w:firstLine="480" w:firstLineChars="20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lang w:val="en-US" w:eastAsia="zh-CN"/>
          <w14:textFill>
            <w14:solidFill>
              <w14:schemeClr w14:val="tx1"/>
            </w14:solidFill>
          </w14:textFill>
        </w:rPr>
        <w:t>根据重庆凯尔特机械制造有限公司（以下简称“凯尔特公司”）破产财产网络拍卖变价方案，</w:t>
      </w:r>
      <w:r>
        <w:rPr>
          <w:rFonts w:hint="eastAsia" w:ascii="仿宋" w:hAnsi="仿宋" w:eastAsia="仿宋" w:cs="仿宋"/>
          <w:color w:val="000000" w:themeColor="text1"/>
          <w:kern w:val="0"/>
          <w:sz w:val="24"/>
          <w:szCs w:val="24"/>
          <w:lang w:eastAsia="zh-CN"/>
          <w14:textFill>
            <w14:solidFill>
              <w14:schemeClr w14:val="tx1"/>
            </w14:solidFill>
          </w14:textFill>
        </w:rPr>
        <w:t>重庆凯尔特机械制造有限公司</w:t>
      </w:r>
      <w:r>
        <w:rPr>
          <w:rFonts w:hint="eastAsia" w:ascii="仿宋" w:hAnsi="仿宋" w:eastAsia="仿宋" w:cs="仿宋"/>
          <w:color w:val="000000" w:themeColor="text1"/>
          <w:kern w:val="0"/>
          <w:sz w:val="24"/>
          <w:szCs w:val="24"/>
          <w14:textFill>
            <w14:solidFill>
              <w14:schemeClr w14:val="tx1"/>
            </w14:solidFill>
          </w14:textFill>
        </w:rPr>
        <w:t>管理人（以下简称“管理人”）将于</w:t>
      </w:r>
      <w:r>
        <w:rPr>
          <w:rFonts w:hint="eastAsia" w:ascii="仿宋" w:hAnsi="仿宋" w:eastAsia="仿宋" w:cs="仿宋"/>
          <w:b/>
          <w:color w:val="000000" w:themeColor="text1"/>
          <w:kern w:val="0"/>
          <w:sz w:val="24"/>
          <w:szCs w:val="24"/>
          <w14:textFill>
            <w14:solidFill>
              <w14:schemeClr w14:val="tx1"/>
            </w14:solidFill>
          </w14:textFill>
        </w:rPr>
        <w:t>202</w:t>
      </w:r>
      <w:r>
        <w:rPr>
          <w:rFonts w:hint="eastAsia" w:ascii="仿宋" w:hAnsi="仿宋" w:eastAsia="仿宋" w:cs="仿宋"/>
          <w:b/>
          <w:color w:val="000000" w:themeColor="text1"/>
          <w:kern w:val="0"/>
          <w:sz w:val="24"/>
          <w:szCs w:val="24"/>
          <w:lang w:val="en-US" w:eastAsia="zh-CN"/>
          <w14:textFill>
            <w14:solidFill>
              <w14:schemeClr w14:val="tx1"/>
            </w14:solidFill>
          </w14:textFill>
        </w:rPr>
        <w:t>6</w:t>
      </w:r>
      <w:r>
        <w:rPr>
          <w:rFonts w:hint="eastAsia" w:ascii="仿宋" w:hAnsi="仿宋" w:eastAsia="仿宋" w:cs="仿宋"/>
          <w:b/>
          <w:color w:val="000000" w:themeColor="text1"/>
          <w:kern w:val="0"/>
          <w:sz w:val="24"/>
          <w:szCs w:val="24"/>
          <w14:textFill>
            <w14:solidFill>
              <w14:schemeClr w14:val="tx1"/>
            </w14:solidFill>
          </w14:textFill>
        </w:rPr>
        <w:t>年</w:t>
      </w:r>
      <w:r>
        <w:rPr>
          <w:rFonts w:hint="eastAsia" w:ascii="仿宋" w:hAnsi="仿宋" w:eastAsia="仿宋" w:cs="仿宋"/>
          <w:b/>
          <w:color w:val="000000" w:themeColor="text1"/>
          <w:kern w:val="0"/>
          <w:sz w:val="24"/>
          <w:szCs w:val="24"/>
          <w:lang w:val="en-US" w:eastAsia="zh-CN"/>
          <w14:textFill>
            <w14:solidFill>
              <w14:schemeClr w14:val="tx1"/>
            </w14:solidFill>
          </w14:textFill>
        </w:rPr>
        <w:t>2</w:t>
      </w:r>
      <w:r>
        <w:rPr>
          <w:rFonts w:hint="eastAsia" w:ascii="仿宋" w:hAnsi="仿宋" w:eastAsia="仿宋" w:cs="仿宋"/>
          <w:b/>
          <w:color w:val="000000" w:themeColor="text1"/>
          <w:kern w:val="0"/>
          <w:sz w:val="24"/>
          <w:szCs w:val="24"/>
          <w14:textFill>
            <w14:solidFill>
              <w14:schemeClr w14:val="tx1"/>
            </w14:solidFill>
          </w14:textFill>
        </w:rPr>
        <w:t>月</w:t>
      </w:r>
      <w:r>
        <w:rPr>
          <w:rFonts w:hint="eastAsia" w:ascii="仿宋" w:hAnsi="仿宋" w:eastAsia="仿宋" w:cs="仿宋"/>
          <w:b/>
          <w:color w:val="000000" w:themeColor="text1"/>
          <w:kern w:val="0"/>
          <w:sz w:val="24"/>
          <w:szCs w:val="24"/>
          <w:lang w:val="en-US" w:eastAsia="zh-CN"/>
          <w14:textFill>
            <w14:solidFill>
              <w14:schemeClr w14:val="tx1"/>
            </w14:solidFill>
          </w14:textFill>
        </w:rPr>
        <w:t>4</w:t>
      </w:r>
      <w:r>
        <w:rPr>
          <w:rFonts w:hint="eastAsia" w:ascii="仿宋" w:hAnsi="仿宋" w:eastAsia="仿宋" w:cs="仿宋"/>
          <w:b/>
          <w:color w:val="000000" w:themeColor="text1"/>
          <w:kern w:val="0"/>
          <w:sz w:val="24"/>
          <w:szCs w:val="24"/>
          <w14:textFill>
            <w14:solidFill>
              <w14:schemeClr w14:val="tx1"/>
            </w14:solidFill>
          </w14:textFill>
        </w:rPr>
        <w:t>日10时</w:t>
      </w:r>
      <w:bookmarkStart w:id="2" w:name="_GoBack"/>
      <w:bookmarkEnd w:id="2"/>
      <w:r>
        <w:rPr>
          <w:rFonts w:hint="eastAsia" w:ascii="仿宋" w:hAnsi="仿宋" w:eastAsia="仿宋" w:cs="仿宋"/>
          <w:b/>
          <w:color w:val="000000" w:themeColor="text1"/>
          <w:kern w:val="0"/>
          <w:sz w:val="24"/>
          <w:szCs w:val="24"/>
          <w14:textFill>
            <w14:solidFill>
              <w14:schemeClr w14:val="tx1"/>
            </w14:solidFill>
          </w14:textFill>
        </w:rPr>
        <w:t>至202</w:t>
      </w:r>
      <w:r>
        <w:rPr>
          <w:rFonts w:hint="eastAsia" w:ascii="仿宋" w:hAnsi="仿宋" w:eastAsia="仿宋" w:cs="仿宋"/>
          <w:b/>
          <w:color w:val="000000" w:themeColor="text1"/>
          <w:kern w:val="0"/>
          <w:sz w:val="24"/>
          <w:szCs w:val="24"/>
          <w:lang w:val="en-US" w:eastAsia="zh-CN"/>
          <w14:textFill>
            <w14:solidFill>
              <w14:schemeClr w14:val="tx1"/>
            </w14:solidFill>
          </w14:textFill>
        </w:rPr>
        <w:t>6</w:t>
      </w:r>
      <w:r>
        <w:rPr>
          <w:rFonts w:hint="eastAsia" w:ascii="仿宋" w:hAnsi="仿宋" w:eastAsia="仿宋" w:cs="仿宋"/>
          <w:b/>
          <w:color w:val="000000" w:themeColor="text1"/>
          <w:kern w:val="0"/>
          <w:sz w:val="24"/>
          <w:szCs w:val="24"/>
          <w14:textFill>
            <w14:solidFill>
              <w14:schemeClr w14:val="tx1"/>
            </w14:solidFill>
          </w14:textFill>
        </w:rPr>
        <w:t>年</w:t>
      </w:r>
      <w:r>
        <w:rPr>
          <w:rFonts w:hint="eastAsia" w:ascii="仿宋" w:hAnsi="仿宋" w:eastAsia="仿宋" w:cs="仿宋"/>
          <w:b/>
          <w:color w:val="000000" w:themeColor="text1"/>
          <w:kern w:val="0"/>
          <w:sz w:val="24"/>
          <w:szCs w:val="24"/>
          <w:lang w:val="en-US" w:eastAsia="zh-CN"/>
          <w14:textFill>
            <w14:solidFill>
              <w14:schemeClr w14:val="tx1"/>
            </w14:solidFill>
          </w14:textFill>
        </w:rPr>
        <w:t>2</w:t>
      </w:r>
      <w:r>
        <w:rPr>
          <w:rFonts w:hint="eastAsia" w:ascii="仿宋" w:hAnsi="仿宋" w:eastAsia="仿宋" w:cs="仿宋"/>
          <w:b/>
          <w:color w:val="000000" w:themeColor="text1"/>
          <w:kern w:val="0"/>
          <w:sz w:val="24"/>
          <w:szCs w:val="24"/>
          <w14:textFill>
            <w14:solidFill>
              <w14:schemeClr w14:val="tx1"/>
            </w14:solidFill>
          </w14:textFill>
        </w:rPr>
        <w:t>月</w:t>
      </w:r>
      <w:r>
        <w:rPr>
          <w:rFonts w:hint="eastAsia" w:ascii="仿宋" w:hAnsi="仿宋" w:eastAsia="仿宋" w:cs="仿宋"/>
          <w:b/>
          <w:color w:val="000000" w:themeColor="text1"/>
          <w:kern w:val="0"/>
          <w:sz w:val="24"/>
          <w:szCs w:val="24"/>
          <w:lang w:val="en-US" w:eastAsia="zh-CN"/>
          <w14:textFill>
            <w14:solidFill>
              <w14:schemeClr w14:val="tx1"/>
            </w14:solidFill>
          </w14:textFill>
        </w:rPr>
        <w:t>5</w:t>
      </w:r>
      <w:r>
        <w:rPr>
          <w:rFonts w:hint="eastAsia" w:ascii="仿宋" w:hAnsi="仿宋" w:eastAsia="仿宋" w:cs="仿宋"/>
          <w:b/>
          <w:color w:val="000000" w:themeColor="text1"/>
          <w:kern w:val="0"/>
          <w:sz w:val="24"/>
          <w:szCs w:val="24"/>
          <w14:textFill>
            <w14:solidFill>
              <w14:schemeClr w14:val="tx1"/>
            </w14:solidFill>
          </w14:textFill>
        </w:rPr>
        <w:t>日10时止</w:t>
      </w:r>
      <w:r>
        <w:rPr>
          <w:rFonts w:hint="eastAsia" w:ascii="仿宋" w:hAnsi="仿宋" w:eastAsia="仿宋" w:cs="仿宋"/>
          <w:color w:val="000000" w:themeColor="text1"/>
          <w:kern w:val="0"/>
          <w:sz w:val="24"/>
          <w:szCs w:val="24"/>
          <w14:textFill>
            <w14:solidFill>
              <w14:schemeClr w14:val="tx1"/>
            </w14:solidFill>
          </w14:textFill>
        </w:rPr>
        <w:t>（延时除外）在淘宝网阿里拍卖破产强清平台（委托单位：</w:t>
      </w:r>
      <w:r>
        <w:rPr>
          <w:rFonts w:hint="eastAsia" w:ascii="仿宋" w:hAnsi="仿宋" w:eastAsia="仿宋" w:cs="仿宋"/>
          <w:color w:val="000000" w:themeColor="text1"/>
          <w:kern w:val="0"/>
          <w:sz w:val="24"/>
          <w:szCs w:val="24"/>
          <w:lang w:eastAsia="zh-CN"/>
          <w14:textFill>
            <w14:solidFill>
              <w14:schemeClr w14:val="tx1"/>
            </w14:solidFill>
          </w14:textFill>
        </w:rPr>
        <w:t>重庆凯尔特机械制造有限公司</w:t>
      </w:r>
      <w:r>
        <w:rPr>
          <w:rFonts w:hint="eastAsia" w:ascii="仿宋" w:hAnsi="仿宋" w:eastAsia="仿宋" w:cs="仿宋"/>
          <w:color w:val="000000" w:themeColor="text1"/>
          <w:kern w:val="0"/>
          <w:sz w:val="24"/>
          <w:szCs w:val="24"/>
          <w14:textFill>
            <w14:solidFill>
              <w14:schemeClr w14:val="tx1"/>
            </w14:solidFill>
          </w14:textFill>
        </w:rPr>
        <w:t>管理人，监督单位：</w:t>
      </w:r>
      <w:r>
        <w:rPr>
          <w:rFonts w:hint="eastAsia" w:ascii="仿宋" w:hAnsi="仿宋" w:eastAsia="仿宋" w:cs="仿宋"/>
          <w:color w:val="000000" w:themeColor="text1"/>
          <w:kern w:val="0"/>
          <w:sz w:val="24"/>
          <w:szCs w:val="24"/>
          <w:lang w:eastAsia="zh-CN"/>
          <w14:textFill>
            <w14:solidFill>
              <w14:schemeClr w14:val="tx1"/>
            </w14:solidFill>
          </w14:textFill>
        </w:rPr>
        <w:t>重庆市北碚区人民法院</w:t>
      </w:r>
      <w:r>
        <w:rPr>
          <w:rFonts w:hint="eastAsia" w:ascii="仿宋" w:hAnsi="仿宋" w:eastAsia="仿宋" w:cs="仿宋"/>
          <w:color w:val="000000" w:themeColor="text1"/>
          <w:kern w:val="0"/>
          <w:sz w:val="24"/>
          <w:szCs w:val="24"/>
          <w14:textFill>
            <w14:solidFill>
              <w14:schemeClr w14:val="tx1"/>
            </w14:solidFill>
          </w14:textFill>
        </w:rPr>
        <w:t>，网址：https://susong.taobao.com）进行公开破产财产拍卖活动，现公告如下：</w:t>
      </w:r>
    </w:p>
    <w:p w14:paraId="33A2C8FD">
      <w:pPr>
        <w:keepNext w:val="0"/>
        <w:keepLines w:val="0"/>
        <w:pageBreakBefore w:val="0"/>
        <w:kinsoku/>
        <w:wordWrap/>
        <w:overflowPunct/>
        <w:topLinePunct w:val="0"/>
        <w:autoSpaceDE/>
        <w:autoSpaceDN/>
        <w:bidi w:val="0"/>
        <w:adjustRightInd/>
        <w:snapToGrid/>
        <w:spacing w:line="420" w:lineRule="exact"/>
        <w:ind w:firstLine="482" w:firstLineChars="200"/>
        <w:jc w:val="left"/>
        <w:textAlignment w:val="auto"/>
        <w:rPr>
          <w:rFonts w:hint="eastAsia" w:ascii="仿宋" w:hAnsi="仿宋" w:eastAsia="仿宋" w:cs="仿宋"/>
          <w:b/>
          <w:kern w:val="0"/>
          <w:sz w:val="24"/>
          <w:szCs w:val="24"/>
        </w:rPr>
      </w:pPr>
      <w:r>
        <w:rPr>
          <w:rFonts w:hint="eastAsia" w:ascii="仿宋" w:hAnsi="仿宋" w:eastAsia="仿宋" w:cs="仿宋"/>
          <w:b/>
          <w:kern w:val="0"/>
          <w:sz w:val="24"/>
          <w:szCs w:val="24"/>
        </w:rPr>
        <w:t>重要提示</w:t>
      </w:r>
    </w:p>
    <w:p w14:paraId="6B62C4DF">
      <w:pPr>
        <w:keepNext w:val="0"/>
        <w:keepLines w:val="0"/>
        <w:pageBreakBefore w:val="0"/>
        <w:kinsoku/>
        <w:wordWrap/>
        <w:overflowPunct/>
        <w:topLinePunct w:val="0"/>
        <w:autoSpaceDE/>
        <w:autoSpaceDN/>
        <w:bidi w:val="0"/>
        <w:adjustRightInd/>
        <w:snapToGrid/>
        <w:spacing w:line="420" w:lineRule="exact"/>
        <w:ind w:firstLine="480" w:firstLineChars="20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（一）郑重声明：本标的系管理人依法独立履行《中华人民共和国企业破产法》所规定的管理人职责在淘宝网阿里拍卖平台处分</w:t>
      </w:r>
      <w:r>
        <w:rPr>
          <w:rFonts w:hint="eastAsia" w:ascii="仿宋" w:hAnsi="仿宋" w:eastAsia="仿宋" w:cs="仿宋"/>
          <w:color w:val="000000" w:themeColor="text1"/>
          <w:kern w:val="0"/>
          <w:sz w:val="24"/>
          <w:szCs w:val="24"/>
          <w:lang w:eastAsia="zh-CN"/>
          <w14:textFill>
            <w14:solidFill>
              <w14:schemeClr w14:val="tx1"/>
            </w14:solidFill>
          </w14:textFill>
        </w:rPr>
        <w:t>凯尔特公司</w:t>
      </w:r>
      <w:r>
        <w:rPr>
          <w:rFonts w:hint="eastAsia" w:ascii="仿宋" w:hAnsi="仿宋" w:eastAsia="仿宋" w:cs="仿宋"/>
          <w:color w:val="000000" w:themeColor="text1"/>
          <w:kern w:val="0"/>
          <w:sz w:val="24"/>
          <w:szCs w:val="24"/>
          <w14:textFill>
            <w14:solidFill>
              <w14:schemeClr w14:val="tx1"/>
            </w14:solidFill>
          </w14:textFill>
        </w:rPr>
        <w:t>财产，并承担相应责任。</w:t>
      </w:r>
    </w:p>
    <w:p w14:paraId="16BE003F">
      <w:pPr>
        <w:keepNext w:val="0"/>
        <w:keepLines w:val="0"/>
        <w:pageBreakBefore w:val="0"/>
        <w:kinsoku/>
        <w:wordWrap/>
        <w:overflowPunct/>
        <w:topLinePunct w:val="0"/>
        <w:autoSpaceDE/>
        <w:autoSpaceDN/>
        <w:bidi w:val="0"/>
        <w:adjustRightInd/>
        <w:snapToGrid/>
        <w:spacing w:line="420" w:lineRule="exact"/>
        <w:ind w:firstLine="480" w:firstLineChars="20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（二）竞拍前请务必遵照《拍卖公告》《竞买须知》要求，进行实地看样、调查标的物信息（如</w:t>
      </w:r>
      <w:r>
        <w:rPr>
          <w:rFonts w:hint="eastAsia" w:ascii="仿宋" w:hAnsi="仿宋" w:eastAsia="仿宋" w:cs="仿宋"/>
          <w:color w:val="000000" w:themeColor="text1"/>
          <w:kern w:val="0"/>
          <w:sz w:val="24"/>
          <w:szCs w:val="24"/>
          <w:lang w:val="en-US" w:eastAsia="zh-CN"/>
          <w14:textFill>
            <w14:solidFill>
              <w14:schemeClr w14:val="tx1"/>
            </w14:solidFill>
          </w14:textFill>
        </w:rPr>
        <w:t>资产</w:t>
      </w:r>
      <w:r>
        <w:rPr>
          <w:rFonts w:hint="eastAsia" w:ascii="仿宋" w:hAnsi="仿宋" w:eastAsia="仿宋" w:cs="仿宋"/>
          <w:color w:val="000000" w:themeColor="text1"/>
          <w:kern w:val="0"/>
          <w:sz w:val="24"/>
          <w:szCs w:val="24"/>
          <w14:textFill>
            <w14:solidFill>
              <w14:schemeClr w14:val="tx1"/>
            </w14:solidFill>
          </w14:textFill>
        </w:rPr>
        <w:t>现状、权利瑕疵、购买资格、过户要求等）、了解竞买资质、委托代理及尾款支付方式等内容。如违反相关约定，您的保证金可能会被划扣并产生其他法律责任，请理性参拍。</w:t>
      </w:r>
    </w:p>
    <w:p w14:paraId="02980A83">
      <w:pPr>
        <w:keepNext w:val="0"/>
        <w:keepLines w:val="0"/>
        <w:pageBreakBefore w:val="0"/>
        <w:kinsoku/>
        <w:wordWrap/>
        <w:overflowPunct/>
        <w:topLinePunct w:val="0"/>
        <w:autoSpaceDE/>
        <w:autoSpaceDN/>
        <w:bidi w:val="0"/>
        <w:adjustRightInd/>
        <w:snapToGrid/>
        <w:spacing w:line="420" w:lineRule="exact"/>
        <w:ind w:firstLine="480" w:firstLineChars="20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（三）本次拍卖公告所作的情况说明，仅为竞买人参与竞买提供参考，不能作为竞买人判断、权衡价值的最终依据，竞买人根据自身需求可自行调查、了解、核实。未尽事宜，管理人不承担任何责任。</w:t>
      </w:r>
    </w:p>
    <w:p w14:paraId="3A3B286C">
      <w:pPr>
        <w:keepNext w:val="0"/>
        <w:keepLines w:val="0"/>
        <w:pageBreakBefore w:val="0"/>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（四）本次拍卖标的物以其现状为准，管理人</w:t>
      </w:r>
      <w:r>
        <w:rPr>
          <w:rFonts w:hint="eastAsia" w:ascii="仿宋" w:hAnsi="仿宋" w:eastAsia="仿宋" w:cs="仿宋"/>
          <w:color w:val="000000" w:themeColor="text1"/>
          <w:kern w:val="0"/>
          <w:sz w:val="24"/>
          <w:szCs w:val="24"/>
          <w:lang w:eastAsia="zh-CN"/>
          <w14:textFill>
            <w14:solidFill>
              <w14:schemeClr w14:val="tx1"/>
            </w14:solidFill>
          </w14:textFill>
        </w:rPr>
        <w:t>、</w:t>
      </w:r>
      <w:r>
        <w:rPr>
          <w:rFonts w:hint="eastAsia" w:ascii="仿宋" w:hAnsi="仿宋" w:eastAsia="仿宋" w:cs="仿宋"/>
          <w:color w:val="000000" w:themeColor="text1"/>
          <w:kern w:val="0"/>
          <w:sz w:val="24"/>
          <w:szCs w:val="24"/>
          <w:lang w:val="en-US" w:eastAsia="zh-CN"/>
          <w14:textFill>
            <w14:solidFill>
              <w14:schemeClr w14:val="tx1"/>
            </w14:solidFill>
          </w14:textFill>
        </w:rPr>
        <w:t>凯尔特公司、重庆凯能辉新能源科技有限公司（以下简称“凯能辉公司”）</w:t>
      </w:r>
      <w:r>
        <w:rPr>
          <w:rFonts w:hint="eastAsia" w:ascii="仿宋" w:hAnsi="仿宋" w:eastAsia="仿宋" w:cs="仿宋"/>
          <w:color w:val="000000" w:themeColor="text1"/>
          <w:kern w:val="0"/>
          <w:sz w:val="24"/>
          <w:szCs w:val="24"/>
          <w14:textFill>
            <w14:solidFill>
              <w14:schemeClr w14:val="tx1"/>
            </w14:solidFill>
          </w14:textFill>
        </w:rPr>
        <w:t>及人民法院不承担标的物的瑕疵保证。除拍卖文件披露外，竞买人应对拍卖标的物的实际状况、瑕疵（含显性、隐性瑕疵）等自行调查核实、承担投资风险。有意者请亲自实地看样，未看样的竞买人视为对标的物瑕疵及相关实物现状的确认，责任自负。</w:t>
      </w:r>
    </w:p>
    <w:p w14:paraId="1908AD26">
      <w:pPr>
        <w:keepNext w:val="0"/>
        <w:keepLines w:val="0"/>
        <w:pageBreakBefore w:val="0"/>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lang w:val="en-US" w:eastAsia="zh-CN"/>
          <w14:textFill>
            <w14:solidFill>
              <w14:schemeClr w14:val="tx1"/>
            </w14:solidFill>
          </w14:textFill>
        </w:rPr>
        <w:t>(五)</w:t>
      </w:r>
      <w:r>
        <w:rPr>
          <w:rFonts w:hint="eastAsia" w:ascii="仿宋" w:hAnsi="仿宋" w:eastAsia="仿宋" w:cs="仿宋"/>
          <w:color w:val="000000" w:themeColor="text1"/>
          <w:kern w:val="0"/>
          <w:sz w:val="24"/>
          <w:szCs w:val="24"/>
          <w14:textFill>
            <w14:solidFill>
              <w14:schemeClr w14:val="tx1"/>
            </w14:solidFill>
          </w14:textFill>
        </w:rPr>
        <w:t>标的情况介绍来源于</w:t>
      </w:r>
      <w:r>
        <w:rPr>
          <w:rFonts w:hint="eastAsia" w:ascii="仿宋" w:hAnsi="仿宋" w:eastAsia="仿宋" w:cs="仿宋"/>
          <w:color w:val="000000" w:themeColor="text1"/>
          <w:kern w:val="0"/>
          <w:sz w:val="24"/>
          <w:szCs w:val="24"/>
          <w:lang w:eastAsia="zh-CN"/>
          <w14:textFill>
            <w14:solidFill>
              <w14:schemeClr w14:val="tx1"/>
            </w14:solidFill>
          </w14:textFill>
        </w:rPr>
        <w:t>《</w:t>
      </w:r>
      <w:r>
        <w:rPr>
          <w:rFonts w:hint="eastAsia" w:ascii="仿宋" w:hAnsi="仿宋" w:eastAsia="仿宋" w:cs="仿宋"/>
          <w:color w:val="000000" w:themeColor="text1"/>
          <w:kern w:val="0"/>
          <w:sz w:val="24"/>
          <w:szCs w:val="24"/>
          <w:lang w:val="en-US" w:eastAsia="zh-CN"/>
          <w14:textFill>
            <w14:solidFill>
              <w14:schemeClr w14:val="tx1"/>
            </w14:solidFill>
          </w14:textFill>
        </w:rPr>
        <w:t>固定资产-机器设备评估明细表》及《存货-原材料评估明细表》</w:t>
      </w:r>
      <w:r>
        <w:rPr>
          <w:rFonts w:hint="eastAsia" w:ascii="仿宋" w:hAnsi="仿宋" w:eastAsia="仿宋" w:cs="仿宋"/>
          <w:color w:val="000000" w:themeColor="text1"/>
          <w:kern w:val="0"/>
          <w:sz w:val="24"/>
          <w:szCs w:val="24"/>
          <w14:textFill>
            <w14:solidFill>
              <w14:schemeClr w14:val="tx1"/>
            </w14:solidFill>
          </w14:textFill>
        </w:rPr>
        <w:t>。标的所载信息仅供参考，拍卖资产以现场实物状态</w:t>
      </w:r>
      <w:r>
        <w:rPr>
          <w:rFonts w:hint="eastAsia" w:ascii="仿宋" w:hAnsi="仿宋" w:eastAsia="仿宋" w:cs="仿宋"/>
          <w:color w:val="000000" w:themeColor="text1"/>
          <w:kern w:val="0"/>
          <w:sz w:val="24"/>
          <w:szCs w:val="24"/>
          <w:lang w:val="en-US" w:eastAsia="zh-CN"/>
          <w14:textFill>
            <w14:solidFill>
              <w14:schemeClr w14:val="tx1"/>
            </w14:solidFill>
          </w14:textFill>
        </w:rPr>
        <w:t>和车管所确定的登记证</w:t>
      </w:r>
      <w:r>
        <w:rPr>
          <w:rFonts w:hint="eastAsia" w:ascii="仿宋" w:hAnsi="仿宋" w:eastAsia="仿宋" w:cs="仿宋"/>
          <w:color w:val="000000" w:themeColor="text1"/>
          <w:kern w:val="0"/>
          <w:sz w:val="24"/>
          <w:szCs w:val="24"/>
          <w14:textFill>
            <w14:solidFill>
              <w14:schemeClr w14:val="tx1"/>
            </w14:solidFill>
          </w14:textFill>
        </w:rPr>
        <w:t>为准，故请有意购买者务必实地看样并咨询相关部门，拍卖标的资产以拍卖成交后现场交付为准。交付时若标的信息与描述时不符，成交价不作调整。</w:t>
      </w:r>
    </w:p>
    <w:p w14:paraId="7B09B3BE">
      <w:pPr>
        <w:keepNext w:val="0"/>
        <w:keepLines w:val="0"/>
        <w:pageBreakBefore w:val="0"/>
        <w:kinsoku/>
        <w:wordWrap/>
        <w:overflowPunct/>
        <w:topLinePunct w:val="0"/>
        <w:autoSpaceDE/>
        <w:autoSpaceDN/>
        <w:bidi w:val="0"/>
        <w:adjustRightInd/>
        <w:snapToGrid/>
        <w:spacing w:line="420" w:lineRule="exact"/>
        <w:ind w:firstLine="482" w:firstLineChars="200"/>
        <w:jc w:val="left"/>
        <w:textAlignment w:val="auto"/>
        <w:rPr>
          <w:rFonts w:hint="eastAsia" w:ascii="仿宋" w:hAnsi="仿宋" w:eastAsia="仿宋" w:cs="仿宋"/>
          <w:b/>
          <w:bCs/>
          <w:color w:val="000000" w:themeColor="text1"/>
          <w:kern w:val="0"/>
          <w:sz w:val="24"/>
          <w:szCs w:val="24"/>
          <w14:textFill>
            <w14:solidFill>
              <w14:schemeClr w14:val="tx1"/>
            </w14:solidFill>
          </w14:textFill>
        </w:rPr>
      </w:pPr>
      <w:r>
        <w:rPr>
          <w:rFonts w:hint="eastAsia" w:ascii="仿宋" w:hAnsi="仿宋" w:eastAsia="仿宋" w:cs="仿宋"/>
          <w:b/>
          <w:bCs/>
          <w:color w:val="000000" w:themeColor="text1"/>
          <w:kern w:val="0"/>
          <w:sz w:val="24"/>
          <w:szCs w:val="24"/>
          <w:lang w:val="en-US" w:eastAsia="zh-CN"/>
          <w14:textFill>
            <w14:solidFill>
              <w14:schemeClr w14:val="tx1"/>
            </w14:solidFill>
          </w14:textFill>
        </w:rPr>
        <w:t>一、</w:t>
      </w:r>
      <w:r>
        <w:rPr>
          <w:rFonts w:hint="eastAsia" w:ascii="仿宋" w:hAnsi="仿宋" w:eastAsia="仿宋" w:cs="仿宋"/>
          <w:b/>
          <w:bCs/>
          <w:color w:val="000000" w:themeColor="text1"/>
          <w:kern w:val="0"/>
          <w:sz w:val="24"/>
          <w:szCs w:val="24"/>
          <w14:textFill>
            <w14:solidFill>
              <w14:schemeClr w14:val="tx1"/>
            </w14:solidFill>
          </w14:textFill>
        </w:rPr>
        <w:t>拍卖标的物情况简介</w:t>
      </w:r>
    </w:p>
    <w:p w14:paraId="678BC6E1">
      <w:pPr>
        <w:keepNext w:val="0"/>
        <w:keepLines w:val="0"/>
        <w:pageBreakBefore w:val="0"/>
        <w:kinsoku/>
        <w:wordWrap/>
        <w:overflowPunct/>
        <w:topLinePunct w:val="0"/>
        <w:autoSpaceDE/>
        <w:autoSpaceDN/>
        <w:bidi w:val="0"/>
        <w:adjustRightInd/>
        <w:snapToGrid/>
        <w:spacing w:line="420" w:lineRule="exact"/>
        <w:ind w:firstLine="482" w:firstLineChars="200"/>
        <w:jc w:val="left"/>
        <w:textAlignment w:val="auto"/>
        <w:rPr>
          <w:rFonts w:hint="default" w:ascii="仿宋" w:hAnsi="仿宋" w:eastAsia="仿宋" w:cs="仿宋"/>
          <w:b/>
          <w:color w:val="000000" w:themeColor="text1"/>
          <w:kern w:val="0"/>
          <w:sz w:val="24"/>
          <w:szCs w:val="24"/>
          <w:lang w:val="en-US" w:eastAsia="zh-CN"/>
          <w14:textFill>
            <w14:solidFill>
              <w14:schemeClr w14:val="tx1"/>
            </w14:solidFill>
          </w14:textFill>
        </w:rPr>
      </w:pPr>
      <w:r>
        <w:rPr>
          <w:rFonts w:hint="eastAsia" w:ascii="仿宋" w:hAnsi="仿宋" w:eastAsia="仿宋" w:cs="仿宋"/>
          <w:b/>
          <w:bCs/>
          <w:color w:val="000000" w:themeColor="text1"/>
          <w:kern w:val="0"/>
          <w:sz w:val="24"/>
          <w:szCs w:val="24"/>
          <w14:textFill>
            <w14:solidFill>
              <w14:schemeClr w14:val="tx1"/>
            </w14:solidFill>
          </w14:textFill>
        </w:rPr>
        <w:t>（一）标的物名称：</w:t>
      </w:r>
      <w:r>
        <w:rPr>
          <w:rFonts w:hint="eastAsia" w:ascii="仿宋" w:hAnsi="仿宋" w:eastAsia="仿宋" w:cs="仿宋"/>
          <w:b/>
          <w:color w:val="000000" w:themeColor="text1"/>
          <w:kern w:val="0"/>
          <w:sz w:val="24"/>
          <w:szCs w:val="24"/>
          <w:lang w:eastAsia="zh-CN"/>
          <w14:textFill>
            <w14:solidFill>
              <w14:schemeClr w14:val="tx1"/>
            </w14:solidFill>
          </w14:textFill>
        </w:rPr>
        <w:t>重庆凯尔特机械制造有限公司</w:t>
      </w:r>
      <w:r>
        <w:rPr>
          <w:rFonts w:hint="eastAsia" w:ascii="仿宋" w:hAnsi="仿宋" w:eastAsia="仿宋" w:cs="仿宋"/>
          <w:b/>
          <w:color w:val="000000" w:themeColor="text1"/>
          <w:kern w:val="0"/>
          <w:sz w:val="24"/>
          <w:szCs w:val="24"/>
          <w:lang w:val="en-US" w:eastAsia="zh-CN"/>
          <w14:textFill>
            <w14:solidFill>
              <w14:schemeClr w14:val="tx1"/>
            </w14:solidFill>
          </w14:textFill>
        </w:rPr>
        <w:t>名下子公司重庆凯能辉新能源科技有限公司</w:t>
      </w:r>
      <w:r>
        <w:rPr>
          <w:rFonts w:hint="eastAsia" w:ascii="仿宋" w:hAnsi="仿宋" w:eastAsia="仿宋" w:cs="仿宋"/>
          <w:b/>
          <w:color w:val="000000" w:themeColor="text1"/>
          <w:kern w:val="0"/>
          <w:sz w:val="24"/>
          <w:szCs w:val="24"/>
          <w14:textFill>
            <w14:solidFill>
              <w14:schemeClr w14:val="tx1"/>
            </w14:solidFill>
          </w14:textFill>
        </w:rPr>
        <w:t>所有的</w:t>
      </w:r>
      <w:r>
        <w:rPr>
          <w:rFonts w:hint="eastAsia" w:ascii="仿宋" w:hAnsi="仿宋" w:eastAsia="仿宋" w:cs="仿宋"/>
          <w:b/>
          <w:color w:val="000000" w:themeColor="text1"/>
          <w:kern w:val="0"/>
          <w:sz w:val="24"/>
          <w:szCs w:val="24"/>
          <w:lang w:val="en-US" w:eastAsia="zh-CN"/>
          <w14:textFill>
            <w14:solidFill>
              <w14:schemeClr w14:val="tx1"/>
            </w14:solidFill>
          </w14:textFill>
        </w:rPr>
        <w:t>机器设备和原材料一批</w:t>
      </w:r>
    </w:p>
    <w:p w14:paraId="6670A254">
      <w:pPr>
        <w:keepNext w:val="0"/>
        <w:keepLines w:val="0"/>
        <w:pageBreakBefore w:val="0"/>
        <w:kinsoku/>
        <w:wordWrap/>
        <w:overflowPunct/>
        <w:topLinePunct w:val="0"/>
        <w:autoSpaceDE/>
        <w:autoSpaceDN/>
        <w:bidi w:val="0"/>
        <w:adjustRightInd/>
        <w:snapToGrid/>
        <w:spacing w:line="420" w:lineRule="exact"/>
        <w:ind w:firstLine="482" w:firstLineChars="200"/>
        <w:jc w:val="left"/>
        <w:textAlignment w:val="auto"/>
        <w:rPr>
          <w:rFonts w:hint="eastAsia" w:ascii="仿宋" w:hAnsi="仿宋" w:eastAsia="仿宋" w:cs="仿宋"/>
          <w:b/>
          <w:color w:val="000000" w:themeColor="text1"/>
          <w:kern w:val="0"/>
          <w:sz w:val="24"/>
          <w:szCs w:val="24"/>
          <w14:textFill>
            <w14:solidFill>
              <w14:schemeClr w14:val="tx1"/>
            </w14:solidFill>
          </w14:textFill>
        </w:rPr>
      </w:pPr>
      <w:r>
        <w:rPr>
          <w:rFonts w:hint="eastAsia" w:ascii="仿宋" w:hAnsi="仿宋" w:eastAsia="仿宋" w:cs="仿宋"/>
          <w:b/>
          <w:color w:val="000000" w:themeColor="text1"/>
          <w:kern w:val="0"/>
          <w:sz w:val="24"/>
          <w:szCs w:val="24"/>
          <w14:textFill>
            <w14:solidFill>
              <w14:schemeClr w14:val="tx1"/>
            </w14:solidFill>
          </w14:textFill>
        </w:rPr>
        <w:t>（二）标的物简介</w:t>
      </w:r>
    </w:p>
    <w:p w14:paraId="585839F2">
      <w:pPr>
        <w:pStyle w:val="7"/>
        <w:keepNext w:val="0"/>
        <w:keepLines w:val="0"/>
        <w:pageBreakBefore w:val="0"/>
        <w:kinsoku/>
        <w:wordWrap/>
        <w:overflowPunct/>
        <w:topLinePunct w:val="0"/>
        <w:autoSpaceDE/>
        <w:autoSpaceDN/>
        <w:bidi w:val="0"/>
        <w:adjustRightInd/>
        <w:snapToGrid/>
        <w:spacing w:before="0" w:beforeAutospacing="0" w:after="0" w:afterAutospacing="0" w:line="420" w:lineRule="exact"/>
        <w:ind w:firstLine="480" w:firstLineChars="200"/>
        <w:textAlignment w:val="auto"/>
        <w:rPr>
          <w:rFonts w:ascii="仿宋" w:hAnsi="仿宋" w:eastAsia="仿宋" w:cs="Helvetica"/>
          <w:color w:val="666666"/>
          <w:sz w:val="21"/>
          <w:szCs w:val="21"/>
        </w:rPr>
      </w:pPr>
      <w:r>
        <w:rPr>
          <w:rFonts w:hint="eastAsia" w:ascii="仿宋" w:hAnsi="仿宋" w:eastAsia="仿宋" w:cs="Helvetica"/>
          <w:color w:val="000000"/>
          <w:lang w:val="en-US" w:eastAsia="zh-CN"/>
        </w:rPr>
        <w:t>拍卖</w:t>
      </w:r>
      <w:r>
        <w:rPr>
          <w:rFonts w:ascii="仿宋" w:hAnsi="仿宋" w:eastAsia="仿宋" w:cs="Helvetica"/>
          <w:color w:val="000000"/>
        </w:rPr>
        <w:t>标的物位于重庆市</w:t>
      </w:r>
      <w:r>
        <w:rPr>
          <w:rFonts w:hint="eastAsia" w:ascii="仿宋" w:hAnsi="仿宋" w:eastAsia="仿宋" w:cs="Helvetica"/>
          <w:color w:val="000000"/>
          <w:lang w:val="en-US" w:eastAsia="zh-CN"/>
        </w:rPr>
        <w:t>北碚区蔡家岗镇嘉德大道1号厂房内</w:t>
      </w:r>
      <w:r>
        <w:rPr>
          <w:rFonts w:ascii="仿宋" w:hAnsi="仿宋" w:eastAsia="仿宋" w:cs="Helvetica"/>
          <w:color w:val="000000"/>
        </w:rPr>
        <w:t>，主要为</w:t>
      </w:r>
      <w:r>
        <w:rPr>
          <w:rFonts w:hint="eastAsia" w:ascii="仿宋" w:hAnsi="仿宋" w:eastAsia="仿宋" w:cs="Helvetica"/>
          <w:color w:val="000000"/>
          <w:lang w:val="en-US" w:eastAsia="zh-CN"/>
        </w:rPr>
        <w:t>原材料和机器设备</w:t>
      </w:r>
      <w:r>
        <w:rPr>
          <w:rFonts w:ascii="仿宋" w:hAnsi="仿宋" w:eastAsia="仿宋" w:cs="Helvetica"/>
          <w:color w:val="000000"/>
        </w:rPr>
        <w:t>，共计</w:t>
      </w:r>
      <w:r>
        <w:rPr>
          <w:rFonts w:hint="eastAsia" w:ascii="仿宋" w:hAnsi="仿宋" w:eastAsia="仿宋" w:cs="Helvetica"/>
          <w:color w:val="000000"/>
          <w:lang w:val="en-US" w:eastAsia="zh-CN"/>
        </w:rPr>
        <w:t>18</w:t>
      </w:r>
      <w:r>
        <w:rPr>
          <w:rFonts w:ascii="仿宋" w:hAnsi="仿宋" w:eastAsia="仿宋" w:cs="Helvetica"/>
          <w:color w:val="000000"/>
        </w:rPr>
        <w:t>项，目前均闲置，维护状况一般，具体</w:t>
      </w:r>
      <w:r>
        <w:rPr>
          <w:rFonts w:hint="eastAsia" w:ascii="仿宋" w:hAnsi="仿宋" w:eastAsia="仿宋" w:cs="Helvetica"/>
          <w:color w:val="000000"/>
          <w:lang w:val="en-US" w:eastAsia="zh-CN"/>
        </w:rPr>
        <w:t>规格型号、数量等</w:t>
      </w:r>
      <w:r>
        <w:rPr>
          <w:rFonts w:hint="eastAsia" w:ascii="仿宋" w:hAnsi="仿宋" w:eastAsia="仿宋" w:cs="Helvetica"/>
          <w:color w:val="000000"/>
        </w:rPr>
        <w:t>详见</w:t>
      </w:r>
      <w:r>
        <w:rPr>
          <w:rFonts w:ascii="仿宋" w:hAnsi="仿宋" w:eastAsia="仿宋" w:cs="Helvetica"/>
          <w:color w:val="000000"/>
        </w:rPr>
        <w:t>附件：</w:t>
      </w:r>
      <w:r>
        <w:rPr>
          <w:rFonts w:hint="eastAsia" w:ascii="仿宋" w:hAnsi="仿宋" w:eastAsia="仿宋" w:cs="Helvetica"/>
          <w:color w:val="000000"/>
          <w:lang w:val="en-US" w:eastAsia="zh-CN"/>
        </w:rPr>
        <w:t>原材料和设备评估明细表</w:t>
      </w:r>
      <w:r>
        <w:rPr>
          <w:rFonts w:ascii="仿宋" w:hAnsi="仿宋" w:eastAsia="仿宋" w:cs="Helvetica"/>
          <w:color w:val="000000"/>
        </w:rPr>
        <w:t>。</w:t>
      </w:r>
    </w:p>
    <w:p w14:paraId="5E35543C">
      <w:pPr>
        <w:keepNext w:val="0"/>
        <w:keepLines w:val="0"/>
        <w:pageBreakBefore w:val="0"/>
        <w:widowControl/>
        <w:kinsoku/>
        <w:wordWrap/>
        <w:overflowPunct/>
        <w:topLinePunct w:val="0"/>
        <w:autoSpaceDE/>
        <w:autoSpaceDN/>
        <w:bidi w:val="0"/>
        <w:adjustRightInd/>
        <w:snapToGrid/>
        <w:spacing w:line="420" w:lineRule="exact"/>
        <w:ind w:firstLine="482" w:firstLineChars="200"/>
        <w:jc w:val="left"/>
        <w:textAlignment w:val="auto"/>
        <w:rPr>
          <w:rFonts w:hint="default" w:ascii="仿宋" w:hAnsi="仿宋" w:eastAsia="仿宋" w:cs="仿宋"/>
          <w:b/>
          <w:bCs/>
          <w:color w:val="000000" w:themeColor="text1"/>
          <w:kern w:val="0"/>
          <w:sz w:val="24"/>
          <w:szCs w:val="24"/>
          <w:lang w:val="en-US" w:eastAsia="zh-CN"/>
          <w14:textFill>
            <w14:solidFill>
              <w14:schemeClr w14:val="tx1"/>
            </w14:solidFill>
          </w14:textFill>
        </w:rPr>
      </w:pPr>
      <w:r>
        <w:rPr>
          <w:rFonts w:hint="eastAsia" w:ascii="仿宋" w:hAnsi="仿宋" w:eastAsia="仿宋" w:cs="仿宋"/>
          <w:b/>
          <w:bCs/>
          <w:color w:val="000000" w:themeColor="text1"/>
          <w:kern w:val="0"/>
          <w:sz w:val="24"/>
          <w:szCs w:val="24"/>
          <w14:textFill>
            <w14:solidFill>
              <w14:schemeClr w14:val="tx1"/>
            </w14:solidFill>
          </w14:textFill>
        </w:rPr>
        <w:t>（</w:t>
      </w:r>
      <w:r>
        <w:rPr>
          <w:rFonts w:hint="eastAsia" w:ascii="仿宋" w:hAnsi="仿宋" w:eastAsia="仿宋" w:cs="仿宋"/>
          <w:b/>
          <w:bCs/>
          <w:color w:val="000000" w:themeColor="text1"/>
          <w:kern w:val="0"/>
          <w:sz w:val="24"/>
          <w:szCs w:val="24"/>
          <w:lang w:val="en-US" w:eastAsia="zh-CN"/>
          <w14:textFill>
            <w14:solidFill>
              <w14:schemeClr w14:val="tx1"/>
            </w14:solidFill>
          </w14:textFill>
        </w:rPr>
        <w:t>三</w:t>
      </w:r>
      <w:r>
        <w:rPr>
          <w:rFonts w:hint="eastAsia" w:ascii="仿宋" w:hAnsi="仿宋" w:eastAsia="仿宋" w:cs="仿宋"/>
          <w:b/>
          <w:bCs/>
          <w:color w:val="000000" w:themeColor="text1"/>
          <w:kern w:val="0"/>
          <w:sz w:val="24"/>
          <w:szCs w:val="24"/>
          <w14:textFill>
            <w14:solidFill>
              <w14:schemeClr w14:val="tx1"/>
            </w14:solidFill>
          </w14:textFill>
        </w:rPr>
        <w:t>）</w:t>
      </w:r>
      <w:r>
        <w:rPr>
          <w:rFonts w:hint="eastAsia" w:ascii="仿宋" w:hAnsi="仿宋" w:eastAsia="仿宋" w:cs="仿宋"/>
          <w:b/>
          <w:bCs/>
          <w:color w:val="000000" w:themeColor="text1"/>
          <w:kern w:val="0"/>
          <w:sz w:val="24"/>
          <w:szCs w:val="24"/>
          <w:lang w:val="en-US" w:eastAsia="zh-CN"/>
          <w14:textFill>
            <w14:solidFill>
              <w14:schemeClr w14:val="tx1"/>
            </w14:solidFill>
          </w14:textFill>
        </w:rPr>
        <w:t>标的物的现状：</w:t>
      </w:r>
      <w:r>
        <w:rPr>
          <w:rFonts w:ascii="仿宋" w:hAnsi="仿宋" w:eastAsia="仿宋" w:cs="Helvetica"/>
          <w:color w:val="000000"/>
          <w:kern w:val="0"/>
          <w:sz w:val="24"/>
          <w:szCs w:val="24"/>
          <w:lang w:val="en-US" w:eastAsia="zh-CN" w:bidi="ar-SA"/>
        </w:rPr>
        <w:t>经</w:t>
      </w:r>
      <w:r>
        <w:rPr>
          <w:rFonts w:hint="default" w:ascii="仿宋" w:hAnsi="仿宋" w:eastAsia="仿宋" w:cs="Helvetica"/>
          <w:color w:val="000000"/>
          <w:kern w:val="0"/>
          <w:sz w:val="24"/>
          <w:szCs w:val="24"/>
          <w:lang w:val="en-US" w:eastAsia="zh-CN" w:bidi="ar-SA"/>
        </w:rPr>
        <w:t>2025年</w:t>
      </w:r>
      <w:r>
        <w:rPr>
          <w:rFonts w:hint="eastAsia" w:ascii="仿宋" w:hAnsi="仿宋" w:eastAsia="仿宋" w:cs="Helvetica"/>
          <w:color w:val="000000"/>
          <w:kern w:val="0"/>
          <w:sz w:val="24"/>
          <w:szCs w:val="24"/>
          <w:lang w:val="en-US" w:eastAsia="zh-CN" w:bidi="ar-SA"/>
        </w:rPr>
        <w:t>10</w:t>
      </w:r>
      <w:r>
        <w:rPr>
          <w:rFonts w:hint="default" w:ascii="仿宋" w:hAnsi="仿宋" w:eastAsia="仿宋" w:cs="Helvetica"/>
          <w:color w:val="000000"/>
          <w:kern w:val="0"/>
          <w:sz w:val="24"/>
          <w:szCs w:val="24"/>
          <w:lang w:val="en-US" w:eastAsia="zh-CN" w:bidi="ar-SA"/>
        </w:rPr>
        <w:t>月</w:t>
      </w:r>
      <w:r>
        <w:rPr>
          <w:rFonts w:hint="eastAsia" w:ascii="仿宋" w:hAnsi="仿宋" w:eastAsia="仿宋" w:cs="Helvetica"/>
          <w:color w:val="000000"/>
          <w:kern w:val="0"/>
          <w:sz w:val="24"/>
          <w:szCs w:val="24"/>
          <w:lang w:val="en-US" w:eastAsia="zh-CN" w:bidi="ar-SA"/>
        </w:rPr>
        <w:t>28</w:t>
      </w:r>
      <w:r>
        <w:rPr>
          <w:rFonts w:hint="default" w:ascii="仿宋" w:hAnsi="仿宋" w:eastAsia="仿宋" w:cs="Helvetica"/>
          <w:color w:val="000000"/>
          <w:kern w:val="0"/>
          <w:sz w:val="24"/>
          <w:szCs w:val="24"/>
          <w:lang w:val="en-US" w:eastAsia="zh-CN" w:bidi="ar-SA"/>
        </w:rPr>
        <w:t>日现场查勘</w:t>
      </w:r>
      <w:r>
        <w:rPr>
          <w:rFonts w:hint="eastAsia" w:ascii="仿宋" w:hAnsi="仿宋" w:eastAsia="仿宋" w:cs="Helvetica"/>
          <w:color w:val="000000"/>
          <w:kern w:val="0"/>
          <w:sz w:val="24"/>
          <w:szCs w:val="24"/>
          <w:lang w:val="en-US" w:eastAsia="zh-CN" w:bidi="ar-SA"/>
        </w:rPr>
        <w:t>确认，上述</w:t>
      </w:r>
      <w:r>
        <w:rPr>
          <w:rFonts w:hint="default" w:ascii="仿宋" w:hAnsi="仿宋" w:eastAsia="仿宋" w:cs="Helvetica"/>
          <w:color w:val="000000"/>
          <w:kern w:val="0"/>
          <w:sz w:val="24"/>
          <w:szCs w:val="24"/>
          <w:lang w:val="en-US" w:eastAsia="zh-CN" w:bidi="ar-SA"/>
        </w:rPr>
        <w:t>标的物</w:t>
      </w:r>
      <w:r>
        <w:rPr>
          <w:rFonts w:hint="eastAsia" w:ascii="仿宋" w:hAnsi="仿宋" w:eastAsia="仿宋" w:cs="Helvetica"/>
          <w:color w:val="000000"/>
          <w:kern w:val="0"/>
          <w:sz w:val="24"/>
          <w:szCs w:val="24"/>
          <w:lang w:val="en-US" w:eastAsia="zh-CN" w:bidi="ar-SA"/>
        </w:rPr>
        <w:t>原属</w:t>
      </w:r>
      <w:r>
        <w:rPr>
          <w:rFonts w:hint="default" w:ascii="仿宋" w:hAnsi="仿宋" w:eastAsia="仿宋" w:cs="Helvetica"/>
          <w:color w:val="000000"/>
          <w:kern w:val="0"/>
          <w:sz w:val="24"/>
          <w:szCs w:val="24"/>
          <w:lang w:val="en-US" w:eastAsia="zh-CN" w:bidi="ar-SA"/>
        </w:rPr>
        <w:t>重庆凯能辉新能源科技有限公司</w:t>
      </w:r>
      <w:r>
        <w:rPr>
          <w:rFonts w:hint="eastAsia" w:ascii="仿宋" w:hAnsi="仿宋" w:eastAsia="仿宋" w:cs="Helvetica"/>
          <w:color w:val="000000"/>
          <w:kern w:val="0"/>
          <w:sz w:val="24"/>
          <w:szCs w:val="24"/>
          <w:lang w:val="en-US" w:eastAsia="zh-CN" w:bidi="ar-SA"/>
        </w:rPr>
        <w:t>，目前均处于闲置未投入使用状态，无专门人员进行日常维护与保养，整体维护状况一般，可能存在设备老化、零件锈蚀、原材料损耗等情况。</w:t>
      </w:r>
    </w:p>
    <w:p w14:paraId="5F1813EC">
      <w:pPr>
        <w:keepNext w:val="0"/>
        <w:keepLines w:val="0"/>
        <w:pageBreakBefore w:val="0"/>
        <w:widowControl/>
        <w:kinsoku/>
        <w:wordWrap/>
        <w:overflowPunct/>
        <w:topLinePunct w:val="0"/>
        <w:autoSpaceDE/>
        <w:autoSpaceDN/>
        <w:bidi w:val="0"/>
        <w:adjustRightInd/>
        <w:snapToGrid/>
        <w:spacing w:line="420" w:lineRule="exact"/>
        <w:ind w:firstLine="482" w:firstLineChars="200"/>
        <w:jc w:val="left"/>
        <w:textAlignment w:val="auto"/>
        <w:rPr>
          <w:rFonts w:hint="eastAsia" w:ascii="仿宋" w:hAnsi="仿宋" w:eastAsia="仿宋" w:cs="仿宋"/>
          <w:b/>
          <w:bCs/>
          <w:color w:val="000000" w:themeColor="text1"/>
          <w:kern w:val="0"/>
          <w:sz w:val="24"/>
          <w:szCs w:val="24"/>
          <w14:textFill>
            <w14:solidFill>
              <w14:schemeClr w14:val="tx1"/>
            </w14:solidFill>
          </w14:textFill>
        </w:rPr>
      </w:pPr>
      <w:r>
        <w:rPr>
          <w:rFonts w:hint="eastAsia" w:ascii="仿宋" w:hAnsi="仿宋" w:eastAsia="仿宋" w:cs="仿宋"/>
          <w:b/>
          <w:bCs/>
          <w:color w:val="000000" w:themeColor="text1"/>
          <w:kern w:val="0"/>
          <w:sz w:val="24"/>
          <w:szCs w:val="24"/>
          <w:lang w:eastAsia="zh-CN"/>
          <w14:textFill>
            <w14:solidFill>
              <w14:schemeClr w14:val="tx1"/>
            </w14:solidFill>
          </w14:textFill>
        </w:rPr>
        <w:t>（</w:t>
      </w:r>
      <w:r>
        <w:rPr>
          <w:rFonts w:hint="eastAsia" w:ascii="仿宋" w:hAnsi="仿宋" w:eastAsia="仿宋" w:cs="仿宋"/>
          <w:b/>
          <w:bCs/>
          <w:color w:val="000000" w:themeColor="text1"/>
          <w:kern w:val="0"/>
          <w:sz w:val="24"/>
          <w:szCs w:val="24"/>
          <w:lang w:val="en-US" w:eastAsia="zh-CN"/>
          <w14:textFill>
            <w14:solidFill>
              <w14:schemeClr w14:val="tx1"/>
            </w14:solidFill>
          </w14:textFill>
        </w:rPr>
        <w:t>四</w:t>
      </w:r>
      <w:r>
        <w:rPr>
          <w:rFonts w:hint="eastAsia" w:ascii="仿宋" w:hAnsi="仿宋" w:eastAsia="仿宋" w:cs="仿宋"/>
          <w:b/>
          <w:bCs/>
          <w:color w:val="000000" w:themeColor="text1"/>
          <w:kern w:val="0"/>
          <w:sz w:val="24"/>
          <w:szCs w:val="24"/>
          <w:lang w:eastAsia="zh-CN"/>
          <w14:textFill>
            <w14:solidFill>
              <w14:schemeClr w14:val="tx1"/>
            </w14:solidFill>
          </w14:textFill>
        </w:rPr>
        <w:t>）</w:t>
      </w:r>
      <w:r>
        <w:rPr>
          <w:rFonts w:hint="eastAsia" w:ascii="仿宋" w:hAnsi="仿宋" w:eastAsia="仿宋" w:cs="仿宋"/>
          <w:b/>
          <w:bCs/>
          <w:color w:val="000000" w:themeColor="text1"/>
          <w:kern w:val="0"/>
          <w:sz w:val="24"/>
          <w:szCs w:val="24"/>
          <w14:textFill>
            <w14:solidFill>
              <w14:schemeClr w14:val="tx1"/>
            </w14:solidFill>
          </w14:textFill>
        </w:rPr>
        <w:t>标的物的瑕疵</w:t>
      </w:r>
    </w:p>
    <w:p w14:paraId="1953DB68">
      <w:pPr>
        <w:keepNext w:val="0"/>
        <w:keepLines w:val="0"/>
        <w:pageBreakBefore w:val="0"/>
        <w:kinsoku/>
        <w:wordWrap/>
        <w:overflowPunct/>
        <w:topLinePunct w:val="0"/>
        <w:autoSpaceDE/>
        <w:autoSpaceDN/>
        <w:bidi w:val="0"/>
        <w:adjustRightInd/>
        <w:snapToGrid/>
        <w:spacing w:line="420" w:lineRule="exact"/>
        <w:ind w:firstLine="480" w:firstLineChars="200"/>
        <w:jc w:val="left"/>
        <w:textAlignment w:val="auto"/>
        <w:rPr>
          <w:rFonts w:hint="default" w:ascii="仿宋" w:hAnsi="仿宋" w:eastAsia="仿宋" w:cs="仿宋"/>
          <w:color w:val="000000" w:themeColor="text1"/>
          <w:kern w:val="0"/>
          <w:sz w:val="24"/>
          <w:szCs w:val="24"/>
          <w14:textFill>
            <w14:solidFill>
              <w14:schemeClr w14:val="tx1"/>
            </w14:solidFill>
          </w14:textFill>
        </w:rPr>
      </w:pPr>
      <w:r>
        <w:rPr>
          <w:rFonts w:hint="default" w:ascii="仿宋" w:hAnsi="仿宋" w:eastAsia="仿宋" w:cs="仿宋"/>
          <w:color w:val="000000" w:themeColor="text1"/>
          <w:kern w:val="0"/>
          <w:sz w:val="24"/>
          <w:szCs w:val="24"/>
          <w14:textFill>
            <w14:solidFill>
              <w14:schemeClr w14:val="tx1"/>
            </w14:solidFill>
          </w14:textFill>
        </w:rPr>
        <w:t>本次拍卖标的物存在以下提及及未提及的全部瑕疵，相关瑕疵需由竞买人在拍卖开始前自行了解、查验，并独立评估风险，一旦参与竞买，即视为认可并承担所有瑕疵相关责任。</w:t>
      </w:r>
    </w:p>
    <w:p w14:paraId="07CF9713">
      <w:pPr>
        <w:keepNext w:val="0"/>
        <w:keepLines w:val="0"/>
        <w:pageBreakBefore w:val="0"/>
        <w:kinsoku/>
        <w:wordWrap/>
        <w:overflowPunct/>
        <w:topLinePunct w:val="0"/>
        <w:autoSpaceDE/>
        <w:autoSpaceDN/>
        <w:bidi w:val="0"/>
        <w:adjustRightInd/>
        <w:snapToGrid/>
        <w:spacing w:line="420" w:lineRule="exact"/>
        <w:ind w:firstLine="480" w:firstLineChars="200"/>
        <w:jc w:val="left"/>
        <w:textAlignment w:val="auto"/>
        <w:rPr>
          <w:rFonts w:hint="default" w:ascii="仿宋" w:hAnsi="仿宋" w:eastAsia="仿宋" w:cs="仿宋"/>
          <w:color w:val="000000" w:themeColor="text1"/>
          <w:kern w:val="0"/>
          <w:sz w:val="24"/>
          <w:szCs w:val="24"/>
          <w14:textFill>
            <w14:solidFill>
              <w14:schemeClr w14:val="tx1"/>
            </w14:solidFill>
          </w14:textFill>
        </w:rPr>
      </w:pPr>
      <w:r>
        <w:rPr>
          <w:rFonts w:hint="default" w:ascii="仿宋" w:hAnsi="仿宋" w:eastAsia="仿宋" w:cs="仿宋"/>
          <w:color w:val="000000" w:themeColor="text1"/>
          <w:kern w:val="0"/>
          <w:sz w:val="24"/>
          <w:szCs w:val="24"/>
          <w14:textFill>
            <w14:solidFill>
              <w14:schemeClr w14:val="tx1"/>
            </w14:solidFill>
          </w14:textFill>
        </w:rPr>
        <w:t>1. 本次拍卖标的物按现状拍卖，成交后买受人需按标的物交付时的实物现状及权利现状取得资产，自行承担所有权利瑕疵、质量瑕疵，以及拍卖信息与设备、原材料现状不一致等风险，拍卖成交价不作任何调整。</w:t>
      </w:r>
    </w:p>
    <w:p w14:paraId="53DA3FCB">
      <w:pPr>
        <w:keepNext w:val="0"/>
        <w:keepLines w:val="0"/>
        <w:pageBreakBefore w:val="0"/>
        <w:kinsoku/>
        <w:wordWrap/>
        <w:overflowPunct/>
        <w:topLinePunct w:val="0"/>
        <w:autoSpaceDE/>
        <w:autoSpaceDN/>
        <w:bidi w:val="0"/>
        <w:adjustRightInd/>
        <w:snapToGrid/>
        <w:spacing w:line="420" w:lineRule="exact"/>
        <w:ind w:firstLine="480" w:firstLineChars="200"/>
        <w:jc w:val="left"/>
        <w:textAlignment w:val="auto"/>
        <w:rPr>
          <w:rFonts w:hint="default" w:ascii="仿宋" w:hAnsi="仿宋" w:eastAsia="仿宋" w:cs="仿宋"/>
          <w:color w:val="000000" w:themeColor="text1"/>
          <w:kern w:val="0"/>
          <w:sz w:val="24"/>
          <w:szCs w:val="24"/>
          <w14:textFill>
            <w14:solidFill>
              <w14:schemeClr w14:val="tx1"/>
            </w14:solidFill>
          </w14:textFill>
        </w:rPr>
      </w:pPr>
      <w:r>
        <w:rPr>
          <w:rFonts w:hint="default" w:ascii="仿宋" w:hAnsi="仿宋" w:eastAsia="仿宋" w:cs="仿宋"/>
          <w:color w:val="000000" w:themeColor="text1"/>
          <w:kern w:val="0"/>
          <w:sz w:val="24"/>
          <w:szCs w:val="24"/>
          <w14:textFill>
            <w14:solidFill>
              <w14:schemeClr w14:val="tx1"/>
            </w14:solidFill>
          </w14:textFill>
        </w:rPr>
        <w:t>2. 标的物涉及的机器设备、原材料，其名称、数量、规格型号、新旧程度</w:t>
      </w:r>
      <w:r>
        <w:rPr>
          <w:rFonts w:hint="eastAsia" w:ascii="仿宋" w:hAnsi="仿宋" w:eastAsia="仿宋" w:cs="仿宋"/>
          <w:color w:val="000000" w:themeColor="text1"/>
          <w:kern w:val="0"/>
          <w:sz w:val="24"/>
          <w:szCs w:val="24"/>
          <w:lang w:eastAsia="zh-CN"/>
          <w14:textFill>
            <w14:solidFill>
              <w14:schemeClr w14:val="tx1"/>
            </w14:solidFill>
          </w14:textFill>
        </w:rPr>
        <w:t>、</w:t>
      </w:r>
      <w:r>
        <w:rPr>
          <w:rFonts w:hint="eastAsia" w:ascii="仿宋" w:hAnsi="仿宋" w:eastAsia="仿宋" w:cs="仿宋"/>
          <w:color w:val="000000" w:themeColor="text1"/>
          <w:kern w:val="0"/>
          <w:sz w:val="24"/>
          <w:szCs w:val="24"/>
          <w:lang w:val="en-US" w:eastAsia="zh-CN"/>
          <w14:textFill>
            <w14:solidFill>
              <w14:schemeClr w14:val="tx1"/>
            </w14:solidFill>
          </w14:textFill>
        </w:rPr>
        <w:t>生产厂家</w:t>
      </w:r>
      <w:r>
        <w:rPr>
          <w:rFonts w:hint="default" w:ascii="仿宋" w:hAnsi="仿宋" w:eastAsia="仿宋" w:cs="仿宋"/>
          <w:color w:val="000000" w:themeColor="text1"/>
          <w:kern w:val="0"/>
          <w:sz w:val="24"/>
          <w:szCs w:val="24"/>
          <w14:textFill>
            <w14:solidFill>
              <w14:schemeClr w14:val="tx1"/>
            </w14:solidFill>
          </w14:textFill>
        </w:rPr>
        <w:t>及能否正常使用，均以实际交付时的现状为准。若成交后，上述信息与附件</w:t>
      </w:r>
      <w:r>
        <w:rPr>
          <w:rFonts w:hint="eastAsia" w:ascii="仿宋" w:hAnsi="仿宋" w:eastAsia="仿宋" w:cs="仿宋"/>
          <w:color w:val="000000" w:themeColor="text1"/>
          <w:kern w:val="0"/>
          <w:sz w:val="24"/>
          <w:szCs w:val="24"/>
          <w:lang w:eastAsia="zh-CN"/>
          <w14:textFill>
            <w14:solidFill>
              <w14:schemeClr w14:val="tx1"/>
            </w14:solidFill>
          </w14:textFill>
        </w:rPr>
        <w:t>《</w:t>
      </w:r>
      <w:r>
        <w:rPr>
          <w:rFonts w:hint="eastAsia" w:ascii="仿宋" w:hAnsi="仿宋" w:eastAsia="仿宋" w:cs="仿宋"/>
          <w:color w:val="000000" w:themeColor="text1"/>
          <w:kern w:val="0"/>
          <w:sz w:val="24"/>
          <w:szCs w:val="24"/>
          <w:lang w:val="en-US" w:eastAsia="zh-CN"/>
          <w14:textFill>
            <w14:solidFill>
              <w14:schemeClr w14:val="tx1"/>
            </w14:solidFill>
          </w14:textFill>
        </w:rPr>
        <w:t>固定资产-机器设备评估明细表》及《存货-原材料评估明细表》</w:t>
      </w:r>
      <w:r>
        <w:rPr>
          <w:rFonts w:hint="default" w:ascii="仿宋" w:hAnsi="仿宋" w:eastAsia="仿宋" w:cs="仿宋"/>
          <w:color w:val="000000" w:themeColor="text1"/>
          <w:kern w:val="0"/>
          <w:sz w:val="24"/>
          <w:szCs w:val="24"/>
          <w14:textFill>
            <w14:solidFill>
              <w14:schemeClr w14:val="tx1"/>
            </w14:solidFill>
          </w14:textFill>
        </w:rPr>
        <w:t>存在偏差，按实际现状交付，管理人</w:t>
      </w:r>
      <w:r>
        <w:rPr>
          <w:rFonts w:hint="eastAsia" w:ascii="仿宋" w:hAnsi="仿宋" w:eastAsia="仿宋" w:cs="仿宋"/>
          <w:color w:val="000000" w:themeColor="text1"/>
          <w:kern w:val="0"/>
          <w:sz w:val="24"/>
          <w:szCs w:val="24"/>
          <w:lang w:eastAsia="zh-CN"/>
          <w14:textFill>
            <w14:solidFill>
              <w14:schemeClr w14:val="tx1"/>
            </w14:solidFill>
          </w14:textFill>
        </w:rPr>
        <w:t>、</w:t>
      </w:r>
      <w:r>
        <w:rPr>
          <w:rFonts w:hint="eastAsia" w:ascii="仿宋" w:hAnsi="仿宋" w:eastAsia="仿宋" w:cs="仿宋"/>
          <w:color w:val="000000" w:themeColor="text1"/>
          <w:kern w:val="0"/>
          <w:sz w:val="24"/>
          <w:szCs w:val="24"/>
          <w:lang w:val="en-US" w:eastAsia="zh-CN"/>
          <w14:textFill>
            <w14:solidFill>
              <w14:schemeClr w14:val="tx1"/>
            </w14:solidFill>
          </w14:textFill>
        </w:rPr>
        <w:t>凯尔特公司及凯能辉公司</w:t>
      </w:r>
      <w:r>
        <w:rPr>
          <w:rFonts w:hint="default" w:ascii="仿宋" w:hAnsi="仿宋" w:eastAsia="仿宋" w:cs="仿宋"/>
          <w:color w:val="000000" w:themeColor="text1"/>
          <w:kern w:val="0"/>
          <w:sz w:val="24"/>
          <w:szCs w:val="24"/>
          <w14:textFill>
            <w14:solidFill>
              <w14:schemeClr w14:val="tx1"/>
            </w14:solidFill>
          </w14:textFill>
        </w:rPr>
        <w:t>不承担质量及数量瑕疵保证，相关风险与责任均由买受人自行承担</w:t>
      </w:r>
    </w:p>
    <w:p w14:paraId="35F8A53E">
      <w:pPr>
        <w:keepNext w:val="0"/>
        <w:keepLines w:val="0"/>
        <w:pageBreakBefore w:val="0"/>
        <w:kinsoku/>
        <w:wordWrap/>
        <w:overflowPunct/>
        <w:topLinePunct w:val="0"/>
        <w:autoSpaceDE/>
        <w:autoSpaceDN/>
        <w:bidi w:val="0"/>
        <w:adjustRightInd/>
        <w:snapToGrid/>
        <w:spacing w:line="420" w:lineRule="exact"/>
        <w:ind w:firstLine="480" w:firstLineChars="200"/>
        <w:jc w:val="left"/>
        <w:textAlignment w:val="auto"/>
        <w:rPr>
          <w:rFonts w:hint="default" w:ascii="仿宋" w:hAnsi="仿宋" w:eastAsia="仿宋" w:cs="仿宋"/>
          <w:color w:val="000000" w:themeColor="text1"/>
          <w:kern w:val="0"/>
          <w:sz w:val="24"/>
          <w:szCs w:val="24"/>
          <w14:textFill>
            <w14:solidFill>
              <w14:schemeClr w14:val="tx1"/>
            </w14:solidFill>
          </w14:textFill>
        </w:rPr>
      </w:pPr>
      <w:r>
        <w:rPr>
          <w:rFonts w:hint="default" w:ascii="仿宋" w:hAnsi="仿宋" w:eastAsia="仿宋" w:cs="仿宋"/>
          <w:color w:val="000000" w:themeColor="text1"/>
          <w:kern w:val="0"/>
          <w:sz w:val="24"/>
          <w:szCs w:val="24"/>
          <w14:textFill>
            <w14:solidFill>
              <w14:schemeClr w14:val="tx1"/>
            </w14:solidFill>
          </w14:textFill>
        </w:rPr>
        <w:t>3. 交付时，设备可能存在零配件缺失、无法正常启动或使用的情况，管理人</w:t>
      </w:r>
      <w:r>
        <w:rPr>
          <w:rFonts w:hint="eastAsia" w:ascii="仿宋" w:hAnsi="仿宋" w:eastAsia="仿宋" w:cs="仿宋"/>
          <w:color w:val="000000" w:themeColor="text1"/>
          <w:kern w:val="0"/>
          <w:sz w:val="24"/>
          <w:szCs w:val="24"/>
          <w:lang w:eastAsia="zh-CN"/>
          <w14:textFill>
            <w14:solidFill>
              <w14:schemeClr w14:val="tx1"/>
            </w14:solidFill>
          </w14:textFill>
        </w:rPr>
        <w:t>、</w:t>
      </w:r>
      <w:r>
        <w:rPr>
          <w:rFonts w:hint="eastAsia" w:ascii="仿宋" w:hAnsi="仿宋" w:eastAsia="仿宋" w:cs="仿宋"/>
          <w:color w:val="000000" w:themeColor="text1"/>
          <w:kern w:val="0"/>
          <w:sz w:val="24"/>
          <w:szCs w:val="24"/>
          <w:lang w:val="en-US" w:eastAsia="zh-CN"/>
          <w14:textFill>
            <w14:solidFill>
              <w14:schemeClr w14:val="tx1"/>
            </w14:solidFill>
          </w14:textFill>
        </w:rPr>
        <w:t>凯尔特公司及凯能辉公司</w:t>
      </w:r>
      <w:r>
        <w:rPr>
          <w:rFonts w:hint="default" w:ascii="仿宋" w:hAnsi="仿宋" w:eastAsia="仿宋" w:cs="仿宋"/>
          <w:color w:val="000000" w:themeColor="text1"/>
          <w:kern w:val="0"/>
          <w:sz w:val="24"/>
          <w:szCs w:val="24"/>
          <w14:textFill>
            <w14:solidFill>
              <w14:schemeClr w14:val="tx1"/>
            </w14:solidFill>
          </w14:textFill>
        </w:rPr>
        <w:t>不保证标的物的完整性、完好性、安全性，亦不提供任何售后服务，买受人需自行评估设备修复成本与使用价值。</w:t>
      </w:r>
    </w:p>
    <w:p w14:paraId="203291A5">
      <w:pPr>
        <w:keepNext w:val="0"/>
        <w:keepLines w:val="0"/>
        <w:pageBreakBefore w:val="0"/>
        <w:kinsoku/>
        <w:wordWrap/>
        <w:overflowPunct/>
        <w:topLinePunct w:val="0"/>
        <w:autoSpaceDE/>
        <w:autoSpaceDN/>
        <w:bidi w:val="0"/>
        <w:adjustRightInd/>
        <w:snapToGrid/>
        <w:spacing w:line="420" w:lineRule="exact"/>
        <w:ind w:firstLine="480" w:firstLineChars="200"/>
        <w:jc w:val="left"/>
        <w:textAlignment w:val="auto"/>
        <w:rPr>
          <w:rFonts w:hint="default" w:ascii="仿宋" w:hAnsi="仿宋" w:eastAsia="仿宋" w:cs="仿宋"/>
          <w:color w:val="000000" w:themeColor="text1"/>
          <w:kern w:val="0"/>
          <w:sz w:val="24"/>
          <w:szCs w:val="24"/>
          <w14:textFill>
            <w14:solidFill>
              <w14:schemeClr w14:val="tx1"/>
            </w14:solidFill>
          </w14:textFill>
        </w:rPr>
      </w:pPr>
      <w:r>
        <w:rPr>
          <w:rFonts w:hint="default" w:ascii="仿宋" w:hAnsi="仿宋" w:eastAsia="仿宋" w:cs="仿宋"/>
          <w:color w:val="000000" w:themeColor="text1"/>
          <w:kern w:val="0"/>
          <w:sz w:val="24"/>
          <w:szCs w:val="24"/>
          <w14:textFill>
            <w14:solidFill>
              <w14:schemeClr w14:val="tx1"/>
            </w14:solidFill>
          </w14:textFill>
        </w:rPr>
        <w:t>4. 成交后由买受人自行提货，产生的人工费、拆卸费、物流费等所有相关费用均由买受人承担；拆卸、搬运过程中的安全责任由买受人自行负责，且不得损坏工业厂房及其他设施，若造成损坏，买受人需承担修复及赔偿责任；搬运产生的各类材料、废弃物，由买受人负责清理、运输及合规处置。</w:t>
      </w:r>
    </w:p>
    <w:p w14:paraId="5347D675">
      <w:pPr>
        <w:keepNext w:val="0"/>
        <w:keepLines w:val="0"/>
        <w:pageBreakBefore w:val="0"/>
        <w:kinsoku/>
        <w:wordWrap/>
        <w:overflowPunct/>
        <w:topLinePunct w:val="0"/>
        <w:autoSpaceDE/>
        <w:autoSpaceDN/>
        <w:bidi w:val="0"/>
        <w:adjustRightInd/>
        <w:snapToGrid/>
        <w:spacing w:line="420" w:lineRule="exact"/>
        <w:ind w:firstLine="480" w:firstLineChars="200"/>
        <w:jc w:val="left"/>
        <w:textAlignment w:val="auto"/>
        <w:rPr>
          <w:rFonts w:hint="eastAsia" w:ascii="仿宋" w:hAnsi="仿宋" w:eastAsia="仿宋" w:cs="仿宋"/>
          <w:color w:val="FF0000"/>
          <w:kern w:val="0"/>
          <w:sz w:val="24"/>
          <w:szCs w:val="24"/>
          <w:lang w:eastAsia="zh-CN"/>
        </w:rPr>
      </w:pPr>
      <w:r>
        <w:rPr>
          <w:rFonts w:hint="default" w:ascii="仿宋" w:hAnsi="仿宋" w:eastAsia="仿宋" w:cs="仿宋"/>
          <w:color w:val="000000" w:themeColor="text1"/>
          <w:kern w:val="0"/>
          <w:sz w:val="24"/>
          <w:szCs w:val="24"/>
          <w14:textFill>
            <w14:solidFill>
              <w14:schemeClr w14:val="tx1"/>
            </w14:solidFill>
          </w14:textFill>
        </w:rPr>
        <w:t>5. 本公告所载标的信息仅作参考，资产范围及状态以现场实物为准。请有意竞买人务必实地看样并咨询核实，明确资产范围，成交后以管理人现场交付为准，若标的信息与公告描述不符，拍卖成交价不作调整。</w:t>
      </w:r>
    </w:p>
    <w:p w14:paraId="50F33242">
      <w:pPr>
        <w:keepNext w:val="0"/>
        <w:keepLines w:val="0"/>
        <w:pageBreakBefore w:val="0"/>
        <w:kinsoku/>
        <w:wordWrap/>
        <w:overflowPunct/>
        <w:topLinePunct w:val="0"/>
        <w:autoSpaceDE/>
        <w:autoSpaceDN/>
        <w:bidi w:val="0"/>
        <w:adjustRightInd/>
        <w:snapToGrid/>
        <w:spacing w:line="420" w:lineRule="exact"/>
        <w:ind w:firstLine="482"/>
        <w:jc w:val="left"/>
        <w:textAlignment w:val="auto"/>
        <w:rPr>
          <w:rFonts w:hint="default" w:ascii="仿宋" w:hAnsi="仿宋" w:eastAsia="仿宋" w:cs="仿宋"/>
          <w:b/>
          <w:sz w:val="24"/>
          <w:szCs w:val="24"/>
          <w:highlight w:val="yellow"/>
          <w:lang w:val="en-US" w:eastAsia="zh-CN"/>
        </w:rPr>
      </w:pPr>
      <w:r>
        <w:rPr>
          <w:rFonts w:hint="eastAsia" w:ascii="仿宋" w:hAnsi="仿宋" w:eastAsia="仿宋" w:cs="仿宋"/>
          <w:b/>
          <w:sz w:val="24"/>
          <w:szCs w:val="24"/>
          <w:highlight w:val="yellow"/>
          <w:lang w:val="en-US" w:eastAsia="zh-CN"/>
        </w:rPr>
        <w:t>二、起拍价：100583元，保证金：10058.3元，评估价值：100583元，加价幅度为500元（或整数倍）</w:t>
      </w:r>
    </w:p>
    <w:p w14:paraId="1E8C3D52">
      <w:pPr>
        <w:keepNext w:val="0"/>
        <w:keepLines w:val="0"/>
        <w:pageBreakBefore w:val="0"/>
        <w:kinsoku/>
        <w:wordWrap/>
        <w:overflowPunct/>
        <w:topLinePunct w:val="0"/>
        <w:autoSpaceDE/>
        <w:autoSpaceDN/>
        <w:bidi w:val="0"/>
        <w:adjustRightInd/>
        <w:snapToGrid/>
        <w:spacing w:line="420" w:lineRule="exact"/>
        <w:ind w:firstLine="482"/>
        <w:jc w:val="left"/>
        <w:textAlignment w:val="auto"/>
        <w:rPr>
          <w:rFonts w:hint="eastAsia" w:ascii="仿宋" w:hAnsi="仿宋" w:eastAsia="仿宋" w:cs="仿宋"/>
          <w:b/>
          <w:sz w:val="24"/>
          <w:szCs w:val="24"/>
        </w:rPr>
      </w:pPr>
      <w:r>
        <w:rPr>
          <w:rFonts w:hint="eastAsia" w:ascii="仿宋" w:hAnsi="仿宋" w:eastAsia="仿宋" w:cs="仿宋"/>
          <w:b/>
          <w:sz w:val="24"/>
          <w:szCs w:val="24"/>
        </w:rPr>
        <w:t>三、竞买人条件</w:t>
      </w:r>
    </w:p>
    <w:p w14:paraId="399902B2">
      <w:pPr>
        <w:keepNext w:val="0"/>
        <w:keepLines w:val="0"/>
        <w:pageBreakBefore w:val="0"/>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sz w:val="24"/>
          <w:szCs w:val="24"/>
        </w:rPr>
      </w:pPr>
      <w:r>
        <w:rPr>
          <w:rFonts w:hint="eastAsia" w:ascii="仿宋" w:hAnsi="仿宋" w:eastAsia="仿宋" w:cs="仿宋"/>
          <w:sz w:val="24"/>
          <w:szCs w:val="24"/>
        </w:rPr>
        <w:t>1、竞买人应当具备完全民事行为能力，法律、行政法规和司法解释对买受人资格或者条件有特殊规定的，竞买人应当具备规定的资格或者条件。</w:t>
      </w:r>
    </w:p>
    <w:p w14:paraId="1EBC84FB">
      <w:pPr>
        <w:keepNext w:val="0"/>
        <w:keepLines w:val="0"/>
        <w:pageBreakBefore w:val="0"/>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sz w:val="24"/>
          <w:szCs w:val="24"/>
        </w:rPr>
      </w:pPr>
      <w:r>
        <w:rPr>
          <w:rFonts w:hint="eastAsia" w:ascii="仿宋" w:hAnsi="仿宋" w:eastAsia="仿宋" w:cs="仿宋"/>
          <w:sz w:val="24"/>
          <w:szCs w:val="24"/>
        </w:rPr>
        <w:t xml:space="preserve">2、竞买人可委托他人（具备完全民事行为能力的自然人）参与拍卖。竞买人委托他人拍卖的，须在竞价程序开始前3日到拍卖人处办理委托手续并经拍卖人确认，竞买成功后，竞买人（委托人）与受托人一同到拍卖人处办理交接手续。拍卖成交后直接确认委托人为买受人。如无委托手续或委托手续不全的，竞买活动认定为参拍人的本人行为，成交后确认参拍人为买受人。  </w:t>
      </w:r>
    </w:p>
    <w:p w14:paraId="3B93B921">
      <w:pPr>
        <w:keepNext w:val="0"/>
        <w:keepLines w:val="0"/>
        <w:pageBreakBefore w:val="0"/>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sz w:val="24"/>
          <w:szCs w:val="24"/>
        </w:rPr>
      </w:pPr>
      <w:r>
        <w:rPr>
          <w:rFonts w:hint="eastAsia" w:ascii="仿宋" w:hAnsi="仿宋" w:eastAsia="仿宋" w:cs="仿宋"/>
          <w:sz w:val="24"/>
          <w:szCs w:val="24"/>
        </w:rPr>
        <w:t>因不符合条件参加竞买的，由竞买人自行承担相应法律责任。</w:t>
      </w:r>
    </w:p>
    <w:p w14:paraId="1D5BB1C9">
      <w:pPr>
        <w:keepNext w:val="0"/>
        <w:keepLines w:val="0"/>
        <w:pageBreakBefore w:val="0"/>
        <w:kinsoku/>
        <w:wordWrap/>
        <w:overflowPunct/>
        <w:topLinePunct w:val="0"/>
        <w:autoSpaceDE/>
        <w:autoSpaceDN/>
        <w:bidi w:val="0"/>
        <w:adjustRightInd/>
        <w:snapToGrid/>
        <w:spacing w:line="420" w:lineRule="exact"/>
        <w:ind w:firstLine="482"/>
        <w:jc w:val="left"/>
        <w:textAlignment w:val="auto"/>
        <w:rPr>
          <w:rFonts w:hint="eastAsia" w:ascii="仿宋" w:hAnsi="仿宋" w:eastAsia="仿宋" w:cs="仿宋"/>
          <w:b/>
          <w:sz w:val="24"/>
          <w:szCs w:val="24"/>
        </w:rPr>
      </w:pPr>
      <w:r>
        <w:rPr>
          <w:rFonts w:hint="eastAsia" w:ascii="仿宋" w:hAnsi="仿宋" w:eastAsia="仿宋" w:cs="仿宋"/>
          <w:b/>
          <w:sz w:val="24"/>
          <w:szCs w:val="24"/>
        </w:rPr>
        <w:t>四、本标的物优先购买权人</w:t>
      </w:r>
    </w:p>
    <w:p w14:paraId="389ABCD7">
      <w:pPr>
        <w:keepNext w:val="0"/>
        <w:keepLines w:val="0"/>
        <w:pageBreakBefore w:val="0"/>
        <w:widowControl/>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color w:val="000000" w:themeColor="text1"/>
          <w:kern w:val="0"/>
          <w:sz w:val="24"/>
          <w:szCs w:val="24"/>
          <w:lang w:eastAsia="zh-Hans"/>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1</w:t>
      </w:r>
      <w:r>
        <w:rPr>
          <w:rFonts w:hint="eastAsia" w:ascii="仿宋" w:hAnsi="仿宋" w:eastAsia="仿宋" w:cs="仿宋"/>
          <w:color w:val="000000" w:themeColor="text1"/>
          <w:kern w:val="0"/>
          <w:sz w:val="24"/>
          <w:szCs w:val="24"/>
          <w:lang w:eastAsia="zh-Hans"/>
          <w14:textFill>
            <w14:solidFill>
              <w14:schemeClr w14:val="tx1"/>
            </w14:solidFill>
          </w14:textFill>
        </w:rPr>
        <w:t>、已知优先购买权人由管理人通知，未接到通知的，本公告公示</w:t>
      </w:r>
      <w:r>
        <w:rPr>
          <w:rFonts w:hint="eastAsia" w:ascii="仿宋" w:hAnsi="仿宋" w:eastAsia="仿宋" w:cs="仿宋"/>
          <w:color w:val="000000" w:themeColor="text1"/>
          <w:kern w:val="0"/>
          <w:sz w:val="24"/>
          <w:szCs w:val="24"/>
          <w14:textFill>
            <w14:solidFill>
              <w14:schemeClr w14:val="tx1"/>
            </w14:solidFill>
          </w14:textFill>
        </w:rPr>
        <w:t>5</w:t>
      </w:r>
      <w:r>
        <w:rPr>
          <w:rFonts w:hint="eastAsia" w:ascii="仿宋" w:hAnsi="仿宋" w:eastAsia="仿宋" w:cs="仿宋"/>
          <w:color w:val="000000" w:themeColor="text1"/>
          <w:kern w:val="0"/>
          <w:sz w:val="24"/>
          <w:szCs w:val="24"/>
          <w:lang w:eastAsia="zh-Hans"/>
          <w14:textFill>
            <w14:solidFill>
              <w14:schemeClr w14:val="tx1"/>
            </w14:solidFill>
          </w14:textFill>
        </w:rPr>
        <w:t>日视为已通知。</w:t>
      </w:r>
    </w:p>
    <w:p w14:paraId="24D379D8">
      <w:pPr>
        <w:keepNext w:val="0"/>
        <w:keepLines w:val="0"/>
        <w:pageBreakBefore w:val="0"/>
        <w:widowControl/>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2、优先购买权人参加竞买的，应于本标的竞拍开始前3日内向拍卖公司提交合法有效的证明，资格经管理人确认后才能参与竞买，逾期不提交的，视为放弃对本标的物享有优先购买权。</w:t>
      </w:r>
    </w:p>
    <w:p w14:paraId="57401A2B">
      <w:pPr>
        <w:keepNext w:val="0"/>
        <w:keepLines w:val="0"/>
        <w:pageBreakBefore w:val="0"/>
        <w:widowControl/>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3、优先购买权人参与竞买的，与其他竞买人以相同的价格出价，没有更高出价的，拍卖财产由优先购买权人竞得。</w:t>
      </w:r>
    </w:p>
    <w:p w14:paraId="24AAA987">
      <w:pPr>
        <w:keepNext w:val="0"/>
        <w:keepLines w:val="0"/>
        <w:pageBreakBefore w:val="0"/>
        <w:widowControl/>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4、顺序不同的优先购买权人申请参与竞买的，管理人应当确认其顺序，赋予不同顺序的优先竞买代码。顺序不同的优先购买权人以相同价格出价的，拍卖财产由顺序在先的优先购买权人竞得。顺序相同的优先购买权人以相同价格出价的，拍卖财产由出价在先的优先购买权人竞得。</w:t>
      </w:r>
    </w:p>
    <w:p w14:paraId="6AC5EEB5">
      <w:pPr>
        <w:keepNext w:val="0"/>
        <w:keepLines w:val="0"/>
        <w:pageBreakBefore w:val="0"/>
        <w:kinsoku/>
        <w:wordWrap/>
        <w:overflowPunct/>
        <w:topLinePunct w:val="0"/>
        <w:autoSpaceDE/>
        <w:autoSpaceDN/>
        <w:bidi w:val="0"/>
        <w:adjustRightInd/>
        <w:snapToGrid/>
        <w:spacing w:line="420" w:lineRule="exact"/>
        <w:ind w:firstLine="482"/>
        <w:jc w:val="left"/>
        <w:textAlignment w:val="auto"/>
        <w:rPr>
          <w:rFonts w:hint="eastAsia" w:ascii="仿宋" w:hAnsi="仿宋" w:eastAsia="仿宋" w:cs="仿宋"/>
          <w:b/>
          <w:sz w:val="24"/>
          <w:szCs w:val="24"/>
        </w:rPr>
      </w:pPr>
      <w:r>
        <w:rPr>
          <w:rFonts w:hint="eastAsia" w:ascii="仿宋" w:hAnsi="仿宋" w:eastAsia="仿宋" w:cs="仿宋"/>
          <w:b/>
          <w:sz w:val="24"/>
          <w:szCs w:val="24"/>
        </w:rPr>
        <w:t>五、咨询看样</w:t>
      </w:r>
    </w:p>
    <w:p w14:paraId="6E0E6DB2">
      <w:pPr>
        <w:keepNext w:val="0"/>
        <w:keepLines w:val="0"/>
        <w:pageBreakBefore w:val="0"/>
        <w:widowControl/>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管理人已委托重庆光大佳拍拍卖有限公司在破产拍卖期间对上述标的的相关信息进行咨询及组织看样等工作。</w:t>
      </w:r>
    </w:p>
    <w:p w14:paraId="24C1B361">
      <w:pPr>
        <w:keepNext w:val="0"/>
        <w:keepLines w:val="0"/>
        <w:pageBreakBefore w:val="0"/>
        <w:widowControl/>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公告期间开拍前一日（周一至周五上午9：00-下午5：00节假日除外）接受咨询，有意者与重庆光大佳拍拍卖有限公司联系，统一安排看样，咨询看样请拨打重庆光大佳拍拍卖有限公司电话：400-833－6773，</w:t>
      </w:r>
      <w:r>
        <w:rPr>
          <w:rFonts w:hint="eastAsia" w:ascii="仿宋" w:hAnsi="仿宋" w:eastAsia="仿宋" w:cs="仿宋"/>
          <w:color w:val="000000" w:themeColor="text1"/>
          <w:kern w:val="0"/>
          <w:sz w:val="24"/>
          <w:szCs w:val="24"/>
          <w:lang w:eastAsia="zh-CN"/>
          <w14:textFill>
            <w14:solidFill>
              <w14:schemeClr w14:val="tx1"/>
            </w14:solidFill>
          </w14:textFill>
        </w:rPr>
        <w:t>郭老师15123440300</w:t>
      </w:r>
      <w:r>
        <w:rPr>
          <w:rFonts w:hint="eastAsia" w:ascii="仿宋" w:hAnsi="仿宋" w:eastAsia="仿宋" w:cs="仿宋"/>
          <w:color w:val="000000" w:themeColor="text1"/>
          <w:kern w:val="0"/>
          <w:sz w:val="24"/>
          <w:szCs w:val="24"/>
          <w14:textFill>
            <w14:solidFill>
              <w14:schemeClr w14:val="tx1"/>
            </w14:solidFill>
          </w14:textFill>
        </w:rPr>
        <w:t>。</w:t>
      </w:r>
    </w:p>
    <w:p w14:paraId="66705166">
      <w:pPr>
        <w:keepNext w:val="0"/>
        <w:keepLines w:val="0"/>
        <w:pageBreakBefore w:val="0"/>
        <w:kinsoku/>
        <w:wordWrap/>
        <w:overflowPunct/>
        <w:topLinePunct w:val="0"/>
        <w:autoSpaceDE/>
        <w:autoSpaceDN/>
        <w:bidi w:val="0"/>
        <w:adjustRightInd/>
        <w:snapToGrid/>
        <w:spacing w:line="420" w:lineRule="exact"/>
        <w:ind w:firstLine="482"/>
        <w:jc w:val="left"/>
        <w:textAlignment w:val="auto"/>
        <w:rPr>
          <w:rFonts w:hint="eastAsia" w:ascii="仿宋" w:hAnsi="仿宋" w:eastAsia="仿宋" w:cs="仿宋"/>
          <w:b/>
          <w:bCs/>
          <w:color w:val="000000" w:themeColor="text1"/>
          <w:kern w:val="0"/>
          <w:sz w:val="24"/>
          <w:szCs w:val="24"/>
          <w14:textFill>
            <w14:solidFill>
              <w14:schemeClr w14:val="tx1"/>
            </w14:solidFill>
          </w14:textFill>
        </w:rPr>
      </w:pPr>
      <w:r>
        <w:rPr>
          <w:rFonts w:hint="eastAsia" w:ascii="仿宋" w:hAnsi="仿宋" w:eastAsia="仿宋" w:cs="仿宋"/>
          <w:b/>
          <w:bCs/>
          <w:color w:val="000000" w:themeColor="text1"/>
          <w:kern w:val="0"/>
          <w:sz w:val="24"/>
          <w:szCs w:val="24"/>
          <w14:textFill>
            <w14:solidFill>
              <w14:schemeClr w14:val="tx1"/>
            </w14:solidFill>
          </w14:textFill>
        </w:rPr>
        <w:t>重要提醒：为避免拍卖成交后出现无法解决的情况，提请竞买人注意并在拍卖前详细了解该项目的情况、现状和瑕疵，并务必亲自实地看样，然后再参加竞拍。未看样的竞买人视为对本标的实物的知晓和认可，相关责任自负。</w:t>
      </w:r>
    </w:p>
    <w:p w14:paraId="38F831BF">
      <w:pPr>
        <w:keepNext w:val="0"/>
        <w:keepLines w:val="0"/>
        <w:pageBreakBefore w:val="0"/>
        <w:kinsoku/>
        <w:wordWrap/>
        <w:overflowPunct/>
        <w:topLinePunct w:val="0"/>
        <w:autoSpaceDE/>
        <w:autoSpaceDN/>
        <w:bidi w:val="0"/>
        <w:adjustRightInd/>
        <w:snapToGrid/>
        <w:spacing w:line="420" w:lineRule="exact"/>
        <w:ind w:firstLine="482"/>
        <w:jc w:val="left"/>
        <w:textAlignment w:val="auto"/>
        <w:rPr>
          <w:rFonts w:hint="eastAsia" w:ascii="仿宋" w:hAnsi="仿宋" w:eastAsia="仿宋" w:cs="仿宋"/>
          <w:b/>
          <w:sz w:val="24"/>
          <w:szCs w:val="24"/>
        </w:rPr>
      </w:pPr>
      <w:r>
        <w:rPr>
          <w:rFonts w:hint="eastAsia" w:ascii="仿宋" w:hAnsi="仿宋" w:eastAsia="仿宋" w:cs="仿宋"/>
          <w:b/>
          <w:sz w:val="24"/>
          <w:szCs w:val="24"/>
        </w:rPr>
        <w:t>六、拍卖方式</w:t>
      </w:r>
    </w:p>
    <w:p w14:paraId="4DEF83F0">
      <w:pPr>
        <w:keepNext w:val="0"/>
        <w:keepLines w:val="0"/>
        <w:pageBreakBefore w:val="0"/>
        <w:widowControl/>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color w:val="000000"/>
          <w:sz w:val="24"/>
          <w:szCs w:val="24"/>
        </w:rPr>
      </w:pPr>
      <w:r>
        <w:rPr>
          <w:rFonts w:hint="eastAsia" w:ascii="仿宋" w:hAnsi="仿宋" w:eastAsia="仿宋" w:cs="仿宋"/>
          <w:color w:val="000000"/>
          <w:sz w:val="24"/>
          <w:szCs w:val="24"/>
        </w:rPr>
        <w:t>本次破产拍卖为增价拍卖，拍卖保留价即为起拍价。本次破产拍卖活动设置延时出价功能，在破产拍卖活动结束前，每最后5分钟如果有竞买人出价，将自动延迟5分钟。</w:t>
      </w:r>
    </w:p>
    <w:p w14:paraId="4EFEE0F4">
      <w:pPr>
        <w:keepNext w:val="0"/>
        <w:keepLines w:val="0"/>
        <w:pageBreakBefore w:val="0"/>
        <w:widowControl/>
        <w:kinsoku/>
        <w:wordWrap/>
        <w:overflowPunct/>
        <w:topLinePunct w:val="0"/>
        <w:autoSpaceDE/>
        <w:autoSpaceDN/>
        <w:bidi w:val="0"/>
        <w:adjustRightInd/>
        <w:snapToGrid/>
        <w:spacing w:line="420" w:lineRule="exact"/>
        <w:ind w:firstLine="482"/>
        <w:jc w:val="left"/>
        <w:textAlignment w:val="auto"/>
        <w:rPr>
          <w:rFonts w:hint="eastAsia" w:ascii="仿宋" w:hAnsi="仿宋" w:eastAsia="仿宋" w:cs="仿宋"/>
          <w:b/>
          <w:color w:val="000000" w:themeColor="text1"/>
          <w:kern w:val="0"/>
          <w:sz w:val="24"/>
          <w:szCs w:val="24"/>
          <w14:textFill>
            <w14:solidFill>
              <w14:schemeClr w14:val="tx1"/>
            </w14:solidFill>
          </w14:textFill>
        </w:rPr>
      </w:pPr>
      <w:r>
        <w:rPr>
          <w:rFonts w:hint="eastAsia" w:ascii="仿宋" w:hAnsi="仿宋" w:eastAsia="仿宋" w:cs="仿宋"/>
          <w:b/>
          <w:bCs/>
          <w:color w:val="000000" w:themeColor="text1"/>
          <w:kern w:val="0"/>
          <w:sz w:val="24"/>
          <w:szCs w:val="24"/>
          <w:lang w:eastAsia="zh-Hans"/>
          <w14:textFill>
            <w14:solidFill>
              <w14:schemeClr w14:val="tx1"/>
            </w14:solidFill>
          </w14:textFill>
        </w:rPr>
        <w:t>七、</w:t>
      </w:r>
      <w:r>
        <w:rPr>
          <w:rFonts w:hint="eastAsia" w:ascii="仿宋" w:hAnsi="仿宋" w:eastAsia="仿宋" w:cs="仿宋"/>
          <w:b/>
          <w:bCs/>
          <w:color w:val="000000" w:themeColor="text1"/>
          <w:kern w:val="0"/>
          <w:sz w:val="24"/>
          <w:szCs w:val="24"/>
          <w14:textFill>
            <w14:solidFill>
              <w14:schemeClr w14:val="tx1"/>
            </w14:solidFill>
          </w14:textFill>
        </w:rPr>
        <w:t>保证金的约定、成交手续办理及费用支付</w:t>
      </w:r>
    </w:p>
    <w:p w14:paraId="08D76338">
      <w:pPr>
        <w:keepNext w:val="0"/>
        <w:keepLines w:val="0"/>
        <w:pageBreakBefore w:val="0"/>
        <w:widowControl/>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1、竞买人应于拍卖开始前在淘宝网和支付宝上进行实名登记注册，注册成功后请按淘宝网和支付宝的提示进行操作。凡参加竞拍的竞买人须在本人的支付宝账户里保证有足够的竞拍保证金（交纳保证金时若有问题可咨询淘宝网拍客服热线：400-822-2870），竞买人在对拍卖标的物第一次确认出价竞拍前，按淘宝系统提示报名缴纳保证金，系统会自动冻结该笔款项。拍卖成交后保证金自动转入拍卖人账户作为首付款，未成交竞买人的保证金在拍卖活动结束后即时解冻。保证金冻结期间不计利息。</w:t>
      </w:r>
    </w:p>
    <w:p w14:paraId="2830E704">
      <w:pPr>
        <w:keepNext w:val="0"/>
        <w:keepLines w:val="0"/>
        <w:pageBreakBefore w:val="0"/>
        <w:widowControl/>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2、保证金：竞买人通过线上报名，应在竞价结束前（延时除外）缴纳保证金后方可参与竞买。</w:t>
      </w:r>
    </w:p>
    <w:p w14:paraId="7FC1CF29">
      <w:pPr>
        <w:keepNext w:val="0"/>
        <w:keepLines w:val="0"/>
        <w:pageBreakBefore w:val="0"/>
        <w:widowControl/>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3、若买受人有下列情况之一，保证金不予退还及承担相应的违约金：</w:t>
      </w:r>
    </w:p>
    <w:p w14:paraId="2D245028">
      <w:pPr>
        <w:keepNext w:val="0"/>
        <w:keepLines w:val="0"/>
        <w:pageBreakBefore w:val="0"/>
        <w:widowControl/>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（1）提供虚假报名资料的；</w:t>
      </w:r>
    </w:p>
    <w:p w14:paraId="5C22FDCC">
      <w:pPr>
        <w:keepNext w:val="0"/>
        <w:keepLines w:val="0"/>
        <w:pageBreakBefore w:val="0"/>
        <w:widowControl/>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（2）买受人在竞价过程中违反竞价规则和产权交易相关规则，扰乱竞价秩序的；</w:t>
      </w:r>
    </w:p>
    <w:p w14:paraId="0DA0C14F">
      <w:pPr>
        <w:keepNext w:val="0"/>
        <w:keepLines w:val="0"/>
        <w:pageBreakBefore w:val="0"/>
        <w:widowControl/>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（3）竞拍成功后不履约、违约，有提出附加条件的；</w:t>
      </w:r>
    </w:p>
    <w:p w14:paraId="1C720E47">
      <w:pPr>
        <w:keepNext w:val="0"/>
        <w:keepLines w:val="0"/>
        <w:pageBreakBefore w:val="0"/>
        <w:widowControl/>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（4）不及时</w:t>
      </w:r>
      <w:r>
        <w:rPr>
          <w:rFonts w:hint="eastAsia" w:ascii="仿宋" w:hAnsi="仿宋" w:eastAsia="仿宋" w:cs="仿宋"/>
          <w:color w:val="000000" w:themeColor="text1"/>
          <w:kern w:val="0"/>
          <w:sz w:val="24"/>
          <w:szCs w:val="24"/>
          <w:lang w:eastAsia="zh-Hans"/>
          <w14:textFill>
            <w14:solidFill>
              <w14:schemeClr w14:val="tx1"/>
            </w14:solidFill>
          </w14:textFill>
        </w:rPr>
        <w:t>办理</w:t>
      </w:r>
      <w:r>
        <w:rPr>
          <w:rFonts w:hint="eastAsia" w:ascii="仿宋" w:hAnsi="仿宋" w:eastAsia="仿宋" w:cs="仿宋"/>
          <w:color w:val="000000" w:themeColor="text1"/>
          <w:kern w:val="0"/>
          <w:sz w:val="24"/>
          <w:szCs w:val="24"/>
          <w14:textFill>
            <w14:solidFill>
              <w14:schemeClr w14:val="tx1"/>
            </w14:solidFill>
          </w14:textFill>
        </w:rPr>
        <w:t>成交手续、支付拍卖余款和淘宝平台软件服务费；</w:t>
      </w:r>
    </w:p>
    <w:p w14:paraId="7F177550">
      <w:pPr>
        <w:keepNext w:val="0"/>
        <w:keepLines w:val="0"/>
        <w:pageBreakBefore w:val="0"/>
        <w:widowControl/>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color w:val="000000" w:themeColor="text1"/>
          <w:kern w:val="0"/>
          <w:sz w:val="24"/>
          <w:szCs w:val="24"/>
          <w:lang w:eastAsia="zh-Hans"/>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（5）</w:t>
      </w:r>
      <w:r>
        <w:rPr>
          <w:rFonts w:hint="eastAsia" w:ascii="仿宋" w:hAnsi="仿宋" w:eastAsia="仿宋" w:cs="仿宋"/>
          <w:color w:val="000000" w:themeColor="text1"/>
          <w:kern w:val="0"/>
          <w:sz w:val="24"/>
          <w:szCs w:val="24"/>
          <w:lang w:eastAsia="zh-Hans"/>
          <w14:textFill>
            <w14:solidFill>
              <w14:schemeClr w14:val="tx1"/>
            </w14:solidFill>
          </w14:textFill>
        </w:rPr>
        <w:t>买受人不具备购买资格；</w:t>
      </w:r>
    </w:p>
    <w:p w14:paraId="34478F93">
      <w:pPr>
        <w:keepNext w:val="0"/>
        <w:keepLines w:val="0"/>
        <w:pageBreakBefore w:val="0"/>
        <w:widowControl/>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lang w:eastAsia="zh-Hans"/>
          <w14:textFill>
            <w14:solidFill>
              <w14:schemeClr w14:val="tx1"/>
            </w14:solidFill>
          </w14:textFill>
        </w:rPr>
        <w:t>（6）其他违反法律规定的行为。</w:t>
      </w:r>
    </w:p>
    <w:p w14:paraId="65094B19">
      <w:pPr>
        <w:keepNext w:val="0"/>
        <w:keepLines w:val="0"/>
        <w:pageBreakBefore w:val="0"/>
        <w:widowControl/>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4、拍卖成交后，买受人须支付以下费用及办理以下手续：</w:t>
      </w:r>
    </w:p>
    <w:p w14:paraId="204F4CB0">
      <w:pPr>
        <w:keepNext w:val="0"/>
        <w:keepLines w:val="0"/>
        <w:pageBreakBefore w:val="0"/>
        <w:widowControl/>
        <w:kinsoku/>
        <w:wordWrap/>
        <w:overflowPunct/>
        <w:topLinePunct w:val="0"/>
        <w:autoSpaceDE/>
        <w:autoSpaceDN/>
        <w:bidi w:val="0"/>
        <w:adjustRightInd/>
        <w:snapToGrid/>
        <w:spacing w:line="420" w:lineRule="exact"/>
        <w:ind w:firstLine="482" w:firstLineChars="200"/>
        <w:jc w:val="left"/>
        <w:textAlignment w:val="auto"/>
        <w:rPr>
          <w:rFonts w:hint="eastAsia" w:ascii="仿宋" w:hAnsi="仿宋" w:eastAsia="仿宋" w:cs="仿宋"/>
          <w:b/>
          <w:color w:val="000000" w:themeColor="text1"/>
          <w:kern w:val="0"/>
          <w:sz w:val="24"/>
          <w:szCs w:val="24"/>
          <w14:textFill>
            <w14:solidFill>
              <w14:schemeClr w14:val="tx1"/>
            </w14:solidFill>
          </w14:textFill>
        </w:rPr>
      </w:pPr>
      <w:r>
        <w:rPr>
          <w:rFonts w:hint="eastAsia" w:ascii="仿宋" w:hAnsi="仿宋" w:eastAsia="仿宋" w:cs="仿宋"/>
          <w:b/>
          <w:color w:val="000000" w:themeColor="text1"/>
          <w:kern w:val="0"/>
          <w:sz w:val="24"/>
          <w:szCs w:val="24"/>
          <w14:textFill>
            <w14:solidFill>
              <w14:schemeClr w14:val="tx1"/>
            </w14:solidFill>
          </w14:textFill>
        </w:rPr>
        <w:t>（</w:t>
      </w:r>
      <w:r>
        <w:rPr>
          <w:rFonts w:hint="eastAsia" w:ascii="仿宋" w:hAnsi="仿宋" w:eastAsia="仿宋" w:cs="仿宋"/>
          <w:b/>
          <w:color w:val="000000" w:themeColor="text1"/>
          <w:kern w:val="0"/>
          <w:sz w:val="24"/>
          <w:szCs w:val="24"/>
          <w:lang w:val="en-US" w:eastAsia="zh-CN"/>
          <w14:textFill>
            <w14:solidFill>
              <w14:schemeClr w14:val="tx1"/>
            </w14:solidFill>
          </w14:textFill>
        </w:rPr>
        <w:t>1</w:t>
      </w:r>
      <w:r>
        <w:rPr>
          <w:rFonts w:hint="eastAsia" w:ascii="仿宋" w:hAnsi="仿宋" w:eastAsia="仿宋" w:cs="仿宋"/>
          <w:b/>
          <w:color w:val="000000" w:themeColor="text1"/>
          <w:kern w:val="0"/>
          <w:sz w:val="24"/>
          <w:szCs w:val="24"/>
          <w14:textFill>
            <w14:solidFill>
              <w14:schemeClr w14:val="tx1"/>
            </w14:solidFill>
          </w14:textFill>
        </w:rPr>
        <w:t>）拍卖余款须在拍卖成交之日起</w:t>
      </w:r>
      <w:r>
        <w:rPr>
          <w:rFonts w:hint="eastAsia" w:ascii="仿宋" w:hAnsi="仿宋" w:eastAsia="仿宋" w:cs="仿宋"/>
          <w:b/>
          <w:color w:val="000000" w:themeColor="text1"/>
          <w:kern w:val="0"/>
          <w:sz w:val="24"/>
          <w:szCs w:val="24"/>
          <w:lang w:val="en-US" w:eastAsia="zh-CN"/>
          <w14:textFill>
            <w14:solidFill>
              <w14:schemeClr w14:val="tx1"/>
            </w14:solidFill>
          </w14:textFill>
        </w:rPr>
        <w:t>7</w:t>
      </w:r>
      <w:r>
        <w:rPr>
          <w:rFonts w:hint="eastAsia" w:ascii="仿宋" w:hAnsi="仿宋" w:eastAsia="仿宋" w:cs="仿宋"/>
          <w:b/>
          <w:color w:val="000000" w:themeColor="text1"/>
          <w:kern w:val="0"/>
          <w:sz w:val="24"/>
          <w:szCs w:val="24"/>
          <w14:textFill>
            <w14:solidFill>
              <w14:schemeClr w14:val="tx1"/>
            </w14:solidFill>
          </w14:textFill>
        </w:rPr>
        <w:t>日内支付至委托人指定账户（账户名称：</w:t>
      </w:r>
      <w:r>
        <w:rPr>
          <w:rFonts w:hint="eastAsia" w:ascii="仿宋" w:hAnsi="仿宋" w:eastAsia="仿宋" w:cs="仿宋"/>
          <w:b/>
          <w:color w:val="000000" w:themeColor="text1"/>
          <w:kern w:val="0"/>
          <w:sz w:val="24"/>
          <w:szCs w:val="24"/>
          <w:lang w:eastAsia="zh-CN"/>
          <w14:textFill>
            <w14:solidFill>
              <w14:schemeClr w14:val="tx1"/>
            </w14:solidFill>
          </w14:textFill>
        </w:rPr>
        <w:t>重庆凯尔特机械制造有限公司</w:t>
      </w:r>
      <w:r>
        <w:rPr>
          <w:rFonts w:hint="eastAsia" w:ascii="仿宋" w:hAnsi="仿宋" w:eastAsia="仿宋" w:cs="仿宋"/>
          <w:b/>
          <w:color w:val="000000" w:themeColor="text1"/>
          <w:kern w:val="0"/>
          <w:sz w:val="24"/>
          <w:szCs w:val="24"/>
          <w14:textFill>
            <w14:solidFill>
              <w14:schemeClr w14:val="tx1"/>
            </w14:solidFill>
          </w14:textFill>
        </w:rPr>
        <w:t>管理人；开户行：</w:t>
      </w:r>
      <w:r>
        <w:rPr>
          <w:rFonts w:hint="eastAsia" w:ascii="仿宋" w:hAnsi="仿宋" w:eastAsia="仿宋" w:cs="仿宋"/>
          <w:b/>
          <w:color w:val="000000" w:themeColor="text1"/>
          <w:kern w:val="0"/>
          <w:sz w:val="24"/>
          <w:szCs w:val="24"/>
          <w:lang w:val="en-US" w:eastAsia="zh-CN"/>
          <w14:textFill>
            <w14:solidFill>
              <w14:schemeClr w14:val="tx1"/>
            </w14:solidFill>
          </w14:textFill>
        </w:rPr>
        <w:t>中国建设银行股份有限公司重庆北碚蔡家支行</w:t>
      </w:r>
      <w:r>
        <w:rPr>
          <w:rFonts w:hint="eastAsia" w:ascii="仿宋" w:hAnsi="仿宋" w:eastAsia="仿宋" w:cs="仿宋"/>
          <w:b/>
          <w:color w:val="000000" w:themeColor="text1"/>
          <w:kern w:val="0"/>
          <w:sz w:val="24"/>
          <w:szCs w:val="24"/>
          <w14:textFill>
            <w14:solidFill>
              <w14:schemeClr w14:val="tx1"/>
            </w14:solidFill>
          </w14:textFill>
        </w:rPr>
        <w:t xml:space="preserve"> ；帐号：</w:t>
      </w:r>
      <w:r>
        <w:rPr>
          <w:rFonts w:hint="eastAsia" w:ascii="仿宋" w:hAnsi="仿宋" w:eastAsia="仿宋" w:cs="仿宋"/>
          <w:b/>
          <w:color w:val="000000" w:themeColor="text1"/>
          <w:kern w:val="0"/>
          <w:sz w:val="24"/>
          <w:szCs w:val="24"/>
          <w:lang w:val="en-US" w:eastAsia="zh-CN"/>
          <w14:textFill>
            <w14:solidFill>
              <w14:schemeClr w14:val="tx1"/>
            </w14:solidFill>
          </w14:textFill>
        </w:rPr>
        <w:t>50050109660000000108</w:t>
      </w:r>
      <w:r>
        <w:rPr>
          <w:rFonts w:hint="eastAsia" w:ascii="仿宋" w:hAnsi="仿宋" w:eastAsia="仿宋" w:cs="仿宋"/>
          <w:b/>
          <w:color w:val="000000" w:themeColor="text1"/>
          <w:kern w:val="0"/>
          <w:sz w:val="24"/>
          <w:szCs w:val="24"/>
          <w14:textFill>
            <w14:solidFill>
              <w14:schemeClr w14:val="tx1"/>
            </w14:solidFill>
          </w14:textFill>
        </w:rPr>
        <w:t>）。</w:t>
      </w:r>
    </w:p>
    <w:p w14:paraId="0E88428E">
      <w:pPr>
        <w:keepNext w:val="0"/>
        <w:keepLines w:val="0"/>
        <w:pageBreakBefore w:val="0"/>
        <w:widowControl/>
        <w:kinsoku/>
        <w:wordWrap/>
        <w:overflowPunct/>
        <w:topLinePunct w:val="0"/>
        <w:autoSpaceDE/>
        <w:autoSpaceDN/>
        <w:bidi w:val="0"/>
        <w:adjustRightInd/>
        <w:snapToGrid/>
        <w:spacing w:line="420" w:lineRule="exact"/>
        <w:ind w:firstLine="482" w:firstLineChars="200"/>
        <w:textAlignment w:val="auto"/>
        <w:rPr>
          <w:rFonts w:hint="eastAsia" w:ascii="仿宋" w:hAnsi="仿宋" w:eastAsia="仿宋" w:cs="仿宋"/>
          <w:b/>
          <w:color w:val="000000" w:themeColor="text1"/>
          <w:kern w:val="0"/>
          <w:sz w:val="24"/>
          <w:szCs w:val="24"/>
          <w:lang w:eastAsia="zh-CN"/>
          <w14:textFill>
            <w14:solidFill>
              <w14:schemeClr w14:val="tx1"/>
            </w14:solidFill>
          </w14:textFill>
        </w:rPr>
      </w:pPr>
      <w:r>
        <w:rPr>
          <w:rFonts w:hint="eastAsia" w:ascii="仿宋" w:hAnsi="仿宋" w:eastAsia="仿宋" w:cs="仿宋"/>
          <w:b/>
          <w:color w:val="000000" w:themeColor="text1"/>
          <w:kern w:val="0"/>
          <w:sz w:val="24"/>
          <w:szCs w:val="24"/>
          <w:lang w:eastAsia="zh-CN"/>
          <w14:textFill>
            <w14:solidFill>
              <w14:schemeClr w14:val="tx1"/>
            </w14:solidFill>
          </w14:textFill>
        </w:rPr>
        <w:t>（</w:t>
      </w:r>
      <w:r>
        <w:rPr>
          <w:rFonts w:hint="eastAsia" w:ascii="仿宋" w:hAnsi="仿宋" w:eastAsia="仿宋" w:cs="仿宋"/>
          <w:b/>
          <w:color w:val="000000" w:themeColor="text1"/>
          <w:kern w:val="0"/>
          <w:sz w:val="24"/>
          <w:szCs w:val="24"/>
          <w:lang w:val="en-US" w:eastAsia="zh-CN"/>
          <w14:textFill>
            <w14:solidFill>
              <w14:schemeClr w14:val="tx1"/>
            </w14:solidFill>
          </w14:textFill>
        </w:rPr>
        <w:t>2</w:t>
      </w:r>
      <w:r>
        <w:rPr>
          <w:rFonts w:hint="eastAsia" w:ascii="仿宋" w:hAnsi="仿宋" w:eastAsia="仿宋" w:cs="仿宋"/>
          <w:b/>
          <w:color w:val="000000" w:themeColor="text1"/>
          <w:kern w:val="0"/>
          <w:sz w:val="24"/>
          <w:szCs w:val="24"/>
          <w:lang w:eastAsia="zh-CN"/>
          <w14:textFill>
            <w14:solidFill>
              <w14:schemeClr w14:val="tx1"/>
            </w14:solidFill>
          </w14:textFill>
        </w:rPr>
        <w:t>）</w:t>
      </w:r>
      <w:r>
        <w:rPr>
          <w:rFonts w:hint="eastAsia" w:ascii="仿宋" w:hAnsi="仿宋" w:eastAsia="仿宋" w:cs="仿宋"/>
          <w:b/>
          <w:color w:val="000000" w:themeColor="text1"/>
          <w:kern w:val="0"/>
          <w:sz w:val="24"/>
          <w:szCs w:val="24"/>
          <w14:textFill>
            <w14:solidFill>
              <w14:schemeClr w14:val="tx1"/>
            </w14:solidFill>
          </w14:textFill>
        </w:rPr>
        <w:t>拍卖结束后本标的物竞得者支付拍卖服务费，拍卖服务费于拍卖成交之日起3日内按照重庆市高级人民法院关于印发《网络司法拍卖辅助工作费用标准》中的第一条支付标准（</w:t>
      </w:r>
      <w:r>
        <w:rPr>
          <w:rFonts w:hint="eastAsia" w:ascii="仿宋" w:hAnsi="仿宋" w:eastAsia="仿宋" w:cs="仿宋"/>
          <w:b/>
          <w:color w:val="000000" w:themeColor="text1"/>
          <w:kern w:val="0"/>
          <w:sz w:val="24"/>
          <w:szCs w:val="24"/>
          <w:lang w:val="en-US" w:eastAsia="zh-CN"/>
          <w14:textFill>
            <w14:solidFill>
              <w14:schemeClr w14:val="tx1"/>
            </w14:solidFill>
          </w14:textFill>
        </w:rPr>
        <w:t>动产</w:t>
      </w:r>
      <w:r>
        <w:rPr>
          <w:rFonts w:hint="eastAsia" w:ascii="仿宋" w:hAnsi="仿宋" w:eastAsia="仿宋" w:cs="仿宋"/>
          <w:b/>
          <w:color w:val="000000" w:themeColor="text1"/>
          <w:kern w:val="0"/>
          <w:sz w:val="24"/>
          <w:szCs w:val="24"/>
          <w14:textFill>
            <w14:solidFill>
              <w14:schemeClr w14:val="tx1"/>
            </w14:solidFill>
          </w14:textFill>
        </w:rPr>
        <w:t>成交价</w:t>
      </w:r>
      <w:r>
        <w:rPr>
          <w:rFonts w:hint="eastAsia" w:ascii="仿宋" w:hAnsi="仿宋" w:eastAsia="仿宋" w:cs="仿宋"/>
          <w:b/>
          <w:color w:val="000000" w:themeColor="text1"/>
          <w:kern w:val="0"/>
          <w:sz w:val="24"/>
          <w:szCs w:val="24"/>
          <w:lang w:val="en-US" w:eastAsia="zh-CN"/>
          <w14:textFill>
            <w14:solidFill>
              <w14:schemeClr w14:val="tx1"/>
            </w14:solidFill>
          </w14:textFill>
        </w:rPr>
        <w:t>5</w:t>
      </w:r>
      <w:r>
        <w:rPr>
          <w:rFonts w:hint="eastAsia" w:ascii="仿宋" w:hAnsi="仿宋" w:eastAsia="仿宋" w:cs="仿宋"/>
          <w:b/>
          <w:color w:val="000000" w:themeColor="text1"/>
          <w:kern w:val="0"/>
          <w:sz w:val="24"/>
          <w:szCs w:val="24"/>
          <w14:textFill>
            <w14:solidFill>
              <w14:schemeClr w14:val="tx1"/>
            </w14:solidFill>
          </w14:textFill>
        </w:rPr>
        <w:t>万以下，按</w:t>
      </w:r>
      <w:r>
        <w:rPr>
          <w:rFonts w:hint="eastAsia" w:ascii="仿宋" w:hAnsi="仿宋" w:eastAsia="仿宋" w:cs="仿宋"/>
          <w:b/>
          <w:color w:val="000000" w:themeColor="text1"/>
          <w:kern w:val="0"/>
          <w:sz w:val="24"/>
          <w:szCs w:val="24"/>
          <w:lang w:val="en-US" w:eastAsia="zh-CN"/>
          <w14:textFill>
            <w14:solidFill>
              <w14:schemeClr w14:val="tx1"/>
            </w14:solidFill>
          </w14:textFill>
        </w:rPr>
        <w:t>2</w:t>
      </w:r>
      <w:r>
        <w:rPr>
          <w:rFonts w:hint="eastAsia" w:ascii="仿宋" w:hAnsi="仿宋" w:eastAsia="仿宋" w:cs="仿宋"/>
          <w:b/>
          <w:color w:val="000000" w:themeColor="text1"/>
          <w:kern w:val="0"/>
          <w:sz w:val="24"/>
          <w:szCs w:val="24"/>
          <w14:textFill>
            <w14:solidFill>
              <w14:schemeClr w14:val="tx1"/>
            </w14:solidFill>
          </w14:textFill>
        </w:rPr>
        <w:t>%进行收取；超过</w:t>
      </w:r>
      <w:r>
        <w:rPr>
          <w:rFonts w:hint="eastAsia" w:ascii="仿宋" w:hAnsi="仿宋" w:eastAsia="仿宋" w:cs="仿宋"/>
          <w:b/>
          <w:color w:val="000000" w:themeColor="text1"/>
          <w:kern w:val="0"/>
          <w:sz w:val="24"/>
          <w:szCs w:val="24"/>
          <w:lang w:val="en-US" w:eastAsia="zh-CN"/>
          <w14:textFill>
            <w14:solidFill>
              <w14:schemeClr w14:val="tx1"/>
            </w14:solidFill>
          </w14:textFill>
        </w:rPr>
        <w:t>5</w:t>
      </w:r>
      <w:r>
        <w:rPr>
          <w:rFonts w:hint="eastAsia" w:ascii="仿宋" w:hAnsi="仿宋" w:eastAsia="仿宋" w:cs="仿宋"/>
          <w:b/>
          <w:color w:val="000000" w:themeColor="text1"/>
          <w:kern w:val="0"/>
          <w:sz w:val="24"/>
          <w:szCs w:val="24"/>
          <w14:textFill>
            <w14:solidFill>
              <w14:schemeClr w14:val="tx1"/>
            </w14:solidFill>
          </w14:textFill>
        </w:rPr>
        <w:t>万</w:t>
      </w:r>
      <w:r>
        <w:rPr>
          <w:rFonts w:hint="eastAsia" w:ascii="仿宋" w:hAnsi="仿宋" w:eastAsia="仿宋" w:cs="仿宋"/>
          <w:b/>
          <w:color w:val="000000" w:themeColor="text1"/>
          <w:kern w:val="0"/>
          <w:sz w:val="24"/>
          <w:szCs w:val="24"/>
          <w:lang w:val="en-US" w:eastAsia="zh-CN"/>
          <w14:textFill>
            <w14:solidFill>
              <w14:schemeClr w14:val="tx1"/>
            </w14:solidFill>
          </w14:textFill>
        </w:rPr>
        <w:t>的部分</w:t>
      </w:r>
      <w:r>
        <w:rPr>
          <w:rFonts w:hint="eastAsia" w:ascii="仿宋" w:hAnsi="仿宋" w:eastAsia="仿宋" w:cs="仿宋"/>
          <w:b/>
          <w:color w:val="000000" w:themeColor="text1"/>
          <w:kern w:val="0"/>
          <w:sz w:val="24"/>
          <w:szCs w:val="24"/>
          <w14:textFill>
            <w14:solidFill>
              <w14:schemeClr w14:val="tx1"/>
            </w14:solidFill>
          </w14:textFill>
        </w:rPr>
        <w:t>按</w:t>
      </w:r>
      <w:r>
        <w:rPr>
          <w:rFonts w:hint="eastAsia" w:ascii="仿宋" w:hAnsi="仿宋" w:eastAsia="仿宋" w:cs="仿宋"/>
          <w:b/>
          <w:color w:val="000000" w:themeColor="text1"/>
          <w:kern w:val="0"/>
          <w:sz w:val="24"/>
          <w:szCs w:val="24"/>
          <w:lang w:val="en-US" w:eastAsia="zh-CN"/>
          <w14:textFill>
            <w14:solidFill>
              <w14:schemeClr w14:val="tx1"/>
            </w14:solidFill>
          </w14:textFill>
        </w:rPr>
        <w:t>1</w:t>
      </w:r>
      <w:r>
        <w:rPr>
          <w:rFonts w:hint="eastAsia" w:ascii="仿宋" w:hAnsi="仿宋" w:eastAsia="仿宋" w:cs="仿宋"/>
          <w:b/>
          <w:color w:val="000000" w:themeColor="text1"/>
          <w:kern w:val="0"/>
          <w:sz w:val="24"/>
          <w:szCs w:val="24"/>
          <w14:textFill>
            <w14:solidFill>
              <w14:schemeClr w14:val="tx1"/>
            </w14:solidFill>
          </w14:textFill>
        </w:rPr>
        <w:t>%进行收取）的</w:t>
      </w:r>
      <w:r>
        <w:rPr>
          <w:rFonts w:hint="eastAsia" w:ascii="仿宋" w:hAnsi="仿宋" w:eastAsia="仿宋" w:cs="仿宋"/>
          <w:b/>
          <w:color w:val="000000" w:themeColor="text1"/>
          <w:kern w:val="0"/>
          <w:sz w:val="24"/>
          <w:szCs w:val="24"/>
          <w:lang w:val="en-US" w:eastAsia="zh-CN"/>
          <w14:textFill>
            <w14:solidFill>
              <w14:schemeClr w14:val="tx1"/>
            </w14:solidFill>
          </w14:textFill>
        </w:rPr>
        <w:t>58</w:t>
      </w:r>
      <w:r>
        <w:rPr>
          <w:rFonts w:hint="eastAsia" w:ascii="仿宋" w:hAnsi="仿宋" w:eastAsia="仿宋" w:cs="仿宋"/>
          <w:b/>
          <w:color w:val="000000" w:themeColor="text1"/>
          <w:kern w:val="0"/>
          <w:sz w:val="24"/>
          <w:szCs w:val="24"/>
          <w14:textFill>
            <w14:solidFill>
              <w14:schemeClr w14:val="tx1"/>
            </w14:solidFill>
          </w14:textFill>
        </w:rPr>
        <w:t>%支付，支付至拍卖人指定账户（户名：重庆光大佳拍拍卖有限公司；开户银行：浦发上清寺支行；账号：83140078801900000055）。</w:t>
      </w:r>
    </w:p>
    <w:p w14:paraId="09DB8C62">
      <w:pPr>
        <w:keepNext w:val="0"/>
        <w:keepLines w:val="0"/>
        <w:pageBreakBefore w:val="0"/>
        <w:widowControl/>
        <w:kinsoku/>
        <w:wordWrap/>
        <w:overflowPunct/>
        <w:topLinePunct w:val="0"/>
        <w:autoSpaceDE/>
        <w:autoSpaceDN/>
        <w:bidi w:val="0"/>
        <w:adjustRightInd/>
        <w:snapToGrid/>
        <w:spacing w:line="420" w:lineRule="exact"/>
        <w:ind w:firstLine="482" w:firstLineChars="200"/>
        <w:jc w:val="left"/>
        <w:textAlignment w:val="auto"/>
        <w:rPr>
          <w:rFonts w:hint="eastAsia" w:ascii="仿宋" w:hAnsi="仿宋" w:eastAsia="仿宋" w:cs="仿宋"/>
          <w:b/>
          <w:color w:val="000000" w:themeColor="text1"/>
          <w:kern w:val="0"/>
          <w:sz w:val="24"/>
          <w:szCs w:val="24"/>
          <w14:textFill>
            <w14:solidFill>
              <w14:schemeClr w14:val="tx1"/>
            </w14:solidFill>
          </w14:textFill>
        </w:rPr>
      </w:pPr>
      <w:r>
        <w:rPr>
          <w:rFonts w:hint="eastAsia" w:ascii="仿宋" w:hAnsi="仿宋" w:eastAsia="仿宋" w:cs="仿宋"/>
          <w:b/>
          <w:color w:val="000000" w:themeColor="text1"/>
          <w:kern w:val="0"/>
          <w:sz w:val="24"/>
          <w:szCs w:val="24"/>
          <w14:textFill>
            <w14:solidFill>
              <w14:schemeClr w14:val="tx1"/>
            </w14:solidFill>
          </w14:textFill>
        </w:rPr>
        <w:t>（</w:t>
      </w:r>
      <w:r>
        <w:rPr>
          <w:rFonts w:hint="eastAsia" w:ascii="仿宋" w:hAnsi="仿宋" w:eastAsia="仿宋" w:cs="仿宋"/>
          <w:b/>
          <w:color w:val="000000" w:themeColor="text1"/>
          <w:kern w:val="0"/>
          <w:sz w:val="24"/>
          <w:szCs w:val="24"/>
          <w:lang w:val="en-US" w:eastAsia="zh-CN"/>
          <w14:textFill>
            <w14:solidFill>
              <w14:schemeClr w14:val="tx1"/>
            </w14:solidFill>
          </w14:textFill>
        </w:rPr>
        <w:t>3</w:t>
      </w:r>
      <w:r>
        <w:rPr>
          <w:rFonts w:hint="eastAsia" w:ascii="仿宋" w:hAnsi="仿宋" w:eastAsia="仿宋" w:cs="仿宋"/>
          <w:b/>
          <w:color w:val="000000" w:themeColor="text1"/>
          <w:kern w:val="0"/>
          <w:sz w:val="24"/>
          <w:szCs w:val="24"/>
          <w14:textFill>
            <w14:solidFill>
              <w14:schemeClr w14:val="tx1"/>
            </w14:solidFill>
          </w14:textFill>
        </w:rPr>
        <w:t>）竞价成功，买受人应于拍卖成交之日起3日内向淘宝平台支付平台软件服务费，收费标准以淘宝平台发布为准，该费用由买受人承担。</w:t>
      </w:r>
    </w:p>
    <w:p w14:paraId="2576CC17">
      <w:pPr>
        <w:keepNext w:val="0"/>
        <w:keepLines w:val="0"/>
        <w:pageBreakBefore w:val="0"/>
        <w:widowControl/>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b/>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5、拍卖成交后买受人未按拍卖公告规定的期限支付完毕拍卖成交款、淘宝平台软件服务费、拍卖服务费或因买受人资格问题导致无法支付的，视为买受人放弃该标的物的竞拍，管理人将重新挂拍。重新拍卖时，原买受人不得参加竞买，原买受人交纳的保证金不予退还，依次用于支付拍卖产生的费用损失、弥补重新拍卖价款低于原拍卖价款的差价、冲抵本案的债务以及与拍卖财产相关的债务。原买受人缴纳的保证金不足以弥补重新拍卖价款低于原拍卖价款的差价、拍卖产生的费用的，管理人可以责令原买受人补交</w:t>
      </w:r>
      <w:r>
        <w:rPr>
          <w:rFonts w:hint="eastAsia" w:ascii="仿宋" w:hAnsi="仿宋" w:eastAsia="仿宋" w:cs="仿宋"/>
          <w:color w:val="000000" w:themeColor="text1"/>
          <w:kern w:val="0"/>
          <w:sz w:val="24"/>
          <w:szCs w:val="24"/>
          <w:lang w:eastAsia="zh-Hans"/>
          <w14:textFill>
            <w14:solidFill>
              <w14:schemeClr w14:val="tx1"/>
            </w14:solidFill>
          </w14:textFill>
        </w:rPr>
        <w:t>，拒绝补交的，管理人可向悔拍人追索。</w:t>
      </w:r>
    </w:p>
    <w:p w14:paraId="05996D58">
      <w:pPr>
        <w:keepNext w:val="0"/>
        <w:keepLines w:val="0"/>
        <w:pageBreakBefore w:val="0"/>
        <w:widowControl/>
        <w:kinsoku/>
        <w:wordWrap/>
        <w:overflowPunct/>
        <w:topLinePunct w:val="0"/>
        <w:autoSpaceDE/>
        <w:autoSpaceDN/>
        <w:bidi w:val="0"/>
        <w:adjustRightInd/>
        <w:snapToGrid/>
        <w:spacing w:line="420" w:lineRule="exact"/>
        <w:ind w:firstLine="482" w:firstLineChars="200"/>
        <w:jc w:val="left"/>
        <w:textAlignment w:val="auto"/>
        <w:rPr>
          <w:rFonts w:ascii="仿宋" w:hAnsi="仿宋" w:eastAsia="仿宋" w:cs="仿宋"/>
          <w:b/>
          <w:color w:val="000000" w:themeColor="text1"/>
          <w:kern w:val="0"/>
          <w:sz w:val="24"/>
          <w:szCs w:val="24"/>
          <w14:textFill>
            <w14:solidFill>
              <w14:schemeClr w14:val="tx1"/>
            </w14:solidFill>
          </w14:textFill>
        </w:rPr>
      </w:pPr>
      <w:r>
        <w:rPr>
          <w:rFonts w:hint="eastAsia" w:ascii="仿宋" w:hAnsi="仿宋" w:eastAsia="仿宋" w:cs="仿宋"/>
          <w:b/>
          <w:bCs/>
          <w:color w:val="000000" w:themeColor="text1"/>
          <w:kern w:val="0"/>
          <w:sz w:val="24"/>
          <w:szCs w:val="24"/>
          <w14:textFill>
            <w14:solidFill>
              <w14:schemeClr w14:val="tx1"/>
            </w14:solidFill>
          </w14:textFill>
        </w:rPr>
        <w:t>八、</w:t>
      </w:r>
      <w:r>
        <w:rPr>
          <w:rFonts w:hint="eastAsia" w:ascii="仿宋" w:hAnsi="仿宋" w:eastAsia="仿宋" w:cs="仿宋"/>
          <w:b/>
          <w:color w:val="000000" w:themeColor="text1"/>
          <w:kern w:val="0"/>
          <w:sz w:val="24"/>
          <w:szCs w:val="24"/>
          <w14:textFill>
            <w14:solidFill>
              <w14:schemeClr w14:val="tx1"/>
            </w14:solidFill>
          </w14:textFill>
        </w:rPr>
        <w:t>标的物交付</w:t>
      </w:r>
    </w:p>
    <w:p w14:paraId="0A7FB127">
      <w:pPr>
        <w:keepNext w:val="0"/>
        <w:keepLines w:val="0"/>
        <w:pageBreakBefore w:val="0"/>
        <w:widowControl/>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1、在买受人全额支付完拍卖成交款项和按规定支付淘宝平台软件服务费以及拍卖佣金等费用后，管理人以标的物实物现状进行交付，竞买公告中涉及的标的物相关情况介绍仅供参考，最终以拍卖成交后移交时的现状为准。</w:t>
      </w:r>
    </w:p>
    <w:p w14:paraId="3140C1B4">
      <w:pPr>
        <w:keepNext w:val="0"/>
        <w:keepLines w:val="0"/>
        <w:pageBreakBefore w:val="0"/>
        <w:widowControl/>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2、拍卖成交后，管理人向买受人</w:t>
      </w:r>
      <w:r>
        <w:rPr>
          <w:rFonts w:hint="eastAsia" w:ascii="仿宋" w:hAnsi="仿宋" w:eastAsia="仿宋" w:cs="仿宋"/>
          <w:color w:val="000000" w:themeColor="text1"/>
          <w:kern w:val="0"/>
          <w:sz w:val="24"/>
          <w:szCs w:val="24"/>
          <w:lang w:val="en-US" w:eastAsia="zh-CN"/>
          <w14:textFill>
            <w14:solidFill>
              <w14:schemeClr w14:val="tx1"/>
            </w14:solidFill>
          </w14:textFill>
        </w:rPr>
        <w:t>提供淘宝拍卖平台生成的</w:t>
      </w:r>
      <w:r>
        <w:rPr>
          <w:rFonts w:hint="eastAsia" w:ascii="仿宋" w:hAnsi="仿宋" w:eastAsia="仿宋" w:cs="仿宋"/>
          <w:color w:val="000000" w:themeColor="text1"/>
          <w:kern w:val="0"/>
          <w:sz w:val="24"/>
          <w:szCs w:val="24"/>
          <w14:textFill>
            <w14:solidFill>
              <w14:schemeClr w14:val="tx1"/>
            </w14:solidFill>
          </w14:textFill>
        </w:rPr>
        <w:t>《网络竞价成功确认书》，管理人</w:t>
      </w:r>
      <w:r>
        <w:rPr>
          <w:rFonts w:hint="eastAsia" w:ascii="仿宋" w:hAnsi="仿宋" w:eastAsia="仿宋" w:cs="Helvetica"/>
          <w:color w:val="000000" w:themeColor="text1"/>
          <w:kern w:val="0"/>
          <w:sz w:val="24"/>
          <w:szCs w:val="24"/>
          <w14:textFill>
            <w14:solidFill>
              <w14:schemeClr w14:val="tx1"/>
            </w14:solidFill>
          </w14:textFill>
        </w:rPr>
        <w:t>管理人</w:t>
      </w:r>
      <w:r>
        <w:rPr>
          <w:rFonts w:hint="eastAsia" w:ascii="仿宋" w:hAnsi="仿宋" w:eastAsia="仿宋" w:cs="Helvetica"/>
          <w:color w:val="000000" w:themeColor="text1"/>
          <w:kern w:val="0"/>
          <w:sz w:val="24"/>
          <w:szCs w:val="24"/>
          <w:lang w:val="en-US" w:eastAsia="zh-CN"/>
          <w14:textFill>
            <w14:solidFill>
              <w14:schemeClr w14:val="tx1"/>
            </w14:solidFill>
          </w14:textFill>
        </w:rPr>
        <w:t>与</w:t>
      </w:r>
      <w:r>
        <w:rPr>
          <w:rFonts w:hint="eastAsia" w:ascii="仿宋" w:hAnsi="仿宋" w:eastAsia="仿宋" w:cs="Helvetica"/>
          <w:color w:val="000000" w:themeColor="text1"/>
          <w:kern w:val="0"/>
          <w:sz w:val="24"/>
          <w:szCs w:val="24"/>
          <w14:textFill>
            <w14:solidFill>
              <w14:schemeClr w14:val="tx1"/>
            </w14:solidFill>
          </w14:textFill>
        </w:rPr>
        <w:t>买</w:t>
      </w:r>
      <w:r>
        <w:rPr>
          <w:rFonts w:hint="eastAsia" w:ascii="仿宋" w:hAnsi="仿宋" w:eastAsia="仿宋" w:cs="仿宋"/>
          <w:color w:val="000000" w:themeColor="text1"/>
          <w:kern w:val="0"/>
          <w:sz w:val="24"/>
          <w:szCs w:val="24"/>
          <w14:textFill>
            <w14:solidFill>
              <w14:schemeClr w14:val="tx1"/>
            </w14:solidFill>
          </w14:textFill>
        </w:rPr>
        <w:t>受人</w:t>
      </w:r>
      <w:r>
        <w:rPr>
          <w:rFonts w:hint="eastAsia" w:ascii="仿宋" w:hAnsi="仿宋" w:eastAsia="仿宋" w:cs="仿宋"/>
          <w:color w:val="000000" w:themeColor="text1"/>
          <w:kern w:val="0"/>
          <w:sz w:val="24"/>
          <w:szCs w:val="24"/>
          <w:lang w:val="en-US" w:eastAsia="zh-CN"/>
          <w14:textFill>
            <w14:solidFill>
              <w14:schemeClr w14:val="tx1"/>
            </w14:solidFill>
          </w14:textFill>
        </w:rPr>
        <w:t>签订《拍卖成交确认书》《移交确认书》</w:t>
      </w:r>
      <w:r>
        <w:rPr>
          <w:rFonts w:hint="eastAsia" w:ascii="仿宋" w:hAnsi="仿宋" w:eastAsia="仿宋" w:cs="仿宋"/>
          <w:color w:val="000000" w:themeColor="text1"/>
          <w:kern w:val="0"/>
          <w:sz w:val="24"/>
          <w:szCs w:val="24"/>
          <w14:textFill>
            <w14:solidFill>
              <w14:schemeClr w14:val="tx1"/>
            </w14:solidFill>
          </w14:textFill>
        </w:rPr>
        <w:t>即视为履行完全部交付义务。</w:t>
      </w:r>
    </w:p>
    <w:p w14:paraId="57DF2F07">
      <w:pPr>
        <w:keepNext w:val="0"/>
        <w:keepLines w:val="0"/>
        <w:pageBreakBefore w:val="0"/>
        <w:widowControl/>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3、买受人付清全款并收到管理人交付通知后应及时办理</w:t>
      </w:r>
      <w:r>
        <w:rPr>
          <w:rFonts w:hint="eastAsia" w:ascii="仿宋" w:hAnsi="仿宋" w:eastAsia="仿宋" w:cs="仿宋"/>
          <w:color w:val="000000" w:themeColor="text1"/>
          <w:kern w:val="0"/>
          <w:sz w:val="24"/>
          <w:szCs w:val="24"/>
          <w:lang w:val="en-US" w:eastAsia="zh-CN"/>
          <w14:textFill>
            <w14:solidFill>
              <w14:schemeClr w14:val="tx1"/>
            </w14:solidFill>
          </w14:textFill>
        </w:rPr>
        <w:t>移交手续</w:t>
      </w:r>
      <w:r>
        <w:rPr>
          <w:rFonts w:hint="eastAsia" w:ascii="仿宋" w:hAnsi="仿宋" w:eastAsia="仿宋" w:cs="仿宋"/>
          <w:color w:val="000000" w:themeColor="text1"/>
          <w:kern w:val="0"/>
          <w:sz w:val="24"/>
          <w:szCs w:val="24"/>
          <w14:textFill>
            <w14:solidFill>
              <w14:schemeClr w14:val="tx1"/>
            </w14:solidFill>
          </w14:textFill>
        </w:rPr>
        <w:t>，逾期不办理的，买受人应支付由此产生的相关费用</w:t>
      </w:r>
      <w:r>
        <w:rPr>
          <w:rFonts w:hint="eastAsia" w:ascii="仿宋" w:hAnsi="仿宋" w:eastAsia="仿宋" w:cs="仿宋"/>
          <w:color w:val="000000" w:themeColor="text1"/>
          <w:kern w:val="0"/>
          <w:sz w:val="24"/>
          <w:szCs w:val="24"/>
          <w:lang w:eastAsia="zh-CN"/>
          <w14:textFill>
            <w14:solidFill>
              <w14:schemeClr w14:val="tx1"/>
            </w14:solidFill>
          </w14:textFill>
        </w:rPr>
        <w:t>（</w:t>
      </w:r>
      <w:r>
        <w:rPr>
          <w:rFonts w:hint="eastAsia" w:ascii="仿宋" w:hAnsi="仿宋" w:eastAsia="仿宋" w:cs="仿宋"/>
          <w:color w:val="000000" w:themeColor="text1"/>
          <w:kern w:val="0"/>
          <w:sz w:val="24"/>
          <w:szCs w:val="24"/>
          <w:lang w:val="en-US" w:eastAsia="zh-CN"/>
          <w14:textFill>
            <w14:solidFill>
              <w14:schemeClr w14:val="tx1"/>
            </w14:solidFill>
          </w14:textFill>
        </w:rPr>
        <w:t>包括但不限于保管费等）</w:t>
      </w:r>
      <w:r>
        <w:rPr>
          <w:rFonts w:hint="eastAsia" w:ascii="仿宋" w:hAnsi="仿宋" w:eastAsia="仿宋" w:cs="仿宋"/>
          <w:color w:val="000000" w:themeColor="text1"/>
          <w:kern w:val="0"/>
          <w:sz w:val="24"/>
          <w:szCs w:val="24"/>
          <w14:textFill>
            <w14:solidFill>
              <w14:schemeClr w14:val="tx1"/>
            </w14:solidFill>
          </w14:textFill>
        </w:rPr>
        <w:t>，并承担本标的物可能发生的损毁、灭失等后果。</w:t>
      </w:r>
    </w:p>
    <w:p w14:paraId="09C25D8A">
      <w:pPr>
        <w:keepNext w:val="0"/>
        <w:keepLines w:val="0"/>
        <w:pageBreakBefore w:val="0"/>
        <w:widowControl/>
        <w:kinsoku/>
        <w:wordWrap/>
        <w:overflowPunct/>
        <w:topLinePunct w:val="0"/>
        <w:autoSpaceDE/>
        <w:autoSpaceDN/>
        <w:bidi w:val="0"/>
        <w:adjustRightInd/>
        <w:snapToGrid/>
        <w:spacing w:line="420" w:lineRule="exact"/>
        <w:ind w:firstLine="482"/>
        <w:jc w:val="left"/>
        <w:textAlignment w:val="auto"/>
        <w:rPr>
          <w:rFonts w:hint="eastAsia" w:ascii="仿宋" w:hAnsi="仿宋" w:eastAsia="仿宋" w:cs="仿宋"/>
          <w:b/>
          <w:color w:val="000000" w:themeColor="text1"/>
          <w:kern w:val="0"/>
          <w:sz w:val="24"/>
          <w:szCs w:val="24"/>
          <w14:textFill>
            <w14:solidFill>
              <w14:schemeClr w14:val="tx1"/>
            </w14:solidFill>
          </w14:textFill>
        </w:rPr>
      </w:pPr>
      <w:r>
        <w:rPr>
          <w:rFonts w:hint="eastAsia" w:ascii="仿宋" w:hAnsi="仿宋" w:eastAsia="仿宋" w:cs="仿宋"/>
          <w:b/>
          <w:color w:val="000000" w:themeColor="text1"/>
          <w:kern w:val="0"/>
          <w:sz w:val="24"/>
          <w:szCs w:val="24"/>
          <w:lang w:eastAsia="zh-Hans"/>
          <w14:textFill>
            <w14:solidFill>
              <w14:schemeClr w14:val="tx1"/>
            </w14:solidFill>
          </w14:textFill>
        </w:rPr>
        <w:t>九、</w:t>
      </w:r>
      <w:r>
        <w:rPr>
          <w:rFonts w:hint="eastAsia" w:ascii="仿宋" w:hAnsi="仿宋" w:eastAsia="仿宋" w:cs="仿宋"/>
          <w:b/>
          <w:color w:val="000000" w:themeColor="text1"/>
          <w:kern w:val="0"/>
          <w:sz w:val="24"/>
          <w:szCs w:val="24"/>
          <w14:textFill>
            <w14:solidFill>
              <w14:schemeClr w14:val="tx1"/>
            </w14:solidFill>
          </w14:textFill>
        </w:rPr>
        <w:t>特别提醒</w:t>
      </w:r>
    </w:p>
    <w:p w14:paraId="631043CB">
      <w:pPr>
        <w:keepNext w:val="0"/>
        <w:keepLines w:val="0"/>
        <w:pageBreakBefore w:val="0"/>
        <w:widowControl/>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1、关于拍卖时应注意的问题及瑕疵情况：</w:t>
      </w:r>
    </w:p>
    <w:p w14:paraId="6B5321B4">
      <w:pPr>
        <w:keepNext w:val="0"/>
        <w:keepLines w:val="0"/>
        <w:pageBreakBefore w:val="0"/>
        <w:widowControl/>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1）郑重声明：本次拍卖标的物以现状带瑕疵（含显性、隐性瑕疵）进行拍卖，并以现状为准进行交付，竞买人注意并在拍卖前详细了解该标的情况、现状和瑕疵，然后再参加竞拍。未标明的瑕疵由买受人自行承担，请各竞买人自行了解。</w:t>
      </w:r>
    </w:p>
    <w:p w14:paraId="3659EF41">
      <w:pPr>
        <w:keepNext w:val="0"/>
        <w:keepLines w:val="0"/>
        <w:pageBreakBefore w:val="0"/>
        <w:widowControl/>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（2）</w:t>
      </w:r>
      <w:r>
        <w:rPr>
          <w:rFonts w:hint="eastAsia" w:ascii="仿宋" w:hAnsi="仿宋" w:eastAsia="仿宋" w:cs="仿宋"/>
          <w:b/>
          <w:color w:val="000000" w:themeColor="text1"/>
          <w:kern w:val="0"/>
          <w:sz w:val="24"/>
          <w:szCs w:val="24"/>
          <w14:textFill>
            <w14:solidFill>
              <w14:schemeClr w14:val="tx1"/>
            </w14:solidFill>
          </w14:textFill>
        </w:rPr>
        <w:t>本次竞买公告所披露的各种情况说明</w:t>
      </w:r>
      <w:r>
        <w:rPr>
          <w:rFonts w:hint="eastAsia" w:ascii="仿宋" w:hAnsi="仿宋" w:eastAsia="仿宋" w:cs="仿宋"/>
          <w:b/>
          <w:bCs/>
          <w:color w:val="000000" w:themeColor="text1"/>
          <w:kern w:val="0"/>
          <w:sz w:val="24"/>
          <w:szCs w:val="24"/>
          <w14:textFill>
            <w14:solidFill>
              <w14:schemeClr w14:val="tx1"/>
            </w14:solidFill>
          </w14:textFill>
        </w:rPr>
        <w:t>（包括不限于评估报告、照片</w:t>
      </w:r>
      <w:r>
        <w:rPr>
          <w:rFonts w:hint="eastAsia" w:ascii="仿宋" w:hAnsi="仿宋" w:eastAsia="仿宋" w:cs="仿宋"/>
          <w:b/>
          <w:bCs/>
          <w:color w:val="000000" w:themeColor="text1"/>
          <w:kern w:val="0"/>
          <w:sz w:val="24"/>
          <w:szCs w:val="24"/>
          <w:lang w:eastAsia="zh-CN"/>
          <w14:textFill>
            <w14:solidFill>
              <w14:schemeClr w14:val="tx1"/>
            </w14:solidFill>
          </w14:textFill>
        </w:rPr>
        <w:t>、</w:t>
      </w:r>
      <w:r>
        <w:rPr>
          <w:rFonts w:hint="eastAsia" w:ascii="仿宋" w:hAnsi="仿宋" w:eastAsia="仿宋" w:cs="仿宋"/>
          <w:b/>
          <w:bCs/>
          <w:color w:val="000000" w:themeColor="text1"/>
          <w:kern w:val="0"/>
          <w:sz w:val="24"/>
          <w:szCs w:val="24"/>
          <w:lang w:val="en-US" w:eastAsia="zh-CN"/>
          <w14:textFill>
            <w14:solidFill>
              <w14:schemeClr w14:val="tx1"/>
            </w14:solidFill>
          </w14:textFill>
        </w:rPr>
        <w:t>视频</w:t>
      </w:r>
      <w:r>
        <w:rPr>
          <w:rFonts w:hint="eastAsia" w:ascii="仿宋" w:hAnsi="仿宋" w:eastAsia="仿宋" w:cs="仿宋"/>
          <w:b/>
          <w:bCs/>
          <w:color w:val="000000" w:themeColor="text1"/>
          <w:kern w:val="0"/>
          <w:sz w:val="24"/>
          <w:szCs w:val="24"/>
          <w14:textFill>
            <w14:solidFill>
              <w14:schemeClr w14:val="tx1"/>
            </w14:solidFill>
          </w14:textFill>
        </w:rPr>
        <w:t>及数据等）</w:t>
      </w:r>
      <w:r>
        <w:rPr>
          <w:rFonts w:hint="eastAsia" w:ascii="仿宋" w:hAnsi="仿宋" w:eastAsia="仿宋" w:cs="仿宋"/>
          <w:b/>
          <w:color w:val="000000" w:themeColor="text1"/>
          <w:kern w:val="0"/>
          <w:sz w:val="24"/>
          <w:szCs w:val="24"/>
          <w14:textFill>
            <w14:solidFill>
              <w14:schemeClr w14:val="tx1"/>
            </w14:solidFill>
          </w14:textFill>
        </w:rPr>
        <w:t>和瑕疵（含显性、隐性瑕疵）仅供参考，</w:t>
      </w:r>
      <w:r>
        <w:rPr>
          <w:rFonts w:hint="eastAsia" w:ascii="仿宋" w:hAnsi="仿宋" w:eastAsia="仿宋" w:cs="仿宋"/>
          <w:color w:val="000000" w:themeColor="text1"/>
          <w:kern w:val="0"/>
          <w:sz w:val="24"/>
          <w:szCs w:val="24"/>
          <w14:textFill>
            <w14:solidFill>
              <w14:schemeClr w14:val="tx1"/>
            </w14:solidFill>
          </w14:textFill>
        </w:rPr>
        <w:t>不能作为竞买人判断、权衡价值的最终依据，</w:t>
      </w:r>
      <w:r>
        <w:rPr>
          <w:rFonts w:hint="eastAsia" w:ascii="仿宋" w:hAnsi="仿宋" w:eastAsia="仿宋" w:cs="仿宋"/>
          <w:color w:val="000000" w:themeColor="text1"/>
          <w:kern w:val="0"/>
          <w:sz w:val="24"/>
          <w:szCs w:val="24"/>
          <w:lang w:eastAsia="zh-CN"/>
          <w14:textFill>
            <w14:solidFill>
              <w14:schemeClr w14:val="tx1"/>
            </w14:solidFill>
          </w14:textFill>
        </w:rPr>
        <w:t>重庆凯尔特机械制造有限公司</w:t>
      </w:r>
      <w:r>
        <w:rPr>
          <w:rFonts w:hint="eastAsia" w:ascii="仿宋" w:hAnsi="仿宋" w:eastAsia="仿宋" w:cs="仿宋"/>
          <w:color w:val="000000" w:themeColor="text1"/>
          <w:kern w:val="0"/>
          <w:sz w:val="24"/>
          <w:szCs w:val="24"/>
          <w14:textFill>
            <w14:solidFill>
              <w14:schemeClr w14:val="tx1"/>
            </w14:solidFill>
          </w14:textFill>
        </w:rPr>
        <w:t>管理人和拍卖公司不能保证该标的不存在其它缺陷，诸如本公告列举但可能并未穷尽的涉及到标的物的各种瑕疵情况、各种欠税、欠费以及其他的相关费用或者其他的各种不利情况和负担、不利影响等。竞买人务必于拍卖日前亲自对该拍卖标的物的法律及自然现状进行深入而全面地了解，包括亲自查验拍卖标的物、向相关管理部门了解标的现状或聘请专家鉴定。竞买人一旦完成报名手续，即表明对该标的的现状已作全面了解，法院、管理人和拍卖公司不承担对上述拍卖标的物的一切已知和其他可能存在未知的瑕疵及缺陷的任何担保责任。</w:t>
      </w:r>
    </w:p>
    <w:p w14:paraId="16C68A45">
      <w:pPr>
        <w:keepNext w:val="0"/>
        <w:keepLines w:val="0"/>
        <w:pageBreakBefore w:val="0"/>
        <w:widowControl/>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（3）已知优先购买权人由管理人通知，未接到通知的，本公示</w:t>
      </w:r>
      <w:r>
        <w:rPr>
          <w:rFonts w:hint="eastAsia" w:ascii="仿宋" w:hAnsi="仿宋" w:eastAsia="仿宋" w:cs="仿宋"/>
          <w:bCs/>
          <w:color w:val="000000" w:themeColor="text1"/>
          <w:kern w:val="0"/>
          <w:sz w:val="24"/>
          <w:szCs w:val="24"/>
          <w14:textFill>
            <w14:solidFill>
              <w14:schemeClr w14:val="tx1"/>
            </w14:solidFill>
          </w14:textFill>
        </w:rPr>
        <w:t>满5日视为已经通知。</w:t>
      </w:r>
    </w:p>
    <w:p w14:paraId="60D7EADA">
      <w:pPr>
        <w:keepNext w:val="0"/>
        <w:keepLines w:val="0"/>
        <w:pageBreakBefore w:val="0"/>
        <w:widowControl/>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bCs/>
          <w:color w:val="000000" w:themeColor="text1"/>
          <w:kern w:val="0"/>
          <w:sz w:val="24"/>
          <w:szCs w:val="24"/>
          <w14:textFill>
            <w14:solidFill>
              <w14:schemeClr w14:val="tx1"/>
            </w14:solidFill>
          </w14:textFill>
        </w:rPr>
        <w:t>（4）对上述标的物的权属有异议者，请于拍卖开始前3日与管理人联系。</w:t>
      </w:r>
    </w:p>
    <w:p w14:paraId="1D4BF259">
      <w:pPr>
        <w:pStyle w:val="7"/>
        <w:keepNext w:val="0"/>
        <w:keepLines w:val="0"/>
        <w:pageBreakBefore w:val="0"/>
        <w:kinsoku/>
        <w:wordWrap/>
        <w:overflowPunct/>
        <w:topLinePunct w:val="0"/>
        <w:autoSpaceDE/>
        <w:autoSpaceDN/>
        <w:bidi w:val="0"/>
        <w:adjustRightInd/>
        <w:snapToGrid/>
        <w:spacing w:before="0" w:beforeAutospacing="0" w:after="0" w:afterAutospacing="0" w:line="420" w:lineRule="exact"/>
        <w:ind w:firstLine="480"/>
        <w:jc w:val="left"/>
        <w:textAlignment w:val="auto"/>
        <w:rPr>
          <w:rFonts w:hint="eastAsia" w:ascii="仿宋" w:hAnsi="仿宋" w:eastAsia="仿宋" w:cs="仿宋"/>
          <w:color w:val="000000" w:themeColor="text1"/>
          <w:szCs w:val="24"/>
          <w14:textFill>
            <w14:solidFill>
              <w14:schemeClr w14:val="tx1"/>
            </w14:solidFill>
          </w14:textFill>
        </w:rPr>
      </w:pPr>
      <w:r>
        <w:rPr>
          <w:rFonts w:hint="eastAsia" w:ascii="仿宋" w:hAnsi="仿宋" w:eastAsia="仿宋" w:cs="仿宋"/>
          <w:bCs/>
          <w:color w:val="000000" w:themeColor="text1"/>
          <w:szCs w:val="24"/>
          <w14:textFill>
            <w14:solidFill>
              <w14:schemeClr w14:val="tx1"/>
            </w14:solidFill>
          </w14:textFill>
        </w:rPr>
        <w:t>2、</w:t>
      </w:r>
      <w:r>
        <w:rPr>
          <w:rFonts w:hint="eastAsia" w:ascii="仿宋" w:hAnsi="仿宋" w:eastAsia="仿宋" w:cs="仿宋"/>
          <w:color w:val="000000"/>
        </w:rPr>
        <w:t>因标的为破产财产性质，标的成交后，破产人无法提供发票。</w:t>
      </w:r>
    </w:p>
    <w:p w14:paraId="7F0D23CD">
      <w:pPr>
        <w:keepNext w:val="0"/>
        <w:keepLines w:val="0"/>
        <w:pageBreakBefore w:val="0"/>
        <w:widowControl/>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bCs/>
          <w:color w:val="000000" w:themeColor="text1"/>
          <w:kern w:val="0"/>
          <w:sz w:val="24"/>
          <w:szCs w:val="24"/>
          <w14:textFill>
            <w14:solidFill>
              <w14:schemeClr w14:val="tx1"/>
            </w14:solidFill>
          </w14:textFill>
        </w:rPr>
        <w:t>3、参加竞买的人应当遵守《竞买公告》《竞买须知》等规定，不得阻扰其他竞买人竞拍，不得操纵、垄断竞拍价格，严禁竞买人恶意串标，上述行为一经发现，将取消其竞买资格，并追究相关的法律责任。</w:t>
      </w:r>
    </w:p>
    <w:p w14:paraId="23F5A815">
      <w:pPr>
        <w:keepNext w:val="0"/>
        <w:keepLines w:val="0"/>
        <w:pageBreakBefore w:val="0"/>
        <w:widowControl/>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bCs/>
          <w:color w:val="000000" w:themeColor="text1"/>
          <w:kern w:val="0"/>
          <w:sz w:val="24"/>
          <w:szCs w:val="24"/>
          <w14:textFill>
            <w14:solidFill>
              <w14:schemeClr w14:val="tx1"/>
            </w14:solidFill>
          </w14:textFill>
        </w:rPr>
        <w:t>4、管理人可依法定事由暂缓拍卖、中止拍卖或撤回拍卖。</w:t>
      </w:r>
    </w:p>
    <w:p w14:paraId="1EDD608B">
      <w:pPr>
        <w:keepNext w:val="0"/>
        <w:keepLines w:val="0"/>
        <w:pageBreakBefore w:val="0"/>
        <w:widowControl/>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竞买人在拍卖竞价前请务必仔细阅读管理人及拍卖机构发布的《竞买公告》《竞买须知》等材料所披露的内容，进行实地看样、调查标的物信息（如过户要求等）、了解竞买资质、竞价规则、尾款支付等内容。如违反相关约定，您的保证金可能会被划扣并产生其他法律责任，请理性参拍。</w:t>
      </w:r>
    </w:p>
    <w:p w14:paraId="2F5DD3FF">
      <w:pPr>
        <w:keepNext w:val="0"/>
        <w:keepLines w:val="0"/>
        <w:pageBreakBefore w:val="0"/>
        <w:widowControl/>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5、如无特别说明，本《竞买公告》中的“日”为自然日。 </w:t>
      </w:r>
    </w:p>
    <w:p w14:paraId="2F5501B8">
      <w:pPr>
        <w:keepNext w:val="0"/>
        <w:keepLines w:val="0"/>
        <w:pageBreakBefore w:val="0"/>
        <w:widowControl/>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本公告未尽事宜，请拨打有关电话咨询。</w:t>
      </w:r>
    </w:p>
    <w:p w14:paraId="43CFC500">
      <w:pPr>
        <w:keepNext w:val="0"/>
        <w:keepLines w:val="0"/>
        <w:pageBreakBefore w:val="0"/>
        <w:widowControl/>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咨询电话&amp;自助预约：</w:t>
      </w:r>
    </w:p>
    <w:p w14:paraId="745E45CD">
      <w:pPr>
        <w:keepNext w:val="0"/>
        <w:keepLines w:val="0"/>
        <w:pageBreakBefore w:val="0"/>
        <w:widowControl/>
        <w:kinsoku/>
        <w:wordWrap/>
        <w:overflowPunct/>
        <w:topLinePunct w:val="0"/>
        <w:autoSpaceDE/>
        <w:autoSpaceDN/>
        <w:bidi w:val="0"/>
        <w:adjustRightInd/>
        <w:snapToGrid/>
        <w:spacing w:line="420" w:lineRule="exact"/>
        <w:ind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重庆光大佳拍拍卖有限公司：400-8336773 </w:t>
      </w:r>
      <w:r>
        <w:rPr>
          <w:rFonts w:hint="eastAsia" w:ascii="仿宋" w:hAnsi="仿宋" w:eastAsia="仿宋" w:cs="仿宋"/>
          <w:color w:val="000000" w:themeColor="text1"/>
          <w:kern w:val="0"/>
          <w:sz w:val="24"/>
          <w:szCs w:val="24"/>
          <w:lang w:eastAsia="zh-CN"/>
          <w14:textFill>
            <w14:solidFill>
              <w14:schemeClr w14:val="tx1"/>
            </w14:solidFill>
          </w14:textFill>
        </w:rPr>
        <w:t>郭老师15123440300</w:t>
      </w:r>
    </w:p>
    <w:p w14:paraId="3D2426F4">
      <w:pPr>
        <w:keepNext w:val="0"/>
        <w:keepLines w:val="0"/>
        <w:pageBreakBefore w:val="0"/>
        <w:widowControl/>
        <w:kinsoku/>
        <w:wordWrap/>
        <w:overflowPunct/>
        <w:topLinePunct w:val="0"/>
        <w:autoSpaceDE/>
        <w:autoSpaceDN/>
        <w:bidi w:val="0"/>
        <w:adjustRightInd/>
        <w:snapToGrid/>
        <w:spacing w:line="420" w:lineRule="exact"/>
        <w:ind w:right="720" w:firstLine="480"/>
        <w:jc w:val="left"/>
        <w:textAlignment w:val="auto"/>
        <w:rPr>
          <w:rFonts w:hint="eastAsia" w:ascii="仿宋" w:hAnsi="仿宋" w:eastAsia="仿宋" w:cs="仿宋"/>
          <w:color w:val="000000"/>
          <w:sz w:val="24"/>
          <w:szCs w:val="24"/>
        </w:rPr>
      </w:pPr>
      <w:r>
        <w:rPr>
          <w:rFonts w:hint="eastAsia" w:ascii="仿宋" w:hAnsi="仿宋" w:eastAsia="仿宋" w:cs="仿宋"/>
          <w:color w:val="000000"/>
          <w:sz w:val="24"/>
          <w:szCs w:val="24"/>
        </w:rPr>
        <w:t>淘宝技术咨询电话：400-822-2870</w:t>
      </w:r>
    </w:p>
    <w:p w14:paraId="3EB119FD">
      <w:pPr>
        <w:keepNext w:val="0"/>
        <w:keepLines w:val="0"/>
        <w:pageBreakBefore w:val="0"/>
        <w:widowControl/>
        <w:kinsoku/>
        <w:wordWrap/>
        <w:overflowPunct/>
        <w:topLinePunct w:val="0"/>
        <w:autoSpaceDE/>
        <w:autoSpaceDN/>
        <w:bidi w:val="0"/>
        <w:adjustRightInd/>
        <w:snapToGrid/>
        <w:spacing w:line="420" w:lineRule="exact"/>
        <w:ind w:right="720" w:firstLine="3360" w:firstLineChars="1400"/>
        <w:jc w:val="left"/>
        <w:textAlignment w:val="auto"/>
        <w:rPr>
          <w:rFonts w:hint="eastAsia" w:ascii="仿宋" w:hAnsi="仿宋" w:eastAsia="仿宋" w:cs="仿宋"/>
          <w:color w:val="000000" w:themeColor="text1"/>
          <w:kern w:val="0"/>
          <w:sz w:val="24"/>
          <w:szCs w:val="24"/>
          <w:lang w:eastAsia="zh-CN"/>
          <w14:textFill>
            <w14:solidFill>
              <w14:schemeClr w14:val="tx1"/>
            </w14:solidFill>
          </w14:textFill>
        </w:rPr>
      </w:pPr>
    </w:p>
    <w:p w14:paraId="7E4C93D5">
      <w:pPr>
        <w:keepNext w:val="0"/>
        <w:keepLines w:val="0"/>
        <w:pageBreakBefore w:val="0"/>
        <w:widowControl/>
        <w:kinsoku/>
        <w:wordWrap/>
        <w:overflowPunct/>
        <w:topLinePunct w:val="0"/>
        <w:autoSpaceDE/>
        <w:autoSpaceDN/>
        <w:bidi w:val="0"/>
        <w:adjustRightInd/>
        <w:snapToGrid/>
        <w:spacing w:line="420" w:lineRule="exact"/>
        <w:ind w:right="720" w:firstLine="3360" w:firstLineChars="140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lang w:eastAsia="zh-CN"/>
          <w14:textFill>
            <w14:solidFill>
              <w14:schemeClr w14:val="tx1"/>
            </w14:solidFill>
          </w14:textFill>
        </w:rPr>
        <w:t>重庆凯尔特机械制造有限公司</w:t>
      </w:r>
      <w:r>
        <w:rPr>
          <w:rFonts w:hint="eastAsia" w:ascii="仿宋" w:hAnsi="仿宋" w:eastAsia="仿宋" w:cs="仿宋"/>
          <w:color w:val="000000" w:themeColor="text1"/>
          <w:kern w:val="0"/>
          <w:sz w:val="24"/>
          <w:szCs w:val="24"/>
          <w14:textFill>
            <w14:solidFill>
              <w14:schemeClr w14:val="tx1"/>
            </w14:solidFill>
          </w14:textFill>
        </w:rPr>
        <w:t>管理人</w:t>
      </w:r>
    </w:p>
    <w:p w14:paraId="6F6AAA24">
      <w:pPr>
        <w:keepNext w:val="0"/>
        <w:keepLines w:val="0"/>
        <w:pageBreakBefore w:val="0"/>
        <w:tabs>
          <w:tab w:val="left" w:pos="5205"/>
        </w:tabs>
        <w:kinsoku/>
        <w:wordWrap/>
        <w:overflowPunct/>
        <w:topLinePunct w:val="0"/>
        <w:autoSpaceDE/>
        <w:autoSpaceDN/>
        <w:bidi w:val="0"/>
        <w:adjustRightInd/>
        <w:snapToGrid/>
        <w:spacing w:line="420" w:lineRule="exact"/>
        <w:ind w:firstLine="4800" w:firstLineChars="200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202</w:t>
      </w:r>
      <w:r>
        <w:rPr>
          <w:rFonts w:hint="eastAsia" w:ascii="仿宋" w:hAnsi="仿宋" w:eastAsia="仿宋" w:cs="仿宋"/>
          <w:color w:val="000000" w:themeColor="text1"/>
          <w:kern w:val="0"/>
          <w:sz w:val="24"/>
          <w:szCs w:val="24"/>
          <w:lang w:val="en-US" w:eastAsia="zh-CN"/>
          <w14:textFill>
            <w14:solidFill>
              <w14:schemeClr w14:val="tx1"/>
            </w14:solidFill>
          </w14:textFill>
        </w:rPr>
        <w:t>6</w:t>
      </w:r>
      <w:r>
        <w:rPr>
          <w:rFonts w:hint="eastAsia" w:ascii="仿宋" w:hAnsi="仿宋" w:eastAsia="仿宋" w:cs="仿宋"/>
          <w:color w:val="000000" w:themeColor="text1"/>
          <w:kern w:val="0"/>
          <w:sz w:val="24"/>
          <w:szCs w:val="24"/>
          <w14:textFill>
            <w14:solidFill>
              <w14:schemeClr w14:val="tx1"/>
            </w14:solidFill>
          </w14:textFill>
        </w:rPr>
        <w:t>年</w:t>
      </w:r>
      <w:r>
        <w:rPr>
          <w:rFonts w:hint="eastAsia" w:ascii="仿宋" w:hAnsi="仿宋" w:eastAsia="仿宋" w:cs="仿宋"/>
          <w:color w:val="000000" w:themeColor="text1"/>
          <w:kern w:val="0"/>
          <w:sz w:val="24"/>
          <w:szCs w:val="24"/>
          <w:lang w:val="en-US" w:eastAsia="zh-CN"/>
          <w14:textFill>
            <w14:solidFill>
              <w14:schemeClr w14:val="tx1"/>
            </w14:solidFill>
          </w14:textFill>
        </w:rPr>
        <w:t>1</w:t>
      </w:r>
      <w:r>
        <w:rPr>
          <w:rFonts w:hint="eastAsia" w:ascii="仿宋" w:hAnsi="仿宋" w:eastAsia="仿宋" w:cs="仿宋"/>
          <w:color w:val="000000" w:themeColor="text1"/>
          <w:kern w:val="0"/>
          <w:sz w:val="24"/>
          <w:szCs w:val="24"/>
          <w14:textFill>
            <w14:solidFill>
              <w14:schemeClr w14:val="tx1"/>
            </w14:solidFill>
          </w14:textFill>
        </w:rPr>
        <w:t>月</w:t>
      </w:r>
      <w:r>
        <w:rPr>
          <w:rFonts w:hint="eastAsia" w:ascii="仿宋" w:hAnsi="仿宋" w:eastAsia="仿宋" w:cs="仿宋"/>
          <w:color w:val="000000" w:themeColor="text1"/>
          <w:kern w:val="0"/>
          <w:sz w:val="24"/>
          <w:szCs w:val="24"/>
          <w:lang w:val="en-US" w:eastAsia="zh-CN"/>
          <w14:textFill>
            <w14:solidFill>
              <w14:schemeClr w14:val="tx1"/>
            </w14:solidFill>
          </w14:textFill>
        </w:rPr>
        <w:t>19</w:t>
      </w:r>
      <w:r>
        <w:rPr>
          <w:rFonts w:hint="eastAsia" w:ascii="仿宋" w:hAnsi="仿宋" w:eastAsia="仿宋" w:cs="仿宋"/>
          <w:color w:val="000000" w:themeColor="text1"/>
          <w:kern w:val="0"/>
          <w:sz w:val="24"/>
          <w:szCs w:val="24"/>
          <w14:textFill>
            <w14:solidFill>
              <w14:schemeClr w14:val="tx1"/>
            </w14:solidFill>
          </w14:textFill>
        </w:rPr>
        <w:t>日</w:t>
      </w:r>
    </w:p>
    <w:p w14:paraId="0D991474">
      <w:pPr>
        <w:keepNext w:val="0"/>
        <w:keepLines w:val="0"/>
        <w:pageBreakBefore w:val="0"/>
        <w:tabs>
          <w:tab w:val="left" w:pos="5205"/>
        </w:tabs>
        <w:kinsoku/>
        <w:wordWrap/>
        <w:overflowPunct/>
        <w:topLinePunct w:val="0"/>
        <w:autoSpaceDE/>
        <w:autoSpaceDN/>
        <w:bidi w:val="0"/>
        <w:adjustRightInd/>
        <w:snapToGrid/>
        <w:spacing w:line="420" w:lineRule="exact"/>
        <w:ind w:right="1680" w:firstLine="723"/>
        <w:jc w:val="left"/>
        <w:textAlignment w:val="auto"/>
        <w:rPr>
          <w:rFonts w:hint="eastAsia" w:ascii="仿宋" w:hAnsi="仿宋" w:eastAsia="仿宋" w:cs="仿宋"/>
          <w:b/>
          <w:bCs/>
          <w:sz w:val="36"/>
          <w:szCs w:val="36"/>
        </w:rPr>
      </w:pPr>
    </w:p>
    <w:p w14:paraId="4FDDA44C">
      <w:pPr>
        <w:keepNext w:val="0"/>
        <w:keepLines w:val="0"/>
        <w:pageBreakBefore w:val="0"/>
        <w:tabs>
          <w:tab w:val="left" w:pos="5205"/>
        </w:tabs>
        <w:kinsoku/>
        <w:wordWrap/>
        <w:overflowPunct/>
        <w:topLinePunct w:val="0"/>
        <w:autoSpaceDE/>
        <w:autoSpaceDN/>
        <w:bidi w:val="0"/>
        <w:adjustRightInd/>
        <w:snapToGrid/>
        <w:spacing w:line="420" w:lineRule="exact"/>
        <w:ind w:left="0" w:leftChars="0" w:right="1680" w:firstLine="2409" w:firstLineChars="1000"/>
        <w:jc w:val="left"/>
        <w:textAlignment w:val="auto"/>
        <w:rPr>
          <w:rFonts w:hint="eastAsia" w:ascii="仿宋" w:hAnsi="仿宋" w:eastAsia="仿宋" w:cs="仿宋"/>
          <w:b/>
          <w:bCs/>
          <w:sz w:val="24"/>
          <w:szCs w:val="24"/>
          <w:lang w:val="en-US" w:eastAsia="zh-CN"/>
        </w:rPr>
      </w:pPr>
      <w:r>
        <w:rPr>
          <w:rFonts w:hint="eastAsia" w:ascii="仿宋" w:hAnsi="仿宋" w:eastAsia="仿宋" w:cs="仿宋"/>
          <w:b/>
          <w:bCs/>
          <w:sz w:val="24"/>
          <w:szCs w:val="24"/>
        </w:rPr>
        <w:t xml:space="preserve"> </w:t>
      </w:r>
      <w:r>
        <w:rPr>
          <w:rFonts w:hint="eastAsia" w:ascii="仿宋" w:hAnsi="仿宋" w:eastAsia="仿宋" w:cs="仿宋"/>
          <w:b/>
          <w:bCs/>
          <w:sz w:val="24"/>
          <w:szCs w:val="24"/>
          <w:lang w:val="en-US" w:eastAsia="zh-CN"/>
        </w:rPr>
        <w:t xml:space="preserve">     </w:t>
      </w:r>
    </w:p>
    <w:p w14:paraId="6A85F1C7">
      <w:pPr>
        <w:keepNext w:val="0"/>
        <w:keepLines w:val="0"/>
        <w:pageBreakBefore w:val="0"/>
        <w:tabs>
          <w:tab w:val="left" w:pos="5205"/>
        </w:tabs>
        <w:kinsoku/>
        <w:wordWrap/>
        <w:overflowPunct/>
        <w:topLinePunct w:val="0"/>
        <w:autoSpaceDE/>
        <w:autoSpaceDN/>
        <w:bidi w:val="0"/>
        <w:adjustRightInd/>
        <w:snapToGrid/>
        <w:spacing w:line="420" w:lineRule="exact"/>
        <w:ind w:left="0" w:leftChars="0" w:right="1680" w:firstLine="0" w:firstLineChars="0"/>
        <w:jc w:val="left"/>
        <w:textAlignment w:val="auto"/>
        <w:rPr>
          <w:rFonts w:hint="eastAsia" w:ascii="仿宋" w:hAnsi="仿宋" w:eastAsia="仿宋" w:cs="仿宋"/>
          <w:b/>
          <w:bCs/>
          <w:sz w:val="24"/>
          <w:szCs w:val="24"/>
          <w:lang w:val="en-US" w:eastAsia="zh-CN"/>
        </w:rPr>
      </w:pPr>
    </w:p>
    <w:p w14:paraId="7AD1D1FC">
      <w:pPr>
        <w:keepNext w:val="0"/>
        <w:keepLines w:val="0"/>
        <w:pageBreakBefore w:val="0"/>
        <w:tabs>
          <w:tab w:val="left" w:pos="5205"/>
        </w:tabs>
        <w:kinsoku/>
        <w:wordWrap/>
        <w:overflowPunct/>
        <w:topLinePunct w:val="0"/>
        <w:autoSpaceDE/>
        <w:autoSpaceDN/>
        <w:bidi w:val="0"/>
        <w:adjustRightInd/>
        <w:snapToGrid/>
        <w:spacing w:line="420" w:lineRule="exact"/>
        <w:ind w:right="1680"/>
        <w:jc w:val="center"/>
        <w:textAlignment w:val="auto"/>
        <w:rPr>
          <w:rFonts w:hint="eastAsia" w:ascii="仿宋" w:hAnsi="仿宋" w:eastAsia="仿宋" w:cs="仿宋"/>
          <w:b/>
          <w:bCs/>
          <w:sz w:val="36"/>
          <w:szCs w:val="36"/>
        </w:rPr>
      </w:pPr>
      <w:r>
        <w:rPr>
          <w:rFonts w:hint="eastAsia" w:ascii="仿宋" w:hAnsi="仿宋" w:eastAsia="仿宋" w:cs="仿宋"/>
          <w:b/>
          <w:bCs/>
          <w:sz w:val="36"/>
          <w:szCs w:val="36"/>
        </w:rPr>
        <w:t>竞买须知</w:t>
      </w:r>
    </w:p>
    <w:p w14:paraId="1DEA060D">
      <w:pPr>
        <w:keepNext w:val="0"/>
        <w:keepLines w:val="0"/>
        <w:pageBreakBefore w:val="0"/>
        <w:tabs>
          <w:tab w:val="left" w:pos="5205"/>
        </w:tabs>
        <w:kinsoku/>
        <w:wordWrap/>
        <w:overflowPunct/>
        <w:topLinePunct w:val="0"/>
        <w:autoSpaceDE/>
        <w:autoSpaceDN/>
        <w:bidi w:val="0"/>
        <w:adjustRightInd/>
        <w:snapToGrid/>
        <w:spacing w:line="420" w:lineRule="exact"/>
        <w:ind w:left="0" w:leftChars="0" w:right="1680" w:firstLine="3614" w:firstLineChars="1000"/>
        <w:jc w:val="left"/>
        <w:textAlignment w:val="auto"/>
        <w:rPr>
          <w:rFonts w:hint="eastAsia" w:ascii="仿宋" w:hAnsi="仿宋" w:eastAsia="仿宋" w:cs="仿宋"/>
          <w:b/>
          <w:bCs/>
          <w:sz w:val="36"/>
          <w:szCs w:val="36"/>
        </w:rPr>
      </w:pPr>
    </w:p>
    <w:p w14:paraId="65736423">
      <w:pPr>
        <w:keepNext w:val="0"/>
        <w:keepLines w:val="0"/>
        <w:pageBreakBefore w:val="0"/>
        <w:widowControl/>
        <w:kinsoku/>
        <w:wordWrap/>
        <w:overflowPunct/>
        <w:topLinePunct w:val="0"/>
        <w:autoSpaceDE/>
        <w:autoSpaceDN/>
        <w:bidi w:val="0"/>
        <w:adjustRightInd/>
        <w:snapToGrid/>
        <w:spacing w:line="420" w:lineRule="exact"/>
        <w:ind w:right="810"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lang w:eastAsia="zh-CN"/>
          <w14:textFill>
            <w14:solidFill>
              <w14:schemeClr w14:val="tx1"/>
            </w14:solidFill>
          </w14:textFill>
        </w:rPr>
        <w:t>重庆凯尔特机械制造有限公司</w:t>
      </w:r>
      <w:r>
        <w:rPr>
          <w:rFonts w:hint="eastAsia" w:ascii="仿宋" w:hAnsi="仿宋" w:eastAsia="仿宋" w:cs="仿宋"/>
          <w:color w:val="000000" w:themeColor="text1"/>
          <w:kern w:val="0"/>
          <w:sz w:val="24"/>
          <w:szCs w:val="24"/>
          <w14:textFill>
            <w14:solidFill>
              <w14:schemeClr w14:val="tx1"/>
            </w14:solidFill>
          </w14:textFill>
        </w:rPr>
        <w:t>管理人（以下简称“管理人”）将于</w:t>
      </w:r>
      <w:r>
        <w:rPr>
          <w:rFonts w:hint="eastAsia" w:ascii="仿宋" w:hAnsi="仿宋" w:eastAsia="仿宋" w:cs="仿宋"/>
          <w:b/>
          <w:color w:val="000000" w:themeColor="text1"/>
          <w:kern w:val="0"/>
          <w:sz w:val="24"/>
          <w:szCs w:val="24"/>
          <w14:textFill>
            <w14:solidFill>
              <w14:schemeClr w14:val="tx1"/>
            </w14:solidFill>
          </w14:textFill>
        </w:rPr>
        <w:t>202</w:t>
      </w:r>
      <w:r>
        <w:rPr>
          <w:rFonts w:hint="eastAsia" w:ascii="仿宋" w:hAnsi="仿宋" w:eastAsia="仿宋" w:cs="仿宋"/>
          <w:b/>
          <w:color w:val="000000" w:themeColor="text1"/>
          <w:kern w:val="0"/>
          <w:sz w:val="24"/>
          <w:szCs w:val="24"/>
          <w:lang w:val="en-US" w:eastAsia="zh-CN"/>
          <w14:textFill>
            <w14:solidFill>
              <w14:schemeClr w14:val="tx1"/>
            </w14:solidFill>
          </w14:textFill>
        </w:rPr>
        <w:t>6</w:t>
      </w:r>
      <w:r>
        <w:rPr>
          <w:rFonts w:hint="eastAsia" w:ascii="仿宋" w:hAnsi="仿宋" w:eastAsia="仿宋" w:cs="仿宋"/>
          <w:b/>
          <w:color w:val="000000" w:themeColor="text1"/>
          <w:kern w:val="0"/>
          <w:sz w:val="24"/>
          <w:szCs w:val="24"/>
          <w14:textFill>
            <w14:solidFill>
              <w14:schemeClr w14:val="tx1"/>
            </w14:solidFill>
          </w14:textFill>
        </w:rPr>
        <w:t>年</w:t>
      </w:r>
      <w:r>
        <w:rPr>
          <w:rFonts w:hint="eastAsia" w:ascii="仿宋" w:hAnsi="仿宋" w:eastAsia="仿宋" w:cs="仿宋"/>
          <w:b/>
          <w:color w:val="000000" w:themeColor="text1"/>
          <w:kern w:val="0"/>
          <w:sz w:val="24"/>
          <w:szCs w:val="24"/>
          <w:lang w:val="en-US" w:eastAsia="zh-CN"/>
          <w14:textFill>
            <w14:solidFill>
              <w14:schemeClr w14:val="tx1"/>
            </w14:solidFill>
          </w14:textFill>
        </w:rPr>
        <w:t>2</w:t>
      </w:r>
      <w:r>
        <w:rPr>
          <w:rFonts w:hint="eastAsia" w:ascii="仿宋" w:hAnsi="仿宋" w:eastAsia="仿宋" w:cs="仿宋"/>
          <w:b/>
          <w:color w:val="000000" w:themeColor="text1"/>
          <w:kern w:val="0"/>
          <w:sz w:val="24"/>
          <w:szCs w:val="24"/>
          <w14:textFill>
            <w14:solidFill>
              <w14:schemeClr w14:val="tx1"/>
            </w14:solidFill>
          </w14:textFill>
        </w:rPr>
        <w:t>月</w:t>
      </w:r>
      <w:r>
        <w:rPr>
          <w:rFonts w:hint="eastAsia" w:ascii="仿宋" w:hAnsi="仿宋" w:eastAsia="仿宋" w:cs="仿宋"/>
          <w:b/>
          <w:color w:val="000000" w:themeColor="text1"/>
          <w:kern w:val="0"/>
          <w:sz w:val="24"/>
          <w:szCs w:val="24"/>
          <w:lang w:val="en-US" w:eastAsia="zh-CN"/>
          <w14:textFill>
            <w14:solidFill>
              <w14:schemeClr w14:val="tx1"/>
            </w14:solidFill>
          </w14:textFill>
        </w:rPr>
        <w:t>4</w:t>
      </w:r>
      <w:r>
        <w:rPr>
          <w:rFonts w:hint="eastAsia" w:ascii="仿宋" w:hAnsi="仿宋" w:eastAsia="仿宋" w:cs="仿宋"/>
          <w:b/>
          <w:color w:val="000000" w:themeColor="text1"/>
          <w:kern w:val="0"/>
          <w:sz w:val="24"/>
          <w:szCs w:val="24"/>
          <w14:textFill>
            <w14:solidFill>
              <w14:schemeClr w14:val="tx1"/>
            </w14:solidFill>
          </w14:textFill>
        </w:rPr>
        <w:t>日10时至202</w:t>
      </w:r>
      <w:r>
        <w:rPr>
          <w:rFonts w:hint="eastAsia" w:ascii="仿宋" w:hAnsi="仿宋" w:eastAsia="仿宋" w:cs="仿宋"/>
          <w:b/>
          <w:color w:val="000000" w:themeColor="text1"/>
          <w:kern w:val="0"/>
          <w:sz w:val="24"/>
          <w:szCs w:val="24"/>
          <w:lang w:val="en-US" w:eastAsia="zh-CN"/>
          <w14:textFill>
            <w14:solidFill>
              <w14:schemeClr w14:val="tx1"/>
            </w14:solidFill>
          </w14:textFill>
        </w:rPr>
        <w:t>6</w:t>
      </w:r>
      <w:r>
        <w:rPr>
          <w:rFonts w:hint="eastAsia" w:ascii="仿宋" w:hAnsi="仿宋" w:eastAsia="仿宋" w:cs="仿宋"/>
          <w:b/>
          <w:color w:val="000000" w:themeColor="text1"/>
          <w:kern w:val="0"/>
          <w:sz w:val="24"/>
          <w:szCs w:val="24"/>
          <w14:textFill>
            <w14:solidFill>
              <w14:schemeClr w14:val="tx1"/>
            </w14:solidFill>
          </w14:textFill>
        </w:rPr>
        <w:t>年</w:t>
      </w:r>
      <w:r>
        <w:rPr>
          <w:rFonts w:hint="eastAsia" w:ascii="仿宋" w:hAnsi="仿宋" w:eastAsia="仿宋" w:cs="仿宋"/>
          <w:b/>
          <w:color w:val="000000" w:themeColor="text1"/>
          <w:kern w:val="0"/>
          <w:sz w:val="24"/>
          <w:szCs w:val="24"/>
          <w:lang w:val="en-US" w:eastAsia="zh-CN"/>
          <w14:textFill>
            <w14:solidFill>
              <w14:schemeClr w14:val="tx1"/>
            </w14:solidFill>
          </w14:textFill>
        </w:rPr>
        <w:t>2</w:t>
      </w:r>
      <w:r>
        <w:rPr>
          <w:rFonts w:hint="eastAsia" w:ascii="仿宋" w:hAnsi="仿宋" w:eastAsia="仿宋" w:cs="仿宋"/>
          <w:b/>
          <w:color w:val="000000" w:themeColor="text1"/>
          <w:kern w:val="0"/>
          <w:sz w:val="24"/>
          <w:szCs w:val="24"/>
          <w14:textFill>
            <w14:solidFill>
              <w14:schemeClr w14:val="tx1"/>
            </w14:solidFill>
          </w14:textFill>
        </w:rPr>
        <w:t>月</w:t>
      </w:r>
      <w:r>
        <w:rPr>
          <w:rFonts w:hint="eastAsia" w:ascii="仿宋" w:hAnsi="仿宋" w:eastAsia="仿宋" w:cs="仿宋"/>
          <w:b/>
          <w:color w:val="000000" w:themeColor="text1"/>
          <w:kern w:val="0"/>
          <w:sz w:val="24"/>
          <w:szCs w:val="24"/>
          <w:lang w:val="en-US" w:eastAsia="zh-CN"/>
          <w14:textFill>
            <w14:solidFill>
              <w14:schemeClr w14:val="tx1"/>
            </w14:solidFill>
          </w14:textFill>
        </w:rPr>
        <w:t>5</w:t>
      </w:r>
      <w:r>
        <w:rPr>
          <w:rFonts w:hint="eastAsia" w:ascii="仿宋" w:hAnsi="仿宋" w:eastAsia="仿宋" w:cs="仿宋"/>
          <w:b/>
          <w:color w:val="000000" w:themeColor="text1"/>
          <w:kern w:val="0"/>
          <w:sz w:val="24"/>
          <w:szCs w:val="24"/>
          <w14:textFill>
            <w14:solidFill>
              <w14:schemeClr w14:val="tx1"/>
            </w14:solidFill>
          </w14:textFill>
        </w:rPr>
        <w:t>日10时止</w:t>
      </w:r>
      <w:r>
        <w:rPr>
          <w:rFonts w:hint="eastAsia" w:ascii="仿宋" w:hAnsi="仿宋" w:eastAsia="仿宋" w:cs="仿宋"/>
          <w:color w:val="000000" w:themeColor="text1"/>
          <w:kern w:val="0"/>
          <w:sz w:val="24"/>
          <w:szCs w:val="24"/>
          <w14:textFill>
            <w14:solidFill>
              <w14:schemeClr w14:val="tx1"/>
            </w14:solidFill>
          </w14:textFill>
        </w:rPr>
        <w:t>（延时除外）在淘宝网阿里拍卖平台上（委托单位：</w:t>
      </w:r>
      <w:r>
        <w:rPr>
          <w:rFonts w:hint="eastAsia" w:ascii="仿宋" w:hAnsi="仿宋" w:eastAsia="仿宋" w:cs="仿宋"/>
          <w:color w:val="000000" w:themeColor="text1"/>
          <w:kern w:val="0"/>
          <w:sz w:val="24"/>
          <w:szCs w:val="24"/>
          <w:lang w:eastAsia="zh-CN"/>
          <w14:textFill>
            <w14:solidFill>
              <w14:schemeClr w14:val="tx1"/>
            </w14:solidFill>
          </w14:textFill>
        </w:rPr>
        <w:t>重庆凯尔特机械制造有限公司</w:t>
      </w:r>
      <w:r>
        <w:rPr>
          <w:rFonts w:hint="eastAsia" w:ascii="仿宋" w:hAnsi="仿宋" w:eastAsia="仿宋" w:cs="仿宋"/>
          <w:color w:val="000000" w:themeColor="text1"/>
          <w:kern w:val="0"/>
          <w:sz w:val="24"/>
          <w:szCs w:val="24"/>
          <w14:textFill>
            <w14:solidFill>
              <w14:schemeClr w14:val="tx1"/>
            </w14:solidFill>
          </w14:textFill>
        </w:rPr>
        <w:t>管理人，监督单位：</w:t>
      </w:r>
      <w:r>
        <w:rPr>
          <w:rFonts w:hint="eastAsia" w:ascii="仿宋" w:hAnsi="仿宋" w:eastAsia="仿宋" w:cs="仿宋"/>
          <w:color w:val="000000" w:themeColor="text1"/>
          <w:kern w:val="0"/>
          <w:sz w:val="24"/>
          <w:szCs w:val="24"/>
          <w:lang w:eastAsia="zh-CN"/>
          <w14:textFill>
            <w14:solidFill>
              <w14:schemeClr w14:val="tx1"/>
            </w14:solidFill>
          </w14:textFill>
        </w:rPr>
        <w:t>重庆市北碚区人民法院</w:t>
      </w:r>
      <w:r>
        <w:rPr>
          <w:rFonts w:hint="eastAsia" w:ascii="仿宋" w:hAnsi="仿宋" w:eastAsia="仿宋" w:cs="仿宋"/>
          <w:color w:val="000000" w:themeColor="text1"/>
          <w:kern w:val="0"/>
          <w:sz w:val="24"/>
          <w:szCs w:val="24"/>
          <w14:textFill>
            <w14:solidFill>
              <w14:schemeClr w14:val="tx1"/>
            </w14:solidFill>
          </w14:textFill>
        </w:rPr>
        <w:t>，网址：https://susong.taobao.com）进行公开破产财产拍卖活动。</w:t>
      </w:r>
    </w:p>
    <w:p w14:paraId="174C5F82">
      <w:pPr>
        <w:keepNext w:val="0"/>
        <w:keepLines w:val="0"/>
        <w:pageBreakBefore w:val="0"/>
        <w:widowControl/>
        <w:kinsoku/>
        <w:wordWrap/>
        <w:overflowPunct/>
        <w:topLinePunct w:val="0"/>
        <w:autoSpaceDE/>
        <w:autoSpaceDN/>
        <w:bidi w:val="0"/>
        <w:adjustRightInd/>
        <w:snapToGrid/>
        <w:spacing w:line="420" w:lineRule="exact"/>
        <w:ind w:right="810"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现就网上拍卖有关事宜敬告各位竞买人：</w:t>
      </w:r>
    </w:p>
    <w:p w14:paraId="49BEF30C">
      <w:pPr>
        <w:keepNext w:val="0"/>
        <w:keepLines w:val="0"/>
        <w:pageBreakBefore w:val="0"/>
        <w:widowControl/>
        <w:kinsoku/>
        <w:wordWrap/>
        <w:overflowPunct/>
        <w:topLinePunct w:val="0"/>
        <w:autoSpaceDE/>
        <w:autoSpaceDN/>
        <w:bidi w:val="0"/>
        <w:adjustRightInd/>
        <w:snapToGrid/>
        <w:spacing w:line="420" w:lineRule="exact"/>
        <w:ind w:right="810"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一、本《竞买须知》根据《中华人民共和国民事诉讼法》《最高人民法院关于人民法院网络司法拍卖若干问题的规定》等相关法律规定所制订，竞买人应认真仔细阅读，了解本须知的全部内容。</w:t>
      </w:r>
    </w:p>
    <w:p w14:paraId="516AC1F0">
      <w:pPr>
        <w:keepNext w:val="0"/>
        <w:keepLines w:val="0"/>
        <w:pageBreakBefore w:val="0"/>
        <w:widowControl/>
        <w:kinsoku/>
        <w:wordWrap/>
        <w:overflowPunct/>
        <w:topLinePunct w:val="0"/>
        <w:autoSpaceDE/>
        <w:autoSpaceDN/>
        <w:bidi w:val="0"/>
        <w:adjustRightInd/>
        <w:snapToGrid/>
        <w:spacing w:line="420" w:lineRule="exact"/>
        <w:ind w:right="810"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二、本次拍卖活动遵循“公开、公平、公正、诚实守信”的原则，拍卖活动具备法律效力。参加本次拍卖活动的当事人和竞买人必须遵守本须知的各项条款，并对自己的行为承担法律责任。</w:t>
      </w:r>
    </w:p>
    <w:p w14:paraId="3206FB3A">
      <w:pPr>
        <w:keepNext w:val="0"/>
        <w:keepLines w:val="0"/>
        <w:pageBreakBefore w:val="0"/>
        <w:widowControl/>
        <w:kinsoku/>
        <w:wordWrap/>
        <w:overflowPunct/>
        <w:topLinePunct w:val="0"/>
        <w:autoSpaceDE/>
        <w:autoSpaceDN/>
        <w:bidi w:val="0"/>
        <w:adjustRightInd/>
        <w:snapToGrid/>
        <w:spacing w:line="420" w:lineRule="exact"/>
        <w:ind w:right="810"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三、凡具备完全民事行为能力的公民、法人和其他组织均可参加竞买，若买受人不具备完全民事行为能力其委托人或代理人必须具备完全民事行为能力；法律、行政法规、司法解释对买受人资格或者条件有特殊规定的，竞买人应当具备规定的资格或者条件。因不符合条件参加竞买的，由竞买人自行承担相应的法律责任。</w:t>
      </w:r>
    </w:p>
    <w:p w14:paraId="695B4FDC">
      <w:pPr>
        <w:keepNext w:val="0"/>
        <w:keepLines w:val="0"/>
        <w:pageBreakBefore w:val="0"/>
        <w:widowControl/>
        <w:kinsoku/>
        <w:wordWrap/>
        <w:overflowPunct/>
        <w:topLinePunct w:val="0"/>
        <w:autoSpaceDE/>
        <w:autoSpaceDN/>
        <w:bidi w:val="0"/>
        <w:adjustRightInd/>
        <w:snapToGrid/>
        <w:spacing w:line="420" w:lineRule="exact"/>
        <w:ind w:right="810"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竞买人可委托代理人（具备完全民事行为能力的自然人）进行，但须在竞买开始前向拍卖公司办理委托手续；竞买成功后，竞买人（法定代表人、其他组织的负责人）须与委托代理人一同到拍卖公司办理交接手续。如委托手续不全，竞买活动认定为委托代理人的个人行为。因不符合条件参加竞买的，由竞买人自行承担相应的法律责任。</w:t>
      </w:r>
    </w:p>
    <w:p w14:paraId="7C1A0D37">
      <w:pPr>
        <w:keepNext w:val="0"/>
        <w:keepLines w:val="0"/>
        <w:pageBreakBefore w:val="0"/>
        <w:widowControl/>
        <w:kinsoku/>
        <w:wordWrap/>
        <w:overflowPunct/>
        <w:topLinePunct w:val="0"/>
        <w:autoSpaceDE/>
        <w:autoSpaceDN/>
        <w:bidi w:val="0"/>
        <w:adjustRightInd/>
        <w:snapToGrid/>
        <w:spacing w:line="420" w:lineRule="exact"/>
        <w:ind w:right="810"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四、本次拍卖活动设置延时出价功能，在拍卖活动结束前，每最后5分钟如果有竞买人出价，就自动延迟5分钟。</w:t>
      </w:r>
    </w:p>
    <w:p w14:paraId="20E617FF">
      <w:pPr>
        <w:keepNext w:val="0"/>
        <w:keepLines w:val="0"/>
        <w:pageBreakBefore w:val="0"/>
        <w:widowControl/>
        <w:kinsoku/>
        <w:wordWrap/>
        <w:overflowPunct/>
        <w:topLinePunct w:val="0"/>
        <w:autoSpaceDE/>
        <w:autoSpaceDN/>
        <w:bidi w:val="0"/>
        <w:adjustRightInd/>
        <w:snapToGrid/>
        <w:spacing w:line="420" w:lineRule="exact"/>
        <w:ind w:right="810"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五、本次拍卖是经法定公告期和展示期后才举行，就拍卖标的物已知及可能存在的瑕疵已在本次拍卖资料中作了详尽的说明。对拍卖标的物所作的说明和提供的资料、图片等，仅供竞买人参考，不构成对标的物的任何承诺、保证。所以请竞买人在拍卖前必须仔细审查拍卖标的物，调查是否存在瑕疵，认真研究查看所竞买标的物的实际情况，并请亲临展示现场，实地看样。未看样的竞买人视为对本标的实物现状的确认，慎重决定竞买行为，竞买人完成报名手续，即视为已完全了解并认可标的物的现状和一切已知及未知的瑕疵，并以其独立判断决定自愿以现状竞买本标的。</w:t>
      </w:r>
    </w:p>
    <w:p w14:paraId="4C0397A7">
      <w:pPr>
        <w:keepNext w:val="0"/>
        <w:keepLines w:val="0"/>
        <w:pageBreakBefore w:val="0"/>
        <w:widowControl/>
        <w:kinsoku/>
        <w:wordWrap/>
        <w:overflowPunct/>
        <w:topLinePunct w:val="0"/>
        <w:autoSpaceDE/>
        <w:autoSpaceDN/>
        <w:bidi w:val="0"/>
        <w:adjustRightInd/>
        <w:snapToGrid/>
        <w:spacing w:line="420" w:lineRule="exact"/>
        <w:ind w:right="810"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对拍卖标的能否办理过户手续以及办理时间等情况，请竞买人在竞买前自行到相关职能部门咨询确认，因标的物现状及存在瑕疵等原因不能或者延迟办理过户手续造成的费用增加等情况后果自负，管理人不作能否过户及办理时间的任何承诺。</w:t>
      </w:r>
    </w:p>
    <w:p w14:paraId="00A28011">
      <w:pPr>
        <w:keepNext w:val="0"/>
        <w:keepLines w:val="0"/>
        <w:pageBreakBefore w:val="0"/>
        <w:widowControl/>
        <w:kinsoku/>
        <w:wordWrap/>
        <w:overflowPunct/>
        <w:topLinePunct w:val="0"/>
        <w:autoSpaceDE/>
        <w:autoSpaceDN/>
        <w:bidi w:val="0"/>
        <w:adjustRightInd/>
        <w:snapToGrid/>
        <w:spacing w:line="420" w:lineRule="exact"/>
        <w:ind w:right="810"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六、拍卖成交后买受人未按拍卖公告规定的期限交付完毕拍卖成交款、淘宝平台软件服务费和拍卖服务费用或因买受人资格问题导致无法过户的，管理人将重新挂拍。重新拍卖时，原买受人不得参加竞买。原买受人交纳的保证金不予退还，依次用于支付拍卖产生的费用损失、弥补重新拍卖价款低于原拍卖价款的差价、冲抵破产人的债务以及与拍卖财产相关的破产人的债务。原买受人交纳的保证金不足以弥补重新拍卖价款低于原拍卖价款的差价、拍卖产生的费用的，可以责令原买受人补交，拒绝补交的，管理人可向悔拍人追索。</w:t>
      </w:r>
    </w:p>
    <w:p w14:paraId="3FDE32BD">
      <w:pPr>
        <w:keepNext w:val="0"/>
        <w:keepLines w:val="0"/>
        <w:pageBreakBefore w:val="0"/>
        <w:widowControl/>
        <w:kinsoku/>
        <w:wordWrap/>
        <w:overflowPunct/>
        <w:topLinePunct w:val="0"/>
        <w:autoSpaceDE/>
        <w:autoSpaceDN/>
        <w:bidi w:val="0"/>
        <w:adjustRightInd/>
        <w:snapToGrid/>
        <w:spacing w:line="420" w:lineRule="exact"/>
        <w:ind w:right="810"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七、买受人付款后应及时与管理人联系，并办理过户和交付手续，逾期不办理的应支付由此产生的费用，并承担本标的物可能发生的损毁、灭失等后果。</w:t>
      </w:r>
    </w:p>
    <w:p w14:paraId="76ED9696">
      <w:pPr>
        <w:keepNext w:val="0"/>
        <w:keepLines w:val="0"/>
        <w:pageBreakBefore w:val="0"/>
        <w:widowControl/>
        <w:kinsoku/>
        <w:wordWrap/>
        <w:overflowPunct/>
        <w:topLinePunct w:val="0"/>
        <w:autoSpaceDE/>
        <w:autoSpaceDN/>
        <w:bidi w:val="0"/>
        <w:adjustRightInd/>
        <w:snapToGrid/>
        <w:spacing w:line="420" w:lineRule="exact"/>
        <w:ind w:right="810"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八、本次拍卖活动计价货币为人民币，拍卖时的起拍价、成交价均不含买受人在拍卖标的物交割、过户时所发生的全部费用和税费。</w:t>
      </w:r>
    </w:p>
    <w:p w14:paraId="7E40C7B1">
      <w:pPr>
        <w:keepNext w:val="0"/>
        <w:keepLines w:val="0"/>
        <w:pageBreakBefore w:val="0"/>
        <w:widowControl/>
        <w:kinsoku/>
        <w:wordWrap/>
        <w:overflowPunct/>
        <w:topLinePunct w:val="0"/>
        <w:autoSpaceDE/>
        <w:autoSpaceDN/>
        <w:bidi w:val="0"/>
        <w:adjustRightInd/>
        <w:snapToGrid/>
        <w:spacing w:line="420" w:lineRule="exact"/>
        <w:ind w:right="810"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九、买受人应自行办理标的相关户名变更手续。</w:t>
      </w:r>
    </w:p>
    <w:p w14:paraId="2B14A499">
      <w:pPr>
        <w:keepNext w:val="0"/>
        <w:keepLines w:val="0"/>
        <w:pageBreakBefore w:val="0"/>
        <w:widowControl/>
        <w:kinsoku/>
        <w:wordWrap/>
        <w:overflowPunct/>
        <w:topLinePunct w:val="0"/>
        <w:autoSpaceDE/>
        <w:autoSpaceDN/>
        <w:bidi w:val="0"/>
        <w:adjustRightInd/>
        <w:snapToGrid/>
        <w:spacing w:line="420" w:lineRule="exact"/>
        <w:ind w:right="810"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十、竞买人应当遵守拍卖须知的规定，不得阻挠其他竞买人竞拍，不得操纵、垄断竞拍价格，严禁竞买人恶意串标，上述行为一经发现，将取消其竞买资格，并追究相关的法律责任。</w:t>
      </w:r>
    </w:p>
    <w:p w14:paraId="58F48658">
      <w:pPr>
        <w:keepNext w:val="0"/>
        <w:keepLines w:val="0"/>
        <w:pageBreakBefore w:val="0"/>
        <w:widowControl/>
        <w:kinsoku/>
        <w:wordWrap/>
        <w:overflowPunct/>
        <w:topLinePunct w:val="0"/>
        <w:autoSpaceDE/>
        <w:autoSpaceDN/>
        <w:bidi w:val="0"/>
        <w:adjustRightInd/>
        <w:snapToGrid/>
        <w:spacing w:line="420" w:lineRule="exact"/>
        <w:ind w:right="810"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十一、管理人有权依法定事由暂缓拍卖、中止拍卖或撤回拍卖。</w:t>
      </w:r>
    </w:p>
    <w:p w14:paraId="1DBBE454">
      <w:pPr>
        <w:keepNext w:val="0"/>
        <w:keepLines w:val="0"/>
        <w:pageBreakBefore w:val="0"/>
        <w:widowControl/>
        <w:kinsoku/>
        <w:wordWrap/>
        <w:overflowPunct/>
        <w:topLinePunct w:val="0"/>
        <w:autoSpaceDE/>
        <w:autoSpaceDN/>
        <w:bidi w:val="0"/>
        <w:adjustRightInd/>
        <w:snapToGrid/>
        <w:spacing w:line="420" w:lineRule="exact"/>
        <w:ind w:right="810"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十二、凡发现拍卖中有违规行为，可如实举报。</w:t>
      </w:r>
    </w:p>
    <w:p w14:paraId="7F195386">
      <w:pPr>
        <w:keepNext w:val="0"/>
        <w:keepLines w:val="0"/>
        <w:pageBreakBefore w:val="0"/>
        <w:widowControl/>
        <w:kinsoku/>
        <w:wordWrap/>
        <w:overflowPunct/>
        <w:topLinePunct w:val="0"/>
        <w:autoSpaceDE/>
        <w:autoSpaceDN/>
        <w:bidi w:val="0"/>
        <w:adjustRightInd/>
        <w:snapToGrid/>
        <w:spacing w:line="420" w:lineRule="exact"/>
        <w:ind w:right="810"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 xml:space="preserve">特别提醒：竞买人在拍卖竞价前请务必再仔细阅读管理人发布的《竞买公告》《竞买须知》等材料所披露的内容，了解标的情况、竞价规则、交款方式、法律责任。 </w:t>
      </w:r>
    </w:p>
    <w:p w14:paraId="7B6C26F9">
      <w:pPr>
        <w:keepNext w:val="0"/>
        <w:keepLines w:val="0"/>
        <w:pageBreakBefore w:val="0"/>
        <w:widowControl/>
        <w:kinsoku/>
        <w:wordWrap/>
        <w:overflowPunct/>
        <w:topLinePunct w:val="0"/>
        <w:autoSpaceDE/>
        <w:autoSpaceDN/>
        <w:bidi w:val="0"/>
        <w:adjustRightInd/>
        <w:snapToGrid/>
        <w:spacing w:line="420" w:lineRule="exact"/>
        <w:ind w:right="810"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咨询电话&amp;自助预约：</w:t>
      </w:r>
    </w:p>
    <w:p w14:paraId="5321CD46">
      <w:pPr>
        <w:keepNext w:val="0"/>
        <w:keepLines w:val="0"/>
        <w:pageBreakBefore w:val="0"/>
        <w:widowControl/>
        <w:kinsoku/>
        <w:wordWrap/>
        <w:overflowPunct/>
        <w:topLinePunct w:val="0"/>
        <w:autoSpaceDE/>
        <w:autoSpaceDN/>
        <w:bidi w:val="0"/>
        <w:adjustRightInd/>
        <w:snapToGrid/>
        <w:spacing w:line="420" w:lineRule="exact"/>
        <w:ind w:right="810" w:firstLine="48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 xml:space="preserve">重庆光大佳拍拍卖有限公司：400-8336773 </w:t>
      </w:r>
      <w:r>
        <w:rPr>
          <w:rFonts w:hint="eastAsia" w:ascii="仿宋" w:hAnsi="仿宋" w:eastAsia="仿宋" w:cs="仿宋"/>
          <w:color w:val="000000" w:themeColor="text1"/>
          <w:kern w:val="0"/>
          <w:sz w:val="24"/>
          <w:szCs w:val="24"/>
          <w:lang w:eastAsia="zh-CN"/>
          <w14:textFill>
            <w14:solidFill>
              <w14:schemeClr w14:val="tx1"/>
            </w14:solidFill>
          </w14:textFill>
        </w:rPr>
        <w:t>郭老师15123440300</w:t>
      </w:r>
    </w:p>
    <w:p w14:paraId="5DF48FB9">
      <w:pPr>
        <w:keepNext w:val="0"/>
        <w:keepLines w:val="0"/>
        <w:pageBreakBefore w:val="0"/>
        <w:widowControl/>
        <w:kinsoku/>
        <w:wordWrap/>
        <w:overflowPunct/>
        <w:topLinePunct w:val="0"/>
        <w:autoSpaceDE/>
        <w:autoSpaceDN/>
        <w:bidi w:val="0"/>
        <w:adjustRightInd/>
        <w:snapToGrid/>
        <w:spacing w:line="420" w:lineRule="exact"/>
        <w:ind w:right="810" w:firstLine="480" w:firstLineChars="0"/>
        <w:jc w:val="left"/>
        <w:textAlignment w:val="auto"/>
        <w:rPr>
          <w:rFonts w:hint="eastAsia" w:ascii="仿宋" w:hAnsi="仿宋" w:eastAsia="仿宋" w:cs="仿宋"/>
          <w:color w:val="000000" w:themeColor="text1"/>
          <w:kern w:val="0"/>
          <w:sz w:val="24"/>
          <w:szCs w:val="24"/>
          <w:lang w:eastAsia="zh-CN"/>
          <w14:textFill>
            <w14:solidFill>
              <w14:schemeClr w14:val="tx1"/>
            </w14:solidFill>
          </w14:textFill>
        </w:rPr>
      </w:pPr>
      <w:r>
        <w:rPr>
          <w:rFonts w:hint="eastAsia" w:ascii="仿宋" w:hAnsi="仿宋" w:eastAsia="仿宋" w:cs="仿宋"/>
          <w:color w:val="000000" w:themeColor="text1"/>
          <w:kern w:val="0"/>
          <w:sz w:val="24"/>
          <w:szCs w:val="24"/>
          <w14:textFill>
            <w14:solidFill>
              <w14:schemeClr w14:val="tx1"/>
            </w14:solidFill>
          </w14:textFill>
        </w:rPr>
        <w:t>淘宝技术咨询电话：400-822-2870</w:t>
      </w:r>
    </w:p>
    <w:p w14:paraId="022EAE11">
      <w:pPr>
        <w:keepNext w:val="0"/>
        <w:keepLines w:val="0"/>
        <w:pageBreakBefore w:val="0"/>
        <w:widowControl/>
        <w:kinsoku/>
        <w:wordWrap/>
        <w:overflowPunct/>
        <w:topLinePunct w:val="0"/>
        <w:autoSpaceDE/>
        <w:autoSpaceDN/>
        <w:bidi w:val="0"/>
        <w:adjustRightInd/>
        <w:snapToGrid/>
        <w:spacing w:line="420" w:lineRule="exact"/>
        <w:ind w:right="810" w:firstLine="2880" w:firstLineChars="1200"/>
        <w:jc w:val="left"/>
        <w:textAlignment w:val="auto"/>
        <w:rPr>
          <w:rFonts w:hint="eastAsia" w:ascii="仿宋" w:hAnsi="仿宋" w:eastAsia="仿宋" w:cs="仿宋"/>
          <w:color w:val="000000" w:themeColor="text1"/>
          <w:kern w:val="0"/>
          <w:sz w:val="24"/>
          <w:szCs w:val="24"/>
          <w14:textFill>
            <w14:solidFill>
              <w14:schemeClr w14:val="tx1"/>
            </w14:solidFill>
          </w14:textFill>
        </w:rPr>
      </w:pPr>
      <w:r>
        <w:rPr>
          <w:rFonts w:hint="eastAsia" w:ascii="仿宋" w:hAnsi="仿宋" w:eastAsia="仿宋" w:cs="仿宋"/>
          <w:color w:val="000000" w:themeColor="text1"/>
          <w:kern w:val="0"/>
          <w:sz w:val="24"/>
          <w:szCs w:val="24"/>
          <w:lang w:eastAsia="zh-CN"/>
          <w14:textFill>
            <w14:solidFill>
              <w14:schemeClr w14:val="tx1"/>
            </w14:solidFill>
          </w14:textFill>
        </w:rPr>
        <w:t>重庆凯尔特机械制造有限公司</w:t>
      </w:r>
      <w:r>
        <w:rPr>
          <w:rFonts w:hint="eastAsia" w:ascii="仿宋" w:hAnsi="仿宋" w:eastAsia="仿宋" w:cs="仿宋"/>
          <w:color w:val="000000" w:themeColor="text1"/>
          <w:kern w:val="0"/>
          <w:sz w:val="24"/>
          <w:szCs w:val="24"/>
          <w14:textFill>
            <w14:solidFill>
              <w14:schemeClr w14:val="tx1"/>
            </w14:solidFill>
          </w14:textFill>
        </w:rPr>
        <w:t>管理人</w:t>
      </w:r>
    </w:p>
    <w:p w14:paraId="4CB5BAB9">
      <w:pPr>
        <w:keepNext w:val="0"/>
        <w:keepLines w:val="0"/>
        <w:pageBreakBefore w:val="0"/>
        <w:widowControl/>
        <w:kinsoku/>
        <w:wordWrap/>
        <w:overflowPunct/>
        <w:topLinePunct w:val="0"/>
        <w:autoSpaceDE/>
        <w:autoSpaceDN/>
        <w:bidi w:val="0"/>
        <w:adjustRightInd/>
        <w:snapToGrid/>
        <w:spacing w:line="420" w:lineRule="exact"/>
        <w:ind w:right="810" w:firstLine="480"/>
        <w:jc w:val="left"/>
        <w:textAlignment w:val="auto"/>
        <w:rPr>
          <w:rFonts w:hint="default" w:ascii="仿宋" w:hAnsi="仿宋" w:eastAsia="仿宋" w:cs="仿宋"/>
          <w:color w:val="000000" w:themeColor="text1"/>
          <w:kern w:val="0"/>
          <w:sz w:val="24"/>
          <w:szCs w:val="24"/>
          <w:lang w:val="en-US" w:eastAsia="zh-CN"/>
          <w14:textFill>
            <w14:solidFill>
              <w14:schemeClr w14:val="tx1"/>
            </w14:solidFill>
          </w14:textFill>
        </w:rPr>
        <w:sectPr>
          <w:footerReference r:id="rId3" w:type="default"/>
          <w:pgSz w:w="12050" w:h="16920"/>
          <w:pgMar w:top="400" w:right="1807" w:bottom="1288" w:left="1807" w:header="0" w:footer="1135" w:gutter="0"/>
          <w:pgNumType w:fmt="decimal"/>
          <w:cols w:space="720" w:num="1"/>
        </w:sectPr>
      </w:pPr>
      <w:r>
        <w:rPr>
          <w:rFonts w:hint="eastAsia" w:ascii="仿宋" w:hAnsi="仿宋" w:eastAsia="仿宋" w:cs="仿宋"/>
          <w:color w:val="000000" w:themeColor="text1"/>
          <w:kern w:val="0"/>
          <w:sz w:val="24"/>
          <w:szCs w:val="24"/>
          <w14:textFill>
            <w14:solidFill>
              <w14:schemeClr w14:val="tx1"/>
            </w14:solidFill>
          </w14:textFill>
        </w:rPr>
        <w:t xml:space="preserve"> </w:t>
      </w:r>
      <w:r>
        <w:rPr>
          <w:rFonts w:hint="eastAsia" w:ascii="仿宋" w:hAnsi="仿宋" w:eastAsia="仿宋" w:cs="仿宋"/>
          <w:color w:val="000000" w:themeColor="text1"/>
          <w:kern w:val="0"/>
          <w:sz w:val="24"/>
          <w:szCs w:val="24"/>
          <w:lang w:val="en-US" w:eastAsia="zh-CN"/>
          <w14:textFill>
            <w14:solidFill>
              <w14:schemeClr w14:val="tx1"/>
            </w14:solidFill>
          </w14:textFill>
        </w:rPr>
        <w:t xml:space="preserve">                            </w:t>
      </w:r>
      <w:r>
        <w:rPr>
          <w:rFonts w:hint="eastAsia" w:ascii="仿宋" w:hAnsi="仿宋" w:eastAsia="仿宋" w:cs="仿宋"/>
          <w:color w:val="000000" w:themeColor="text1"/>
          <w:kern w:val="0"/>
          <w:sz w:val="24"/>
          <w:szCs w:val="24"/>
          <w14:textFill>
            <w14:solidFill>
              <w14:schemeClr w14:val="tx1"/>
            </w14:solidFill>
          </w14:textFill>
        </w:rPr>
        <w:t xml:space="preserve"> 202</w:t>
      </w:r>
      <w:r>
        <w:rPr>
          <w:rFonts w:hint="eastAsia" w:ascii="仿宋" w:hAnsi="仿宋" w:eastAsia="仿宋" w:cs="仿宋"/>
          <w:color w:val="000000" w:themeColor="text1"/>
          <w:kern w:val="0"/>
          <w:sz w:val="24"/>
          <w:szCs w:val="24"/>
          <w:lang w:val="en-US" w:eastAsia="zh-CN"/>
          <w14:textFill>
            <w14:solidFill>
              <w14:schemeClr w14:val="tx1"/>
            </w14:solidFill>
          </w14:textFill>
        </w:rPr>
        <w:t>6</w:t>
      </w:r>
      <w:r>
        <w:rPr>
          <w:rFonts w:hint="eastAsia" w:ascii="仿宋" w:hAnsi="仿宋" w:eastAsia="仿宋" w:cs="仿宋"/>
          <w:color w:val="000000" w:themeColor="text1"/>
          <w:kern w:val="0"/>
          <w:sz w:val="24"/>
          <w:szCs w:val="24"/>
          <w14:textFill>
            <w14:solidFill>
              <w14:schemeClr w14:val="tx1"/>
            </w14:solidFill>
          </w14:textFill>
        </w:rPr>
        <w:t>年</w:t>
      </w:r>
      <w:r>
        <w:rPr>
          <w:rFonts w:hint="eastAsia" w:ascii="仿宋" w:hAnsi="仿宋" w:eastAsia="仿宋" w:cs="仿宋"/>
          <w:color w:val="000000" w:themeColor="text1"/>
          <w:kern w:val="0"/>
          <w:sz w:val="24"/>
          <w:szCs w:val="24"/>
          <w:lang w:val="en-US" w:eastAsia="zh-CN"/>
          <w14:textFill>
            <w14:solidFill>
              <w14:schemeClr w14:val="tx1"/>
            </w14:solidFill>
          </w14:textFill>
        </w:rPr>
        <w:t>1</w:t>
      </w:r>
      <w:r>
        <w:rPr>
          <w:rFonts w:hint="eastAsia" w:ascii="仿宋" w:hAnsi="仿宋" w:eastAsia="仿宋" w:cs="仿宋"/>
          <w:color w:val="000000" w:themeColor="text1"/>
          <w:kern w:val="0"/>
          <w:sz w:val="24"/>
          <w:szCs w:val="24"/>
          <w14:textFill>
            <w14:solidFill>
              <w14:schemeClr w14:val="tx1"/>
            </w14:solidFill>
          </w14:textFill>
        </w:rPr>
        <w:t>月</w:t>
      </w:r>
      <w:bookmarkStart w:id="0" w:name="bookmark21"/>
      <w:bookmarkEnd w:id="0"/>
      <w:r>
        <w:rPr>
          <w:rFonts w:hint="eastAsia" w:ascii="仿宋" w:hAnsi="仿宋" w:eastAsia="仿宋" w:cs="仿宋"/>
          <w:color w:val="000000" w:themeColor="text1"/>
          <w:kern w:val="0"/>
          <w:sz w:val="24"/>
          <w:szCs w:val="24"/>
          <w:lang w:val="en-US" w:eastAsia="zh-CN"/>
          <w14:textFill>
            <w14:solidFill>
              <w14:schemeClr w14:val="tx1"/>
            </w14:solidFill>
          </w14:textFill>
        </w:rPr>
        <w:t>19日</w:t>
      </w:r>
    </w:p>
    <w:p w14:paraId="07C837A4">
      <w:pPr>
        <w:keepNext w:val="0"/>
        <w:keepLines w:val="0"/>
        <w:pageBreakBefore w:val="0"/>
        <w:kinsoku/>
        <w:wordWrap/>
        <w:overflowPunct/>
        <w:topLinePunct w:val="0"/>
        <w:autoSpaceDE/>
        <w:autoSpaceDN/>
        <w:bidi w:val="0"/>
        <w:adjustRightInd/>
        <w:snapToGrid/>
        <w:spacing w:line="420" w:lineRule="exact"/>
        <w:textAlignment w:val="auto"/>
        <w:rPr>
          <w:rFonts w:hint="eastAsia" w:ascii="仿宋" w:hAnsi="仿宋" w:eastAsia="仿宋" w:cs="仿宋"/>
        </w:rPr>
      </w:pPr>
      <w:bookmarkStart w:id="1" w:name="bookmark22"/>
      <w:bookmarkEnd w:id="1"/>
    </w:p>
    <w:sectPr>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703060505090304"/>
    <w:charset w:val="CC"/>
    <w:family w:val="roman"/>
    <w:pitch w:val="default"/>
    <w:sig w:usb0="E0000AFF" w:usb1="00007843" w:usb2="00000001" w:usb3="00000000" w:csb0="400001BF" w:csb1="DFF7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panose1 w:val="02010609060101010101"/>
    <w:charset w:val="86"/>
    <w:family w:val="auto"/>
    <w:pitch w:val="default"/>
    <w:sig w:usb0="800002BF" w:usb1="38CF7CFA" w:usb2="00000016" w:usb3="00000000" w:csb0="00040001" w:csb1="00000000"/>
  </w:font>
  <w:font w:name="Courier New">
    <w:panose1 w:val="020706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panose1 w:val="020F0702030404030204"/>
    <w:charset w:val="00"/>
    <w:family w:val="swiss"/>
    <w:pitch w:val="default"/>
    <w:sig w:usb0="E10002FF" w:usb1="4000ACFF" w:usb2="00000009" w:usb3="00000000" w:csb0="2000019F"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Helvetica">
    <w:panose1 w:val="00000000000000000000"/>
    <w:charset w:val="00"/>
    <w:family w:val="swiss"/>
    <w:pitch w:val="default"/>
    <w:sig w:usb0="E00002FF" w:usb1="5000785B" w:usb2="00000000" w:usb3="00000000" w:csb0="2000019F" w:csb1="4F010000"/>
  </w:font>
  <w:font w:name="Kingsoft Sign">
    <w:panose1 w:val="05050102010706020507"/>
    <w:charset w:val="00"/>
    <w:family w:val="auto"/>
    <w:pitch w:val="default"/>
    <w:sig w:usb0="00000000" w:usb1="1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539EBD">
    <w:pPr>
      <w:spacing w:line="175" w:lineRule="auto"/>
      <w:ind w:left="4122"/>
      <w:rPr>
        <w:rFonts w:ascii="Times New Roman" w:hAnsi="Times New Roman" w:eastAsia="Times New Roman" w:cs="Times New Roman"/>
        <w:sz w:val="17"/>
        <w:szCs w:val="17"/>
      </w:rPr>
    </w:pPr>
    <w:r>
      <w:rPr>
        <w:sz w:val="17"/>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572DCA0C">
                          <w:pPr>
                            <w:pStyle w:val="5"/>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8</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14:paraId="572DCA0C">
                    <w:pPr>
                      <w:pStyle w:val="5"/>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8</w:t>
                    </w:r>
                    <w:r>
                      <w:fldChar w:fldCharType="end"/>
                    </w:r>
                    <w:r>
                      <w:t xml:space="preserve"> 页</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bordersDoNotSurroundHeader w:val="0"/>
  <w:bordersDoNotSurroundFooter w:val="0"/>
  <w:revisionView w:markup="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VlMTZhZWVmYTdmNjA1MTgwYTI4NWNlNDdjZGNhNDYifQ=="/>
  </w:docVars>
  <w:rsids>
    <w:rsidRoot w:val="00706466"/>
    <w:rsid w:val="00001D2A"/>
    <w:rsid w:val="00002AA9"/>
    <w:rsid w:val="0001085A"/>
    <w:rsid w:val="000238E9"/>
    <w:rsid w:val="00025B66"/>
    <w:rsid w:val="00025E37"/>
    <w:rsid w:val="0002712A"/>
    <w:rsid w:val="00027B76"/>
    <w:rsid w:val="0003093E"/>
    <w:rsid w:val="00031B2A"/>
    <w:rsid w:val="00031C1E"/>
    <w:rsid w:val="00034B6F"/>
    <w:rsid w:val="0003520C"/>
    <w:rsid w:val="00036A00"/>
    <w:rsid w:val="00040E8B"/>
    <w:rsid w:val="00042CDF"/>
    <w:rsid w:val="000533AF"/>
    <w:rsid w:val="0008430D"/>
    <w:rsid w:val="000944E6"/>
    <w:rsid w:val="0009535A"/>
    <w:rsid w:val="00097054"/>
    <w:rsid w:val="000970C7"/>
    <w:rsid w:val="000C4D0A"/>
    <w:rsid w:val="000C6D4E"/>
    <w:rsid w:val="000D4BE2"/>
    <w:rsid w:val="000F6ED5"/>
    <w:rsid w:val="00101B56"/>
    <w:rsid w:val="001166FD"/>
    <w:rsid w:val="00125D34"/>
    <w:rsid w:val="00143CD3"/>
    <w:rsid w:val="00151DC5"/>
    <w:rsid w:val="001524CD"/>
    <w:rsid w:val="001644B1"/>
    <w:rsid w:val="00165349"/>
    <w:rsid w:val="00166BBE"/>
    <w:rsid w:val="001772A6"/>
    <w:rsid w:val="00185F77"/>
    <w:rsid w:val="001B5E91"/>
    <w:rsid w:val="001B6654"/>
    <w:rsid w:val="001C252C"/>
    <w:rsid w:val="001D7985"/>
    <w:rsid w:val="001E759C"/>
    <w:rsid w:val="001F5C4E"/>
    <w:rsid w:val="00211022"/>
    <w:rsid w:val="00217199"/>
    <w:rsid w:val="00217614"/>
    <w:rsid w:val="00221114"/>
    <w:rsid w:val="002256B2"/>
    <w:rsid w:val="00227B28"/>
    <w:rsid w:val="0023250A"/>
    <w:rsid w:val="00232F99"/>
    <w:rsid w:val="00243D28"/>
    <w:rsid w:val="00244ACC"/>
    <w:rsid w:val="00245A00"/>
    <w:rsid w:val="00250BC3"/>
    <w:rsid w:val="002627CD"/>
    <w:rsid w:val="002778EA"/>
    <w:rsid w:val="002835D0"/>
    <w:rsid w:val="00286540"/>
    <w:rsid w:val="002951D4"/>
    <w:rsid w:val="00295BD7"/>
    <w:rsid w:val="00295F68"/>
    <w:rsid w:val="002A1A44"/>
    <w:rsid w:val="002A4B69"/>
    <w:rsid w:val="002A5149"/>
    <w:rsid w:val="002C3146"/>
    <w:rsid w:val="002D23BF"/>
    <w:rsid w:val="002F0EA4"/>
    <w:rsid w:val="002F1822"/>
    <w:rsid w:val="002F18DE"/>
    <w:rsid w:val="002F1D9E"/>
    <w:rsid w:val="002F50E8"/>
    <w:rsid w:val="00301311"/>
    <w:rsid w:val="0030511F"/>
    <w:rsid w:val="003142AC"/>
    <w:rsid w:val="0032085B"/>
    <w:rsid w:val="00335CA4"/>
    <w:rsid w:val="00343A35"/>
    <w:rsid w:val="003450EB"/>
    <w:rsid w:val="00354691"/>
    <w:rsid w:val="0035486D"/>
    <w:rsid w:val="003550B0"/>
    <w:rsid w:val="0036228F"/>
    <w:rsid w:val="00367678"/>
    <w:rsid w:val="00373332"/>
    <w:rsid w:val="0037584E"/>
    <w:rsid w:val="0037682B"/>
    <w:rsid w:val="00377C29"/>
    <w:rsid w:val="00380AFA"/>
    <w:rsid w:val="00391168"/>
    <w:rsid w:val="00391A9C"/>
    <w:rsid w:val="00393A67"/>
    <w:rsid w:val="00396166"/>
    <w:rsid w:val="003A273A"/>
    <w:rsid w:val="003A4F79"/>
    <w:rsid w:val="003B4C3A"/>
    <w:rsid w:val="003C03F9"/>
    <w:rsid w:val="003C42BD"/>
    <w:rsid w:val="003F1EED"/>
    <w:rsid w:val="003F29F1"/>
    <w:rsid w:val="00400D84"/>
    <w:rsid w:val="0041222E"/>
    <w:rsid w:val="00416D73"/>
    <w:rsid w:val="00421209"/>
    <w:rsid w:val="004271AF"/>
    <w:rsid w:val="004562F5"/>
    <w:rsid w:val="00457C0E"/>
    <w:rsid w:val="00460EDF"/>
    <w:rsid w:val="00466385"/>
    <w:rsid w:val="004668FE"/>
    <w:rsid w:val="00483344"/>
    <w:rsid w:val="0049009B"/>
    <w:rsid w:val="00496862"/>
    <w:rsid w:val="004A1C2B"/>
    <w:rsid w:val="004A341D"/>
    <w:rsid w:val="004A71AC"/>
    <w:rsid w:val="004B3DCA"/>
    <w:rsid w:val="004C109A"/>
    <w:rsid w:val="004D1C81"/>
    <w:rsid w:val="004D2950"/>
    <w:rsid w:val="004D445B"/>
    <w:rsid w:val="004E2556"/>
    <w:rsid w:val="004E38E6"/>
    <w:rsid w:val="004E6362"/>
    <w:rsid w:val="004F5D00"/>
    <w:rsid w:val="004F5EA6"/>
    <w:rsid w:val="00502FA0"/>
    <w:rsid w:val="00510674"/>
    <w:rsid w:val="0051098B"/>
    <w:rsid w:val="00524B19"/>
    <w:rsid w:val="00535F6E"/>
    <w:rsid w:val="00541373"/>
    <w:rsid w:val="00542ACA"/>
    <w:rsid w:val="0054663C"/>
    <w:rsid w:val="0058013D"/>
    <w:rsid w:val="00585B68"/>
    <w:rsid w:val="00586333"/>
    <w:rsid w:val="00590371"/>
    <w:rsid w:val="005A20E0"/>
    <w:rsid w:val="005B0265"/>
    <w:rsid w:val="005C100F"/>
    <w:rsid w:val="005C56F2"/>
    <w:rsid w:val="005C7265"/>
    <w:rsid w:val="005D116C"/>
    <w:rsid w:val="005D3F42"/>
    <w:rsid w:val="005E06AE"/>
    <w:rsid w:val="005E0AF4"/>
    <w:rsid w:val="005E62B8"/>
    <w:rsid w:val="005E68A9"/>
    <w:rsid w:val="006003FE"/>
    <w:rsid w:val="00602CBE"/>
    <w:rsid w:val="0060457C"/>
    <w:rsid w:val="00606D1E"/>
    <w:rsid w:val="00610262"/>
    <w:rsid w:val="006140E6"/>
    <w:rsid w:val="00614A85"/>
    <w:rsid w:val="006174CD"/>
    <w:rsid w:val="006266F4"/>
    <w:rsid w:val="00630C3D"/>
    <w:rsid w:val="00633924"/>
    <w:rsid w:val="006458AD"/>
    <w:rsid w:val="0064748E"/>
    <w:rsid w:val="00650B7E"/>
    <w:rsid w:val="006543D3"/>
    <w:rsid w:val="00663442"/>
    <w:rsid w:val="00666206"/>
    <w:rsid w:val="00666FE1"/>
    <w:rsid w:val="00670896"/>
    <w:rsid w:val="00671B92"/>
    <w:rsid w:val="00673388"/>
    <w:rsid w:val="006749E8"/>
    <w:rsid w:val="00675E54"/>
    <w:rsid w:val="0067686D"/>
    <w:rsid w:val="00676CCF"/>
    <w:rsid w:val="006849EE"/>
    <w:rsid w:val="00691DF3"/>
    <w:rsid w:val="00691F72"/>
    <w:rsid w:val="0069350F"/>
    <w:rsid w:val="0069588E"/>
    <w:rsid w:val="006A5BFF"/>
    <w:rsid w:val="006B1D59"/>
    <w:rsid w:val="006B2E62"/>
    <w:rsid w:val="006C2CE8"/>
    <w:rsid w:val="006C5A0C"/>
    <w:rsid w:val="006C6A21"/>
    <w:rsid w:val="006E0552"/>
    <w:rsid w:val="006E50D8"/>
    <w:rsid w:val="006F425F"/>
    <w:rsid w:val="00704346"/>
    <w:rsid w:val="00706466"/>
    <w:rsid w:val="007077F4"/>
    <w:rsid w:val="00710B0A"/>
    <w:rsid w:val="0072517B"/>
    <w:rsid w:val="00727DDA"/>
    <w:rsid w:val="00731564"/>
    <w:rsid w:val="007347C4"/>
    <w:rsid w:val="00736F01"/>
    <w:rsid w:val="0075118B"/>
    <w:rsid w:val="00752338"/>
    <w:rsid w:val="007538B9"/>
    <w:rsid w:val="00756F20"/>
    <w:rsid w:val="00780370"/>
    <w:rsid w:val="00786551"/>
    <w:rsid w:val="00791AF4"/>
    <w:rsid w:val="007969A9"/>
    <w:rsid w:val="007A3022"/>
    <w:rsid w:val="007A6205"/>
    <w:rsid w:val="007C7F1E"/>
    <w:rsid w:val="007D0ABE"/>
    <w:rsid w:val="007D0EA3"/>
    <w:rsid w:val="007D406B"/>
    <w:rsid w:val="007D4444"/>
    <w:rsid w:val="007D4B4E"/>
    <w:rsid w:val="007E283C"/>
    <w:rsid w:val="007E3E08"/>
    <w:rsid w:val="007E591F"/>
    <w:rsid w:val="007E68C0"/>
    <w:rsid w:val="007F268E"/>
    <w:rsid w:val="00817334"/>
    <w:rsid w:val="0082111E"/>
    <w:rsid w:val="00823C33"/>
    <w:rsid w:val="00825D77"/>
    <w:rsid w:val="008308CD"/>
    <w:rsid w:val="00843E73"/>
    <w:rsid w:val="00846B75"/>
    <w:rsid w:val="00854164"/>
    <w:rsid w:val="008550AA"/>
    <w:rsid w:val="00855E3F"/>
    <w:rsid w:val="00857EA1"/>
    <w:rsid w:val="0086230A"/>
    <w:rsid w:val="0086532A"/>
    <w:rsid w:val="00870805"/>
    <w:rsid w:val="0087515C"/>
    <w:rsid w:val="00875AEF"/>
    <w:rsid w:val="00877603"/>
    <w:rsid w:val="00886F3D"/>
    <w:rsid w:val="00891819"/>
    <w:rsid w:val="00894B18"/>
    <w:rsid w:val="008A0105"/>
    <w:rsid w:val="008A2857"/>
    <w:rsid w:val="008A5F5B"/>
    <w:rsid w:val="008A7FA0"/>
    <w:rsid w:val="008C0EE4"/>
    <w:rsid w:val="008D0B35"/>
    <w:rsid w:val="008E1C4D"/>
    <w:rsid w:val="008E525E"/>
    <w:rsid w:val="008F068A"/>
    <w:rsid w:val="008F55F9"/>
    <w:rsid w:val="008F6600"/>
    <w:rsid w:val="009058B9"/>
    <w:rsid w:val="0090627D"/>
    <w:rsid w:val="0091616A"/>
    <w:rsid w:val="009244CE"/>
    <w:rsid w:val="00926127"/>
    <w:rsid w:val="009325EB"/>
    <w:rsid w:val="00933FFA"/>
    <w:rsid w:val="0093711B"/>
    <w:rsid w:val="009434F3"/>
    <w:rsid w:val="009459F3"/>
    <w:rsid w:val="00950218"/>
    <w:rsid w:val="00950CE1"/>
    <w:rsid w:val="00973E30"/>
    <w:rsid w:val="00974D27"/>
    <w:rsid w:val="009848D6"/>
    <w:rsid w:val="00984CC9"/>
    <w:rsid w:val="00992859"/>
    <w:rsid w:val="00992CBC"/>
    <w:rsid w:val="009A356D"/>
    <w:rsid w:val="009B1099"/>
    <w:rsid w:val="009B18C0"/>
    <w:rsid w:val="009B278F"/>
    <w:rsid w:val="009C4416"/>
    <w:rsid w:val="009C47A6"/>
    <w:rsid w:val="009C6F36"/>
    <w:rsid w:val="009D1441"/>
    <w:rsid w:val="009D7692"/>
    <w:rsid w:val="009E66B4"/>
    <w:rsid w:val="009F08F9"/>
    <w:rsid w:val="009F46ED"/>
    <w:rsid w:val="009F517A"/>
    <w:rsid w:val="00A01145"/>
    <w:rsid w:val="00A04A8B"/>
    <w:rsid w:val="00A10B89"/>
    <w:rsid w:val="00A16627"/>
    <w:rsid w:val="00A1766C"/>
    <w:rsid w:val="00A23A9D"/>
    <w:rsid w:val="00A3187F"/>
    <w:rsid w:val="00A417B7"/>
    <w:rsid w:val="00A4235D"/>
    <w:rsid w:val="00A44426"/>
    <w:rsid w:val="00A51C7C"/>
    <w:rsid w:val="00A56E5E"/>
    <w:rsid w:val="00A6091B"/>
    <w:rsid w:val="00A60F1A"/>
    <w:rsid w:val="00A62722"/>
    <w:rsid w:val="00A632B9"/>
    <w:rsid w:val="00A654E7"/>
    <w:rsid w:val="00A84829"/>
    <w:rsid w:val="00A922B2"/>
    <w:rsid w:val="00A92BC8"/>
    <w:rsid w:val="00A93C51"/>
    <w:rsid w:val="00A95432"/>
    <w:rsid w:val="00AD48E7"/>
    <w:rsid w:val="00AE0F37"/>
    <w:rsid w:val="00B07382"/>
    <w:rsid w:val="00B1349C"/>
    <w:rsid w:val="00B14962"/>
    <w:rsid w:val="00B16321"/>
    <w:rsid w:val="00B1783F"/>
    <w:rsid w:val="00B20123"/>
    <w:rsid w:val="00B207BD"/>
    <w:rsid w:val="00B30BAB"/>
    <w:rsid w:val="00B41BF0"/>
    <w:rsid w:val="00B445D8"/>
    <w:rsid w:val="00B45599"/>
    <w:rsid w:val="00B5216C"/>
    <w:rsid w:val="00B73DD6"/>
    <w:rsid w:val="00B777A4"/>
    <w:rsid w:val="00B8076E"/>
    <w:rsid w:val="00B81874"/>
    <w:rsid w:val="00B81CE6"/>
    <w:rsid w:val="00B90380"/>
    <w:rsid w:val="00B94A0F"/>
    <w:rsid w:val="00BA6509"/>
    <w:rsid w:val="00BB65BE"/>
    <w:rsid w:val="00BC09D0"/>
    <w:rsid w:val="00BC7287"/>
    <w:rsid w:val="00BD525D"/>
    <w:rsid w:val="00BD6E2F"/>
    <w:rsid w:val="00BE2ADF"/>
    <w:rsid w:val="00BE5EA4"/>
    <w:rsid w:val="00BF75B6"/>
    <w:rsid w:val="00BF7AD9"/>
    <w:rsid w:val="00C02394"/>
    <w:rsid w:val="00C04EC9"/>
    <w:rsid w:val="00C05145"/>
    <w:rsid w:val="00C06D09"/>
    <w:rsid w:val="00C20DFE"/>
    <w:rsid w:val="00C30C9C"/>
    <w:rsid w:val="00C40DE2"/>
    <w:rsid w:val="00C424E4"/>
    <w:rsid w:val="00C47C14"/>
    <w:rsid w:val="00C530F2"/>
    <w:rsid w:val="00C56DE4"/>
    <w:rsid w:val="00C60684"/>
    <w:rsid w:val="00C65A47"/>
    <w:rsid w:val="00C73469"/>
    <w:rsid w:val="00C800AA"/>
    <w:rsid w:val="00C81BCD"/>
    <w:rsid w:val="00C862EE"/>
    <w:rsid w:val="00C932E6"/>
    <w:rsid w:val="00CA3AE3"/>
    <w:rsid w:val="00CA55B4"/>
    <w:rsid w:val="00CB33DD"/>
    <w:rsid w:val="00CB50CA"/>
    <w:rsid w:val="00CC3543"/>
    <w:rsid w:val="00CD7971"/>
    <w:rsid w:val="00CE15A8"/>
    <w:rsid w:val="00CE17E3"/>
    <w:rsid w:val="00CE2ECD"/>
    <w:rsid w:val="00CF4EE6"/>
    <w:rsid w:val="00CF5F98"/>
    <w:rsid w:val="00D05EDB"/>
    <w:rsid w:val="00D05FDC"/>
    <w:rsid w:val="00D116A2"/>
    <w:rsid w:val="00D12889"/>
    <w:rsid w:val="00D13CC3"/>
    <w:rsid w:val="00D16256"/>
    <w:rsid w:val="00D20448"/>
    <w:rsid w:val="00D26610"/>
    <w:rsid w:val="00D27EFE"/>
    <w:rsid w:val="00D32A12"/>
    <w:rsid w:val="00D32A90"/>
    <w:rsid w:val="00D42BE9"/>
    <w:rsid w:val="00D466B1"/>
    <w:rsid w:val="00D47BF9"/>
    <w:rsid w:val="00D51AD8"/>
    <w:rsid w:val="00D53ECF"/>
    <w:rsid w:val="00D60577"/>
    <w:rsid w:val="00D757AB"/>
    <w:rsid w:val="00D763B5"/>
    <w:rsid w:val="00D80A28"/>
    <w:rsid w:val="00D844E3"/>
    <w:rsid w:val="00D903CB"/>
    <w:rsid w:val="00D90A99"/>
    <w:rsid w:val="00D92A7E"/>
    <w:rsid w:val="00D94CA2"/>
    <w:rsid w:val="00D95413"/>
    <w:rsid w:val="00DA3A84"/>
    <w:rsid w:val="00DA68A6"/>
    <w:rsid w:val="00DB5855"/>
    <w:rsid w:val="00DB5AE8"/>
    <w:rsid w:val="00DC3714"/>
    <w:rsid w:val="00DC5B70"/>
    <w:rsid w:val="00DC71BE"/>
    <w:rsid w:val="00DE2989"/>
    <w:rsid w:val="00DE4359"/>
    <w:rsid w:val="00DE53C4"/>
    <w:rsid w:val="00DE5F8B"/>
    <w:rsid w:val="00DE796A"/>
    <w:rsid w:val="00DF6666"/>
    <w:rsid w:val="00E03ADA"/>
    <w:rsid w:val="00E157A5"/>
    <w:rsid w:val="00E2085F"/>
    <w:rsid w:val="00E30B09"/>
    <w:rsid w:val="00E42E6A"/>
    <w:rsid w:val="00E46B24"/>
    <w:rsid w:val="00E52CC4"/>
    <w:rsid w:val="00E73BCC"/>
    <w:rsid w:val="00E74595"/>
    <w:rsid w:val="00E8194E"/>
    <w:rsid w:val="00E8532D"/>
    <w:rsid w:val="00E86D18"/>
    <w:rsid w:val="00E9435F"/>
    <w:rsid w:val="00EA3F63"/>
    <w:rsid w:val="00EA4DFC"/>
    <w:rsid w:val="00EB2EE8"/>
    <w:rsid w:val="00EB44F6"/>
    <w:rsid w:val="00EB61B8"/>
    <w:rsid w:val="00EC0249"/>
    <w:rsid w:val="00EC42D6"/>
    <w:rsid w:val="00EC55F8"/>
    <w:rsid w:val="00ED4DF7"/>
    <w:rsid w:val="00EE0A69"/>
    <w:rsid w:val="00EE1691"/>
    <w:rsid w:val="00EE4F3A"/>
    <w:rsid w:val="00EF1ECC"/>
    <w:rsid w:val="00EF356B"/>
    <w:rsid w:val="00F02370"/>
    <w:rsid w:val="00F1674F"/>
    <w:rsid w:val="00F1747B"/>
    <w:rsid w:val="00F243AE"/>
    <w:rsid w:val="00F33B9C"/>
    <w:rsid w:val="00F37FB6"/>
    <w:rsid w:val="00F44A76"/>
    <w:rsid w:val="00F471A9"/>
    <w:rsid w:val="00F6097F"/>
    <w:rsid w:val="00F61C99"/>
    <w:rsid w:val="00F62EFC"/>
    <w:rsid w:val="00F71ECA"/>
    <w:rsid w:val="00F72427"/>
    <w:rsid w:val="00F73C38"/>
    <w:rsid w:val="00F82FAB"/>
    <w:rsid w:val="00F93716"/>
    <w:rsid w:val="00F953D2"/>
    <w:rsid w:val="00FB0617"/>
    <w:rsid w:val="00FB3069"/>
    <w:rsid w:val="00FB7890"/>
    <w:rsid w:val="00FC3149"/>
    <w:rsid w:val="00FC7BC6"/>
    <w:rsid w:val="00FC7D93"/>
    <w:rsid w:val="00FD51E0"/>
    <w:rsid w:val="00FE55DD"/>
    <w:rsid w:val="00FE78DD"/>
    <w:rsid w:val="00FF062C"/>
    <w:rsid w:val="00FF5A9E"/>
    <w:rsid w:val="00FF77A9"/>
    <w:rsid w:val="03556639"/>
    <w:rsid w:val="03F954B9"/>
    <w:rsid w:val="04EA1262"/>
    <w:rsid w:val="0B054675"/>
    <w:rsid w:val="0B750CBD"/>
    <w:rsid w:val="0C1B5171"/>
    <w:rsid w:val="131E7CFE"/>
    <w:rsid w:val="150D0424"/>
    <w:rsid w:val="15C40F54"/>
    <w:rsid w:val="1773616C"/>
    <w:rsid w:val="1B577E06"/>
    <w:rsid w:val="1D103D78"/>
    <w:rsid w:val="1EEC7600"/>
    <w:rsid w:val="1F821F67"/>
    <w:rsid w:val="23563544"/>
    <w:rsid w:val="2B404781"/>
    <w:rsid w:val="2CA84CD4"/>
    <w:rsid w:val="2D1C7C42"/>
    <w:rsid w:val="2D2A393B"/>
    <w:rsid w:val="31B639EF"/>
    <w:rsid w:val="32721270"/>
    <w:rsid w:val="347C05F2"/>
    <w:rsid w:val="36310347"/>
    <w:rsid w:val="39A07CE4"/>
    <w:rsid w:val="3A5D0119"/>
    <w:rsid w:val="3BBB0792"/>
    <w:rsid w:val="3BCC52CA"/>
    <w:rsid w:val="3C1A172E"/>
    <w:rsid w:val="3F1FC896"/>
    <w:rsid w:val="3FCE0156"/>
    <w:rsid w:val="3FEE8F4D"/>
    <w:rsid w:val="3FF678FA"/>
    <w:rsid w:val="402D17AB"/>
    <w:rsid w:val="40FA0D7B"/>
    <w:rsid w:val="430976F7"/>
    <w:rsid w:val="430B35CB"/>
    <w:rsid w:val="43C319AB"/>
    <w:rsid w:val="45A07464"/>
    <w:rsid w:val="46383C3D"/>
    <w:rsid w:val="47C1370C"/>
    <w:rsid w:val="4859711B"/>
    <w:rsid w:val="488E1455"/>
    <w:rsid w:val="49CB40F2"/>
    <w:rsid w:val="4B502367"/>
    <w:rsid w:val="4BE156B5"/>
    <w:rsid w:val="4D634AE1"/>
    <w:rsid w:val="4EBB2607"/>
    <w:rsid w:val="4EFF2C18"/>
    <w:rsid w:val="4F0F2A97"/>
    <w:rsid w:val="4F0F5B46"/>
    <w:rsid w:val="502A1EA5"/>
    <w:rsid w:val="50F60510"/>
    <w:rsid w:val="537F2770"/>
    <w:rsid w:val="5583111A"/>
    <w:rsid w:val="56091760"/>
    <w:rsid w:val="56F73FDE"/>
    <w:rsid w:val="588E4EF2"/>
    <w:rsid w:val="5AC56B99"/>
    <w:rsid w:val="5AD30DCB"/>
    <w:rsid w:val="5BB406F0"/>
    <w:rsid w:val="5EB613C4"/>
    <w:rsid w:val="5ED57177"/>
    <w:rsid w:val="5F37766E"/>
    <w:rsid w:val="5FEF4154"/>
    <w:rsid w:val="616270F2"/>
    <w:rsid w:val="624A76B8"/>
    <w:rsid w:val="626316B0"/>
    <w:rsid w:val="62D81168"/>
    <w:rsid w:val="665561DF"/>
    <w:rsid w:val="670158F3"/>
    <w:rsid w:val="67704EED"/>
    <w:rsid w:val="67AA2EE1"/>
    <w:rsid w:val="67DB0DB2"/>
    <w:rsid w:val="68D0643D"/>
    <w:rsid w:val="69C240E0"/>
    <w:rsid w:val="6A6663B3"/>
    <w:rsid w:val="6A90748D"/>
    <w:rsid w:val="6AF97ECD"/>
    <w:rsid w:val="6BAF2A61"/>
    <w:rsid w:val="6C5B6128"/>
    <w:rsid w:val="6EFF8B41"/>
    <w:rsid w:val="6FF6BDC2"/>
    <w:rsid w:val="706B4E6B"/>
    <w:rsid w:val="715F58E8"/>
    <w:rsid w:val="71D5347B"/>
    <w:rsid w:val="743F39AE"/>
    <w:rsid w:val="74627647"/>
    <w:rsid w:val="74C80549"/>
    <w:rsid w:val="75241999"/>
    <w:rsid w:val="781A61CF"/>
    <w:rsid w:val="795EF655"/>
    <w:rsid w:val="7A0479A3"/>
    <w:rsid w:val="7A7A135E"/>
    <w:rsid w:val="7B32508E"/>
    <w:rsid w:val="7BBF5715"/>
    <w:rsid w:val="7BE03A00"/>
    <w:rsid w:val="7C1E7770"/>
    <w:rsid w:val="7CF7712D"/>
    <w:rsid w:val="7D21255D"/>
    <w:rsid w:val="7DAE6B57"/>
    <w:rsid w:val="7DFB5143"/>
    <w:rsid w:val="7F7BC908"/>
    <w:rsid w:val="B93E872D"/>
    <w:rsid w:val="BDEFAD45"/>
    <w:rsid w:val="BFEF40AF"/>
    <w:rsid w:val="DAB7ED04"/>
    <w:rsid w:val="DEE7A4CE"/>
    <w:rsid w:val="DEF9B293"/>
    <w:rsid w:val="DEFF2DF2"/>
    <w:rsid w:val="DF6A78D0"/>
    <w:rsid w:val="DFFF3A61"/>
    <w:rsid w:val="E7FAAB89"/>
    <w:rsid w:val="EBEB5D3B"/>
    <w:rsid w:val="F789CA6D"/>
    <w:rsid w:val="F7E7B0F9"/>
    <w:rsid w:val="F98F4EC2"/>
    <w:rsid w:val="F9DF2074"/>
    <w:rsid w:val="FAD56A54"/>
    <w:rsid w:val="FAFB3EB3"/>
    <w:rsid w:val="FD7DAE34"/>
    <w:rsid w:val="FDB74B3D"/>
    <w:rsid w:val="FF57BD12"/>
    <w:rsid w:val="FFBF4AD1"/>
    <w:rsid w:val="FFDFCE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8"/>
    <w:autoRedefine/>
    <w:semiHidden/>
    <w:unhideWhenUsed/>
    <w:qFormat/>
    <w:uiPriority w:val="99"/>
    <w:pPr>
      <w:jc w:val="left"/>
    </w:pPr>
  </w:style>
  <w:style w:type="paragraph" w:styleId="3">
    <w:name w:val="Body Text"/>
    <w:basedOn w:val="1"/>
    <w:qFormat/>
    <w:uiPriority w:val="0"/>
  </w:style>
  <w:style w:type="paragraph" w:styleId="4">
    <w:name w:val="Balloon Text"/>
    <w:basedOn w:val="1"/>
    <w:link w:val="17"/>
    <w:autoRedefine/>
    <w:semiHidden/>
    <w:unhideWhenUsed/>
    <w:qFormat/>
    <w:uiPriority w:val="99"/>
    <w:rPr>
      <w:sz w:val="18"/>
      <w:szCs w:val="18"/>
    </w:rPr>
  </w:style>
  <w:style w:type="paragraph" w:styleId="5">
    <w:name w:val="footer"/>
    <w:basedOn w:val="1"/>
    <w:link w:val="15"/>
    <w:autoRedefine/>
    <w:unhideWhenUsed/>
    <w:qFormat/>
    <w:uiPriority w:val="99"/>
    <w:pPr>
      <w:tabs>
        <w:tab w:val="center" w:pos="4153"/>
        <w:tab w:val="right" w:pos="8306"/>
      </w:tabs>
      <w:snapToGrid w:val="0"/>
      <w:jc w:val="left"/>
    </w:pPr>
    <w:rPr>
      <w:sz w:val="18"/>
      <w:szCs w:val="18"/>
    </w:rPr>
  </w:style>
  <w:style w:type="paragraph" w:styleId="6">
    <w:name w:val="header"/>
    <w:basedOn w:val="1"/>
    <w:link w:val="14"/>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autoRedefine/>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8">
    <w:name w:val="annotation subject"/>
    <w:basedOn w:val="2"/>
    <w:next w:val="2"/>
    <w:link w:val="19"/>
    <w:autoRedefine/>
    <w:semiHidden/>
    <w:unhideWhenUsed/>
    <w:qFormat/>
    <w:uiPriority w:val="99"/>
    <w:rPr>
      <w:b/>
      <w:bCs/>
    </w:rPr>
  </w:style>
  <w:style w:type="character" w:styleId="11">
    <w:name w:val="Strong"/>
    <w:basedOn w:val="10"/>
    <w:autoRedefine/>
    <w:qFormat/>
    <w:uiPriority w:val="22"/>
    <w:rPr>
      <w:b/>
      <w:bCs/>
    </w:rPr>
  </w:style>
  <w:style w:type="character" w:styleId="12">
    <w:name w:val="annotation reference"/>
    <w:basedOn w:val="10"/>
    <w:autoRedefine/>
    <w:semiHidden/>
    <w:unhideWhenUsed/>
    <w:qFormat/>
    <w:uiPriority w:val="99"/>
    <w:rPr>
      <w:sz w:val="21"/>
      <w:szCs w:val="21"/>
    </w:rPr>
  </w:style>
  <w:style w:type="paragraph" w:styleId="13">
    <w:name w:val="List Paragraph"/>
    <w:basedOn w:val="1"/>
    <w:autoRedefine/>
    <w:qFormat/>
    <w:uiPriority w:val="99"/>
    <w:pPr>
      <w:ind w:firstLine="420" w:firstLineChars="200"/>
    </w:pPr>
  </w:style>
  <w:style w:type="character" w:customStyle="1" w:styleId="14">
    <w:name w:val="页眉 Char"/>
    <w:basedOn w:val="10"/>
    <w:link w:val="6"/>
    <w:autoRedefine/>
    <w:qFormat/>
    <w:uiPriority w:val="99"/>
    <w:rPr>
      <w:sz w:val="18"/>
      <w:szCs w:val="18"/>
    </w:rPr>
  </w:style>
  <w:style w:type="character" w:customStyle="1" w:styleId="15">
    <w:name w:val="页脚 Char"/>
    <w:basedOn w:val="10"/>
    <w:link w:val="5"/>
    <w:autoRedefine/>
    <w:qFormat/>
    <w:uiPriority w:val="99"/>
    <w:rPr>
      <w:sz w:val="18"/>
      <w:szCs w:val="18"/>
    </w:rPr>
  </w:style>
  <w:style w:type="paragraph" w:customStyle="1" w:styleId="16">
    <w:name w:val="修订1"/>
    <w:autoRedefine/>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17">
    <w:name w:val="批注框文本 Char"/>
    <w:basedOn w:val="10"/>
    <w:link w:val="4"/>
    <w:autoRedefine/>
    <w:semiHidden/>
    <w:qFormat/>
    <w:uiPriority w:val="99"/>
    <w:rPr>
      <w:sz w:val="18"/>
      <w:szCs w:val="18"/>
    </w:rPr>
  </w:style>
  <w:style w:type="character" w:customStyle="1" w:styleId="18">
    <w:name w:val="批注文字 Char"/>
    <w:basedOn w:val="10"/>
    <w:link w:val="2"/>
    <w:autoRedefine/>
    <w:semiHidden/>
    <w:qFormat/>
    <w:uiPriority w:val="99"/>
  </w:style>
  <w:style w:type="character" w:customStyle="1" w:styleId="19">
    <w:name w:val="批注主题 Char"/>
    <w:basedOn w:val="18"/>
    <w:link w:val="8"/>
    <w:autoRedefine/>
    <w:semiHidden/>
    <w:qFormat/>
    <w:uiPriority w:val="99"/>
    <w:rPr>
      <w:b/>
      <w:bCs/>
    </w:rPr>
  </w:style>
  <w:style w:type="paragraph" w:customStyle="1" w:styleId="20">
    <w:name w:val="修订2"/>
    <w:autoRedefine/>
    <w:hidden/>
    <w:unhideWhenUsed/>
    <w:qFormat/>
    <w:uiPriority w:val="99"/>
    <w:rPr>
      <w:rFonts w:asciiTheme="minorHAnsi" w:hAnsiTheme="minorHAnsi" w:eastAsiaTheme="minorEastAsia" w:cstheme="minorBidi"/>
      <w:kern w:val="2"/>
      <w:sz w:val="21"/>
      <w:szCs w:val="22"/>
      <w:lang w:val="en-US" w:eastAsia="zh-CN" w:bidi="ar-SA"/>
    </w:rPr>
  </w:style>
  <w:style w:type="table" w:customStyle="1" w:styleId="21">
    <w:name w:val="Table Normal"/>
    <w:autoRedefine/>
    <w:semiHidden/>
    <w:unhideWhenUsed/>
    <w:qFormat/>
    <w:uiPriority w:val="0"/>
    <w:tblPr>
      <w:tblCellMar>
        <w:top w:w="0" w:type="dxa"/>
        <w:left w:w="0" w:type="dxa"/>
        <w:bottom w:w="0" w:type="dxa"/>
        <w:right w:w="0" w:type="dxa"/>
      </w:tblCellMar>
    </w:tblPr>
  </w:style>
  <w:style w:type="paragraph" w:customStyle="1" w:styleId="22">
    <w:name w:val="Table Text"/>
    <w:basedOn w:val="1"/>
    <w:autoRedefine/>
    <w:semiHidden/>
    <w:qFormat/>
    <w:uiPriority w:val="0"/>
    <w:pPr>
      <w:spacing w:before="78" w:line="216" w:lineRule="auto"/>
      <w:ind w:left="111"/>
      <w:jc w:val="center"/>
    </w:pPr>
    <w:rPr>
      <w:rFonts w:ascii="楷体" w:hAnsi="楷体" w:eastAsia="楷体" w:cs="楷体"/>
      <w:sz w:val="24"/>
      <w:szCs w:val="24"/>
      <w:lang w:eastAsia="en-U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BFC0E56-B7AB-4F62-8831-6817B169C3FF}">
  <ds:schemaRefs/>
</ds:datastoreItem>
</file>

<file path=docProps/app.xml><?xml version="1.0" encoding="utf-8"?>
<Properties xmlns="http://schemas.openxmlformats.org/officeDocument/2006/extended-properties" xmlns:vt="http://schemas.openxmlformats.org/officeDocument/2006/docPropsVTypes">
  <Template>Normal</Template>
  <Pages>8</Pages>
  <Words>6484</Words>
  <Characters>6722</Characters>
  <Lines>51</Lines>
  <Paragraphs>14</Paragraphs>
  <TotalTime>59</TotalTime>
  <ScaleCrop>false</ScaleCrop>
  <LinksUpToDate>false</LinksUpToDate>
  <CharactersWithSpaces>6770</CharactersWithSpaces>
  <Application>WPS Office_12.1.24031.24031_F1E327BC-269C-435d-A152-05C5408002CA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2024-02-23T10:58:00Z</dcterms:created>
  <dc:creator>Administrator</dc:creator>
  <cp:lastModifiedBy>戴晓月</cp:lastModifiedBy>
  <dcterms:modified xsi:type="dcterms:W3CDTF">2026-01-19T14:51:09Z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2052-12.1.24031.24031</vt:lpwstr>
  </property>
  <property fmtid="{D5CDD505-2E9C-101B-9397-08002B2CF9AE}" pid="3" name="ICV">
    <vt:lpwstr>B35DE1121B0342DFA2DB7A0B44496E41_13</vt:lpwstr>
  </property>
  <property fmtid="{D5CDD505-2E9C-101B-9397-08002B2CF9AE}" pid="4" name="KSOTemplateDocerSaveRecord">
    <vt:lpwstr>eyJoZGlkIjoiYjNjMjFiMDlkOTJhZjA4NzViZmQzY2Y0ZjY3NDAzY2EiLCJ1c2VySWQiOiI0MTU0OTQ1MDQifQ==</vt:lpwstr>
  </property>
</Properties>
</file>