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5B9F8C">
      <w:pPr>
        <w:keepNext w:val="0"/>
        <w:keepLines w:val="0"/>
        <w:pageBreakBefore w:val="0"/>
        <w:widowControl/>
        <w:kinsoku/>
        <w:wordWrap/>
        <w:overflowPunct/>
        <w:topLinePunct/>
        <w:autoSpaceDE/>
        <w:autoSpaceDN/>
        <w:bidi w:val="0"/>
        <w:adjustRightInd/>
        <w:snapToGrid/>
        <w:spacing w:after="100" w:afterAutospacing="1"/>
        <w:jc w:val="center"/>
        <w:textAlignment w:val="baseline"/>
        <w:rPr>
          <w:rFonts w:hint="eastAsia" w:ascii="黑体" w:hAnsi="黑体" w:eastAsia="黑体" w:cs="黑体"/>
          <w:b w:val="0"/>
          <w:bCs w:val="0"/>
          <w:sz w:val="44"/>
          <w:szCs w:val="44"/>
        </w:rPr>
      </w:pPr>
      <w:r>
        <w:rPr>
          <w:rFonts w:hint="eastAsia" w:ascii="黑体" w:hAnsi="黑体" w:eastAsia="黑体" w:cs="黑体"/>
          <w:b w:val="0"/>
          <w:bCs w:val="0"/>
          <w:sz w:val="44"/>
          <w:szCs w:val="44"/>
        </w:rPr>
        <w:t>债权申报须知</w:t>
      </w:r>
    </w:p>
    <w:p w14:paraId="4BBF023F">
      <w:pPr>
        <w:keepNext w:val="0"/>
        <w:keepLines w:val="0"/>
        <w:pageBreakBefore w:val="0"/>
        <w:widowControl/>
        <w:kinsoku/>
        <w:wordWrap/>
        <w:overflowPunct/>
        <w:topLinePunct/>
        <w:autoSpaceDE/>
        <w:autoSpaceDN/>
        <w:bidi w:val="0"/>
        <w:adjustRightInd/>
        <w:snapToGrid/>
        <w:spacing w:before="0" w:line="56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汉中嘉陵矿业有限责任公司债权人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略阳县钢钒工贸有限公司债权人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成都市略钢汉川商贸有限公司债权人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略阳县白水江铁矿债权人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略阳县华盛钢铁有限责任公司债权人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汉中嘉陵工贸有限责任公司债权人：</w:t>
      </w:r>
    </w:p>
    <w:p w14:paraId="41D174E1">
      <w:pPr>
        <w:keepNext w:val="0"/>
        <w:keepLines w:val="0"/>
        <w:pageBreakBefore w:val="0"/>
        <w:widowControl/>
        <w:kinsoku/>
        <w:wordWrap/>
        <w:overflowPunct/>
        <w:topLinePunct/>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r>
        <w:rPr>
          <w:rFonts w:hint="eastAsia" w:ascii="Times New Roman" w:hAnsi="Times New Roman" w:eastAsia="仿宋" w:cs="Times New Roman"/>
          <w:sz w:val="32"/>
          <w:szCs w:val="32"/>
          <w:lang w:val="en-US" w:eastAsia="zh-CN"/>
        </w:rPr>
        <w:t>2024年12月18</w:t>
      </w:r>
      <w:r>
        <w:rPr>
          <w:rFonts w:hint="eastAsia" w:ascii="仿宋_GB2312" w:hAnsi="仿宋_GB2312" w:eastAsia="仿宋_GB2312" w:cs="仿宋_GB2312"/>
          <w:sz w:val="32"/>
          <w:szCs w:val="32"/>
        </w:rPr>
        <w:t>日，汉中市中级人民法院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下称汉中中院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w:t>
      </w:r>
      <w:r>
        <w:rPr>
          <w:rFonts w:hint="eastAsia" w:ascii="仿宋_GB2312" w:hAnsi="仿宋_GB2312" w:eastAsia="仿宋_GB2312" w:cs="仿宋_GB2312"/>
          <w:sz w:val="32"/>
          <w:szCs w:val="32"/>
          <w:lang w:eastAsia="zh-CN"/>
        </w:rPr>
        <w:t>（</w:t>
      </w:r>
      <w:r>
        <w:rPr>
          <w:rFonts w:hint="eastAsia" w:ascii="Times New Roman" w:hAnsi="Times New Roman" w:eastAsia="仿宋" w:cs="Times New Roman"/>
          <w:sz w:val="32"/>
          <w:szCs w:val="32"/>
          <w:lang w:val="en-US" w:eastAsia="zh-CN"/>
        </w:rPr>
        <w:t>2024）陕07破申49</w:t>
      </w:r>
      <w:r>
        <w:rPr>
          <w:rFonts w:hint="eastAsia" w:ascii="仿宋_GB2312" w:hAnsi="仿宋_GB2312" w:eastAsia="仿宋_GB2312" w:cs="仿宋_GB2312"/>
          <w:sz w:val="32"/>
          <w:szCs w:val="32"/>
        </w:rPr>
        <w:t>号民事裁定书受理略阳县润源工贸有限公司、梁登秘对陕西略阳钢铁有限责任公司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下称略钢公司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的破产重整申请，同时以</w:t>
      </w:r>
      <w:r>
        <w:rPr>
          <w:rFonts w:hint="eastAsia" w:ascii="仿宋_GB2312" w:hAnsi="仿宋_GB2312" w:eastAsia="仿宋_GB2312" w:cs="仿宋_GB2312"/>
          <w:sz w:val="32"/>
          <w:szCs w:val="32"/>
          <w:lang w:eastAsia="zh-CN"/>
        </w:rPr>
        <w:t>（</w:t>
      </w:r>
      <w:r>
        <w:rPr>
          <w:rFonts w:hint="eastAsia" w:ascii="Times New Roman" w:hAnsi="Times New Roman" w:eastAsia="仿宋" w:cs="Times New Roman"/>
          <w:sz w:val="32"/>
          <w:szCs w:val="32"/>
          <w:lang w:val="en-US" w:eastAsia="zh-CN"/>
        </w:rPr>
        <w:t>2024）陕07破22</w:t>
      </w:r>
      <w:r>
        <w:rPr>
          <w:rFonts w:hint="eastAsia" w:ascii="仿宋_GB2312" w:hAnsi="仿宋_GB2312" w:eastAsia="仿宋_GB2312" w:cs="仿宋_GB2312"/>
          <w:sz w:val="32"/>
          <w:szCs w:val="32"/>
        </w:rPr>
        <w:t>号决定书指定略钢公司清算组担任略钢公司管理人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下称管理人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Times New Roman" w:hAnsi="Times New Roman" w:eastAsia="仿宋" w:cs="Times New Roman"/>
          <w:sz w:val="32"/>
          <w:szCs w:val="32"/>
          <w:lang w:val="en-US" w:eastAsia="zh-CN"/>
        </w:rPr>
        <w:t>2026年1月12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汉中中院</w:t>
      </w:r>
      <w:r>
        <w:rPr>
          <w:rFonts w:hint="eastAsia" w:ascii="仿宋_GB2312" w:hAnsi="仿宋_GB2312" w:eastAsia="仿宋_GB2312" w:cs="仿宋_GB2312"/>
          <w:sz w:val="32"/>
          <w:szCs w:val="32"/>
        </w:rPr>
        <w:t>根据陕西略阳钢铁有限责任公司管理人的申请裁定对陕西略阳钢铁有限责任公司、汉中嘉陵矿业有限责任公司、略阳县钢钒工贸有限公司、成都市略钢汉川商贸有限公司、略阳县白水江铁矿、略阳县华盛钢铁有限责任公司、汉中嘉陵工贸有限责任公司等</w:t>
      </w:r>
      <w:r>
        <w:rPr>
          <w:rFonts w:hint="eastAsia" w:ascii="Times New Roman" w:hAnsi="Times New Roman" w:eastAsia="仿宋" w:cs="Times New Roman"/>
          <w:sz w:val="32"/>
          <w:szCs w:val="32"/>
          <w:lang w:val="en-US" w:eastAsia="zh-CN"/>
        </w:rPr>
        <w:t>7</w:t>
      </w:r>
      <w:r>
        <w:rPr>
          <w:rFonts w:hint="eastAsia" w:ascii="仿宋_GB2312" w:hAnsi="仿宋_GB2312" w:eastAsia="仿宋_GB2312" w:cs="仿宋_GB2312"/>
          <w:sz w:val="32"/>
          <w:szCs w:val="32"/>
        </w:rPr>
        <w:t>个企业进行实质合并破产重整，并于同日指定陕西略阳钢铁有限责任公司清算组担任前述7</w:t>
      </w:r>
      <w:r>
        <w:rPr>
          <w:rFonts w:hint="eastAsia" w:ascii="仿宋_GB2312" w:hAnsi="仿宋_GB2312" w:eastAsia="仿宋_GB2312" w:cs="仿宋_GB2312"/>
          <w:sz w:val="32"/>
          <w:szCs w:val="32"/>
          <w:lang w:val="en-US" w:eastAsia="zh-CN"/>
        </w:rPr>
        <w:t>个</w:t>
      </w:r>
      <w:r>
        <w:rPr>
          <w:rFonts w:hint="eastAsia" w:ascii="仿宋_GB2312" w:hAnsi="仿宋_GB2312" w:eastAsia="仿宋_GB2312" w:cs="仿宋_GB2312"/>
          <w:sz w:val="32"/>
          <w:szCs w:val="32"/>
        </w:rPr>
        <w:t>企业实质合并破产重整管理人。</w:t>
      </w:r>
    </w:p>
    <w:p w14:paraId="0C24D8B6">
      <w:pPr>
        <w:keepNext w:val="0"/>
        <w:keepLines w:val="0"/>
        <w:pageBreakBefore w:val="0"/>
        <w:widowControl/>
        <w:kinsoku/>
        <w:wordWrap/>
        <w:overflowPunct/>
        <w:topLinePunct/>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Times New Roman" w:hAnsi="Times New Roman" w:eastAsia="仿宋" w:cs="Times New Roman"/>
          <w:sz w:val="32"/>
          <w:szCs w:val="32"/>
          <w:lang w:val="en-US" w:eastAsia="zh-CN"/>
        </w:rPr>
        <w:t>2026年1月16</w:t>
      </w:r>
      <w:r>
        <w:rPr>
          <w:rFonts w:hint="eastAsia" w:ascii="仿宋_GB2312" w:hAnsi="仿宋_GB2312" w:eastAsia="仿宋_GB2312" w:cs="仿宋_GB2312"/>
          <w:sz w:val="32"/>
          <w:szCs w:val="32"/>
          <w:lang w:val="en-US" w:eastAsia="zh-CN"/>
        </w:rPr>
        <w:t>日，汉中中院作出</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val="en-US" w:eastAsia="zh-CN"/>
        </w:rPr>
        <w:t>2026</w:t>
      </w:r>
      <w:r>
        <w:rPr>
          <w:rFonts w:hint="eastAsia" w:ascii="Times New Roman" w:hAnsi="Times New Roman" w:eastAsia="仿宋" w:cs="Times New Roman"/>
          <w:sz w:val="32"/>
          <w:szCs w:val="32"/>
          <w:lang w:val="en-US" w:eastAsia="zh-CN"/>
        </w:rPr>
        <w:t>）陕</w:t>
      </w:r>
      <w:r>
        <w:rPr>
          <w:rFonts w:hint="default" w:ascii="Times New Roman" w:hAnsi="Times New Roman" w:eastAsia="仿宋" w:cs="Times New Roman"/>
          <w:sz w:val="32"/>
          <w:szCs w:val="32"/>
          <w:lang w:val="en-US" w:eastAsia="zh-CN"/>
        </w:rPr>
        <w:t>07</w:t>
      </w:r>
      <w:r>
        <w:rPr>
          <w:rFonts w:hint="eastAsia" w:ascii="Times New Roman" w:hAnsi="Times New Roman" w:eastAsia="仿宋" w:cs="Times New Roman"/>
          <w:sz w:val="32"/>
          <w:szCs w:val="32"/>
          <w:lang w:val="en-US" w:eastAsia="zh-CN"/>
        </w:rPr>
        <w:t>破</w:t>
      </w:r>
      <w:r>
        <w:rPr>
          <w:rFonts w:hint="default" w:ascii="Times New Roman" w:hAnsi="Times New Roman" w:eastAsia="仿宋" w:cs="Times New Roman"/>
          <w:sz w:val="32"/>
          <w:szCs w:val="32"/>
          <w:lang w:val="en-US" w:eastAsia="zh-CN"/>
        </w:rPr>
        <w:t>13</w:t>
      </w:r>
      <w:r>
        <w:rPr>
          <w:rFonts w:hint="eastAsia" w:ascii="仿宋_GB2312" w:hAnsi="仿宋_GB2312" w:eastAsia="仿宋_GB2312" w:cs="仿宋_GB2312"/>
          <w:sz w:val="32"/>
          <w:szCs w:val="32"/>
          <w:lang w:val="en-US" w:eastAsia="zh-CN"/>
        </w:rPr>
        <w:t>号公告，公告载明：前述</w:t>
      </w:r>
      <w:r>
        <w:rPr>
          <w:rFonts w:hint="eastAsia" w:ascii="Times New Roman" w:hAnsi="Times New Roman" w:eastAsia="仿宋" w:cs="Times New Roman"/>
          <w:sz w:val="32"/>
          <w:szCs w:val="32"/>
          <w:lang w:val="en-US" w:eastAsia="zh-CN"/>
        </w:rPr>
        <w:t>7</w:t>
      </w:r>
      <w:r>
        <w:rPr>
          <w:rFonts w:hint="eastAsia" w:ascii="仿宋_GB2312" w:hAnsi="仿宋_GB2312" w:eastAsia="仿宋_GB2312" w:cs="仿宋_GB2312"/>
          <w:sz w:val="32"/>
          <w:szCs w:val="32"/>
          <w:lang w:val="en-US" w:eastAsia="zh-CN"/>
        </w:rPr>
        <w:t>个企业的债权人应于</w:t>
      </w:r>
      <w:r>
        <w:rPr>
          <w:rFonts w:hint="eastAsia" w:ascii="Times New Roman" w:hAnsi="Times New Roman" w:eastAsia="仿宋" w:cs="Times New Roman"/>
          <w:sz w:val="32"/>
          <w:szCs w:val="32"/>
          <w:lang w:val="en-US" w:eastAsia="zh-CN"/>
        </w:rPr>
        <w:t>2026年3月25</w:t>
      </w:r>
      <w:r>
        <w:rPr>
          <w:rFonts w:hint="eastAsia" w:ascii="仿宋_GB2312" w:hAnsi="仿宋_GB2312" w:eastAsia="仿宋_GB2312" w:cs="仿宋_GB2312"/>
          <w:sz w:val="32"/>
          <w:szCs w:val="32"/>
          <w:lang w:val="en-US" w:eastAsia="zh-CN"/>
        </w:rPr>
        <w:t>日前向管理人申报债权，书面说明债权数额、有无财产担保及是否属于连带债权，并提供相关证据材料。债权申报联系人及联系电话：张律师，18292367192;黄律师，18293498797;吴律师，13992857670;张律师，15378856217;袁律师，15619039880。联系地址：陕西省汉中市略阳县城关大沟口陕西略阳钢铁有限责任公司办公楼二层。</w:t>
      </w:r>
    </w:p>
    <w:p w14:paraId="65335FC1">
      <w:pPr>
        <w:keepNext w:val="0"/>
        <w:keepLines w:val="0"/>
        <w:pageBreakBefore w:val="0"/>
        <w:widowControl/>
        <w:kinsoku/>
        <w:wordWrap/>
        <w:overflowPunct/>
        <w:topLinePunct/>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管理人现将债权申报、登记与审查流程，债权申报须知及债权申报所需提交材料样表公告如下。</w:t>
      </w:r>
    </w:p>
    <w:p w14:paraId="47E04074">
      <w:pPr>
        <w:keepNext w:val="0"/>
        <w:keepLines w:val="0"/>
        <w:pageBreakBefore w:val="0"/>
        <w:widowControl/>
        <w:kinsoku/>
        <w:wordWrap/>
        <w:overflowPunct/>
        <w:topLinePunct/>
        <w:autoSpaceDE/>
        <w:autoSpaceDN/>
        <w:bidi w:val="0"/>
        <w:adjustRightInd/>
        <w:snapToGrid/>
        <w:spacing w:line="560" w:lineRule="exact"/>
        <w:ind w:firstLine="640" w:firstLineChars="20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特此公告。</w:t>
      </w:r>
    </w:p>
    <w:p w14:paraId="13F0B1A9">
      <w:pPr>
        <w:keepNext w:val="0"/>
        <w:keepLines w:val="0"/>
        <w:pageBreakBefore w:val="0"/>
        <w:widowControl/>
        <w:kinsoku/>
        <w:wordWrap/>
        <w:overflowPunct/>
        <w:topLinePunct/>
        <w:autoSpaceDE/>
        <w:autoSpaceDN/>
        <w:bidi w:val="0"/>
        <w:adjustRightInd/>
        <w:snapToGrid/>
        <w:spacing w:line="560" w:lineRule="exact"/>
        <w:jc w:val="center"/>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4B34D6BD">
      <w:pPr>
        <w:keepNext w:val="0"/>
        <w:keepLines w:val="0"/>
        <w:pageBreakBefore w:val="0"/>
        <w:widowControl/>
        <w:kinsoku/>
        <w:wordWrap/>
        <w:overflowPunct/>
        <w:topLinePunct/>
        <w:autoSpaceDE/>
        <w:autoSpaceDN/>
        <w:bidi w:val="0"/>
        <w:adjustRightInd/>
        <w:snapToGrid/>
        <w:spacing w:line="560" w:lineRule="exact"/>
        <w:jc w:val="right"/>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陕西略阳钢铁有限责任公司等七家企业实质合并管理人</w:t>
      </w:r>
    </w:p>
    <w:p w14:paraId="6E4CBD80">
      <w:pPr>
        <w:keepNext w:val="0"/>
        <w:keepLines w:val="0"/>
        <w:pageBreakBefore w:val="0"/>
        <w:widowControl/>
        <w:kinsoku/>
        <w:wordWrap/>
        <w:overflowPunct/>
        <w:topLinePunct/>
        <w:autoSpaceDE/>
        <w:autoSpaceDN/>
        <w:bidi w:val="0"/>
        <w:adjustRightInd/>
        <w:snapToGrid/>
        <w:spacing w:line="560" w:lineRule="exact"/>
        <w:jc w:val="right"/>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4254D280">
      <w:pPr>
        <w:keepNext w:val="0"/>
        <w:keepLines w:val="0"/>
        <w:pageBreakBefore w:val="0"/>
        <w:widowControl/>
        <w:kinsoku/>
        <w:wordWrap/>
        <w:overflowPunct/>
        <w:topLinePunct/>
        <w:autoSpaceDE/>
        <w:autoSpaceDN/>
        <w:bidi w:val="0"/>
        <w:adjustRightInd/>
        <w:snapToGrid/>
        <w:spacing w:line="560" w:lineRule="exact"/>
        <w:jc w:val="center"/>
        <w:textAlignment w:val="baseline"/>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sz w:val="32"/>
          <w:szCs w:val="32"/>
          <w:lang w:val="en-US" w:eastAsia="zh-CN"/>
        </w:rPr>
        <w:t>2026年1月23日</w:t>
      </w:r>
    </w:p>
    <w:p w14:paraId="24792C2B">
      <w:pPr>
        <w:keepNext w:val="0"/>
        <w:keepLines w:val="0"/>
        <w:pageBreakBefore w:val="0"/>
        <w:widowControl/>
        <w:kinsoku/>
        <w:wordWrap/>
        <w:overflowPunct/>
        <w:topLinePunct/>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5C65CEF1">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债权申报材料清单</w:t>
      </w:r>
    </w:p>
    <w:p w14:paraId="3D7E6B4B">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债权申报表</w:t>
      </w:r>
    </w:p>
    <w:p w14:paraId="0CE13CF0">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债权申报书</w:t>
      </w:r>
    </w:p>
    <w:p w14:paraId="4CA36348">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债权人地址及联系方式确认书</w:t>
      </w:r>
    </w:p>
    <w:p w14:paraId="659E3A7A">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授权委托书</w:t>
      </w:r>
    </w:p>
    <w:p w14:paraId="61A1ED14">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法定代表人身份证明</w:t>
      </w:r>
    </w:p>
    <w:p w14:paraId="5DB0BA2D">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诚信申报承诺书</w:t>
      </w:r>
    </w:p>
    <w:p w14:paraId="5EB8AF21">
      <w:pPr>
        <w:keepNext w:val="0"/>
        <w:keepLines w:val="0"/>
        <w:pageBreakBefore w:val="0"/>
        <w:widowControl/>
        <w:numPr>
          <w:ilvl w:val="0"/>
          <w:numId w:val="1"/>
        </w:numPr>
        <w:kinsoku/>
        <w:wordWrap/>
        <w:overflowPunct/>
        <w:topLinePunct/>
        <w:autoSpaceDE/>
        <w:autoSpaceDN/>
        <w:bidi w:val="0"/>
        <w:adjustRightInd/>
        <w:snapToGrid/>
        <w:spacing w:line="560" w:lineRule="exact"/>
        <w:ind w:left="1600" w:leftChars="0"/>
        <w:textAlignment w:val="baseline"/>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虚假申报债权法律风险告知书</w:t>
      </w:r>
    </w:p>
    <w:p w14:paraId="1AA8B593"/>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CFAA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5B528">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15B528">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3B9BC3"/>
    <w:multiLevelType w:val="singleLevel"/>
    <w:tmpl w:val="773B9BC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F2559"/>
    <w:rsid w:val="18AF2559"/>
    <w:rsid w:val="1AD25FED"/>
    <w:rsid w:val="2CB216AE"/>
    <w:rsid w:val="33994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702</Words>
  <Characters>738</Characters>
  <Lines>0</Lines>
  <Paragraphs>0</Paragraphs>
  <TotalTime>0</TotalTime>
  <ScaleCrop>false</ScaleCrop>
  <LinksUpToDate>false</LinksUpToDate>
  <CharactersWithSpaces>738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2026-01-23T02:10:00Z</dcterms:created>
  <dc:creator>杜律</dc:creator>
  <cp:lastModifiedBy>杜律</cp:lastModifiedBy>
  <dcterms:modified xsi:type="dcterms:W3CDTF">2026-01-26T11:40:44Z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C670D139E52644E0B6FC1D25F730E6A1_13</vt:lpwstr>
  </property>
  <property fmtid="{D5CDD505-2E9C-101B-9397-08002B2CF9AE}" pid="4" name="KSOTemplateDocerSaveRecord">
    <vt:lpwstr>eyJoZGlkIjoiODlmZjc3Nzc2OGQwNzZmOWRjZDk2MTc2OTMyM2ZlOWYiLCJ1c2VySWQiOiIyOTU0OTcxNDAifQ==</vt:lpwstr>
  </property>
</Properties>
</file>