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85E36A">
      <w:pPr>
        <w:spacing w:before="308" w:line="226" w:lineRule="auto"/>
        <w:jc w:val="center"/>
        <w:outlineLvl w:val="0"/>
        <w:rPr>
          <w:rFonts w:ascii="黑体" w:hAnsi="黑体" w:eastAsia="黑体" w:cs="黑体"/>
          <w:sz w:val="43"/>
          <w:szCs w:val="43"/>
        </w:rPr>
      </w:pPr>
      <w:r>
        <w:rPr>
          <w:rFonts w:ascii="黑体" w:hAnsi="黑体" w:eastAsia="黑体" w:cs="黑体"/>
          <w:b/>
          <w:bCs/>
          <w:spacing w:val="4"/>
          <w:sz w:val="43"/>
          <w:szCs w:val="43"/>
        </w:rPr>
        <w:t>关于债权申报的一次性告知书</w:t>
      </w:r>
    </w:p>
    <w:p w14:paraId="619CA250">
      <w:pPr>
        <w:spacing w:line="294" w:lineRule="auto"/>
        <w:rPr>
          <w:rFonts w:ascii="Arial"/>
          <w:sz w:val="21"/>
        </w:rPr>
      </w:pPr>
    </w:p>
    <w:p w14:paraId="6EECA903">
      <w:pPr>
        <w:spacing w:before="97" w:line="221" w:lineRule="auto"/>
        <w:ind w:left="37"/>
        <w:rPr>
          <w:rFonts w:ascii="仿宋" w:hAnsi="仿宋" w:eastAsia="仿宋" w:cs="仿宋"/>
          <w:sz w:val="30"/>
          <w:szCs w:val="30"/>
        </w:rPr>
      </w:pPr>
      <w:r>
        <w:rPr>
          <w:rFonts w:hint="eastAsia" w:ascii="仿宋" w:hAnsi="仿宋" w:eastAsia="仿宋" w:cs="仿宋"/>
          <w:b/>
          <w:bCs/>
          <w:spacing w:val="-8"/>
          <w:sz w:val="30"/>
          <w:szCs w:val="30"/>
        </w:rPr>
        <w:t>峨边奔福磷制品有限公司</w:t>
      </w:r>
      <w:r>
        <w:rPr>
          <w:rFonts w:hint="eastAsia" w:ascii="仿宋" w:hAnsi="仿宋" w:eastAsia="仿宋" w:cs="仿宋"/>
          <w:b/>
          <w:bCs/>
          <w:spacing w:val="-8"/>
          <w:sz w:val="30"/>
          <w:szCs w:val="30"/>
          <w:lang w:val="en-US" w:eastAsia="zh-CN"/>
        </w:rPr>
        <w:t>的</w:t>
      </w:r>
      <w:r>
        <w:rPr>
          <w:rFonts w:ascii="仿宋" w:hAnsi="仿宋" w:eastAsia="仿宋" w:cs="仿宋"/>
          <w:b/>
          <w:bCs/>
          <w:spacing w:val="-8"/>
          <w:sz w:val="30"/>
          <w:szCs w:val="30"/>
        </w:rPr>
        <w:t>可能债权人：</w:t>
      </w:r>
    </w:p>
    <w:p w14:paraId="1D10C058">
      <w:pPr>
        <w:spacing w:before="83" w:line="221" w:lineRule="auto"/>
        <w:ind w:left="644"/>
        <w:rPr>
          <w:rFonts w:ascii="仿宋" w:hAnsi="仿宋" w:eastAsia="仿宋" w:cs="仿宋"/>
          <w:sz w:val="30"/>
          <w:szCs w:val="30"/>
        </w:rPr>
      </w:pPr>
      <w:r>
        <w:rPr>
          <w:rFonts w:ascii="仿宋" w:hAnsi="仿宋" w:eastAsia="仿宋" w:cs="仿宋"/>
          <w:spacing w:val="-2"/>
          <w:sz w:val="30"/>
          <w:szCs w:val="30"/>
        </w:rPr>
        <w:t>为了提高申报效率，现将债权申报的有关事项通知如下：</w:t>
      </w:r>
    </w:p>
    <w:p w14:paraId="7838133F">
      <w:pPr>
        <w:spacing w:before="79" w:line="222" w:lineRule="auto"/>
        <w:ind w:left="630"/>
        <w:outlineLvl w:val="1"/>
        <w:rPr>
          <w:rFonts w:ascii="黑体" w:hAnsi="黑体" w:eastAsia="黑体" w:cs="黑体"/>
          <w:sz w:val="30"/>
          <w:szCs w:val="30"/>
        </w:rPr>
      </w:pPr>
      <w:r>
        <w:rPr>
          <w:rFonts w:ascii="黑体" w:hAnsi="黑体" w:eastAsia="黑体" w:cs="黑体"/>
          <w:spacing w:val="-3"/>
          <w:sz w:val="30"/>
          <w:szCs w:val="30"/>
        </w:rPr>
        <w:t>一、债权申报文件</w:t>
      </w:r>
    </w:p>
    <w:p w14:paraId="6B229C25">
      <w:pPr>
        <w:spacing w:before="78" w:line="271" w:lineRule="auto"/>
        <w:ind w:left="35" w:right="128" w:firstLine="641"/>
        <w:jc w:val="both"/>
        <w:rPr>
          <w:rFonts w:ascii="仿宋" w:hAnsi="仿宋" w:eastAsia="仿宋" w:cs="仿宋"/>
          <w:sz w:val="30"/>
          <w:szCs w:val="30"/>
        </w:rPr>
      </w:pPr>
      <w:r>
        <w:rPr>
          <w:rFonts w:ascii="仿宋" w:hAnsi="仿宋" w:eastAsia="仿宋" w:cs="仿宋"/>
          <w:spacing w:val="1"/>
          <w:sz w:val="30"/>
          <w:szCs w:val="30"/>
        </w:rPr>
        <w:t>申报人应当如实、详细填写债权申报表以及提供完整、真</w:t>
      </w:r>
      <w:r>
        <w:rPr>
          <w:rFonts w:ascii="仿宋" w:hAnsi="仿宋" w:eastAsia="仿宋" w:cs="仿宋"/>
          <w:spacing w:val="-9"/>
          <w:sz w:val="30"/>
          <w:szCs w:val="30"/>
        </w:rPr>
        <w:t>实有效的申报材料（</w:t>
      </w:r>
      <w:r>
        <w:rPr>
          <w:rFonts w:ascii="仿宋" w:hAnsi="仿宋" w:eastAsia="仿宋" w:cs="仿宋"/>
          <w:b/>
          <w:bCs/>
          <w:spacing w:val="-9"/>
          <w:sz w:val="30"/>
          <w:szCs w:val="30"/>
        </w:rPr>
        <w:t>单面</w:t>
      </w:r>
      <w:r>
        <w:rPr>
          <w:rFonts w:ascii="仿宋" w:hAnsi="仿宋" w:eastAsia="仿宋" w:cs="仿宋"/>
          <w:spacing w:val="-9"/>
          <w:sz w:val="30"/>
          <w:szCs w:val="30"/>
        </w:rPr>
        <w:t>打印或复印）。债权申报时，每笔</w:t>
      </w:r>
      <w:bookmarkStart w:id="0" w:name="_GoBack"/>
      <w:r>
        <w:rPr>
          <w:rFonts w:ascii="仿宋" w:hAnsi="仿宋" w:eastAsia="仿宋" w:cs="仿宋"/>
          <w:spacing w:val="-9"/>
          <w:sz w:val="30"/>
          <w:szCs w:val="30"/>
        </w:rPr>
        <w:t>债权</w:t>
      </w:r>
      <w:bookmarkEnd w:id="0"/>
      <w:r>
        <w:rPr>
          <w:rFonts w:ascii="仿宋" w:hAnsi="仿宋" w:eastAsia="仿宋" w:cs="仿宋"/>
          <w:spacing w:val="-2"/>
          <w:sz w:val="30"/>
          <w:szCs w:val="30"/>
        </w:rPr>
        <w:t>须单独申报，不得将几笔债权混合申报；</w:t>
      </w:r>
    </w:p>
    <w:p w14:paraId="364358C2">
      <w:pPr>
        <w:spacing w:before="2" w:line="220" w:lineRule="auto"/>
        <w:ind w:left="636"/>
        <w:rPr>
          <w:rFonts w:ascii="仿宋" w:hAnsi="仿宋" w:eastAsia="仿宋" w:cs="仿宋"/>
          <w:sz w:val="30"/>
          <w:szCs w:val="30"/>
        </w:rPr>
      </w:pPr>
      <w:r>
        <w:rPr>
          <w:rFonts w:ascii="仿宋" w:hAnsi="仿宋" w:eastAsia="仿宋" w:cs="仿宋"/>
          <w:spacing w:val="-2"/>
          <w:sz w:val="30"/>
          <w:szCs w:val="30"/>
        </w:rPr>
        <w:t>债权申报文件包括但不限于下列各项：</w:t>
      </w:r>
    </w:p>
    <w:p w14:paraId="278CBB01">
      <w:pPr>
        <w:spacing w:before="82" w:line="246" w:lineRule="auto"/>
        <w:ind w:left="48" w:right="128" w:firstLine="590"/>
        <w:rPr>
          <w:rFonts w:ascii="仿宋" w:hAnsi="仿宋" w:eastAsia="仿宋" w:cs="仿宋"/>
          <w:sz w:val="30"/>
          <w:szCs w:val="30"/>
        </w:rPr>
      </w:pPr>
      <w:r>
        <w:rPr>
          <w:rFonts w:ascii="仿宋" w:hAnsi="仿宋" w:eastAsia="仿宋" w:cs="仿宋"/>
          <w:spacing w:val="2"/>
          <w:sz w:val="30"/>
          <w:szCs w:val="30"/>
        </w:rPr>
        <w:t>（一）债权申报文件清单、债权申报表、债权人信息确认</w:t>
      </w:r>
      <w:r>
        <w:rPr>
          <w:rFonts w:ascii="仿宋" w:hAnsi="仿宋" w:eastAsia="仿宋" w:cs="仿宋"/>
          <w:spacing w:val="-2"/>
          <w:sz w:val="30"/>
          <w:szCs w:val="30"/>
        </w:rPr>
        <w:t>书、诚信申报承诺书（按附件格式填写</w:t>
      </w:r>
      <w:r>
        <w:rPr>
          <w:rFonts w:ascii="仿宋" w:hAnsi="仿宋" w:eastAsia="仿宋" w:cs="仿宋"/>
          <w:spacing w:val="-56"/>
          <w:sz w:val="30"/>
          <w:szCs w:val="30"/>
        </w:rPr>
        <w:t>）；</w:t>
      </w:r>
    </w:p>
    <w:p w14:paraId="43BDEDAB">
      <w:pPr>
        <w:spacing w:before="79" w:line="246" w:lineRule="auto"/>
        <w:ind w:left="49" w:right="129" w:firstLine="589"/>
        <w:rPr>
          <w:rFonts w:ascii="仿宋" w:hAnsi="仿宋" w:eastAsia="仿宋" w:cs="仿宋"/>
          <w:sz w:val="30"/>
          <w:szCs w:val="30"/>
        </w:rPr>
      </w:pPr>
      <w:r>
        <w:rPr>
          <w:rFonts w:ascii="仿宋" w:hAnsi="仿宋" w:eastAsia="仿宋" w:cs="仿宋"/>
          <w:spacing w:val="2"/>
          <w:sz w:val="30"/>
          <w:szCs w:val="30"/>
        </w:rPr>
        <w:t>（二）债权人营业执照、法定代表人身份证明等主体资格</w:t>
      </w:r>
      <w:r>
        <w:rPr>
          <w:rFonts w:ascii="仿宋" w:hAnsi="仿宋" w:eastAsia="仿宋" w:cs="仿宋"/>
          <w:spacing w:val="-3"/>
          <w:sz w:val="30"/>
          <w:szCs w:val="30"/>
        </w:rPr>
        <w:t>资料复印件（要求加盖印鉴</w:t>
      </w:r>
      <w:r>
        <w:rPr>
          <w:rFonts w:ascii="仿宋" w:hAnsi="仿宋" w:eastAsia="仿宋" w:cs="仿宋"/>
          <w:spacing w:val="-56"/>
          <w:sz w:val="30"/>
          <w:szCs w:val="30"/>
        </w:rPr>
        <w:t>）；</w:t>
      </w:r>
    </w:p>
    <w:p w14:paraId="17170623">
      <w:pPr>
        <w:spacing w:before="79" w:line="255" w:lineRule="auto"/>
        <w:ind w:left="33" w:right="128" w:firstLine="605"/>
        <w:rPr>
          <w:rFonts w:ascii="仿宋" w:hAnsi="仿宋" w:eastAsia="仿宋" w:cs="仿宋"/>
          <w:sz w:val="30"/>
          <w:szCs w:val="30"/>
        </w:rPr>
      </w:pPr>
      <w:r>
        <w:rPr>
          <w:rFonts w:ascii="仿宋" w:hAnsi="仿宋" w:eastAsia="仿宋" w:cs="仿宋"/>
          <w:spacing w:val="2"/>
          <w:sz w:val="30"/>
          <w:szCs w:val="30"/>
        </w:rPr>
        <w:t>（三）委托代理人的，需提交代理人授权委托</w:t>
      </w:r>
      <w:r>
        <w:rPr>
          <w:rFonts w:ascii="仿宋" w:hAnsi="仿宋" w:eastAsia="仿宋" w:cs="仿宋"/>
          <w:spacing w:val="1"/>
          <w:sz w:val="30"/>
          <w:szCs w:val="30"/>
        </w:rPr>
        <w:t>书（原件）</w:t>
      </w:r>
      <w:r>
        <w:rPr>
          <w:rFonts w:ascii="仿宋" w:hAnsi="仿宋" w:eastAsia="仿宋" w:cs="仿宋"/>
          <w:spacing w:val="-3"/>
          <w:sz w:val="30"/>
          <w:szCs w:val="30"/>
        </w:rPr>
        <w:t>及代理人身份证件（复印件签字确认</w:t>
      </w:r>
      <w:r>
        <w:rPr>
          <w:rFonts w:ascii="仿宋" w:hAnsi="仿宋" w:eastAsia="仿宋" w:cs="仿宋"/>
          <w:spacing w:val="-73"/>
          <w:sz w:val="30"/>
          <w:szCs w:val="30"/>
        </w:rPr>
        <w:t>），</w:t>
      </w:r>
      <w:r>
        <w:rPr>
          <w:rFonts w:ascii="仿宋" w:hAnsi="仿宋" w:eastAsia="仿宋" w:cs="仿宋"/>
          <w:spacing w:val="-3"/>
          <w:sz w:val="30"/>
          <w:szCs w:val="30"/>
        </w:rPr>
        <w:t>委托代理</w:t>
      </w:r>
      <w:r>
        <w:rPr>
          <w:rFonts w:ascii="仿宋" w:hAnsi="仿宋" w:eastAsia="仿宋" w:cs="仿宋"/>
          <w:spacing w:val="-4"/>
          <w:sz w:val="30"/>
          <w:szCs w:val="30"/>
        </w:rPr>
        <w:t>人是律师的还</w:t>
      </w:r>
      <w:r>
        <w:rPr>
          <w:rFonts w:ascii="仿宋" w:hAnsi="仿宋" w:eastAsia="仿宋" w:cs="仿宋"/>
          <w:spacing w:val="-1"/>
          <w:sz w:val="30"/>
          <w:szCs w:val="30"/>
        </w:rPr>
        <w:t>应提交律师事务所的指派函及律师执业证复印件；</w:t>
      </w:r>
    </w:p>
    <w:p w14:paraId="53A067E5">
      <w:pPr>
        <w:spacing w:before="78" w:line="246" w:lineRule="auto"/>
        <w:ind w:left="35" w:right="33" w:firstLine="603"/>
        <w:rPr>
          <w:rFonts w:ascii="仿宋" w:hAnsi="仿宋" w:eastAsia="仿宋" w:cs="仿宋"/>
          <w:sz w:val="30"/>
          <w:szCs w:val="30"/>
        </w:rPr>
      </w:pPr>
      <w:r>
        <w:rPr>
          <w:rFonts w:ascii="仿宋" w:hAnsi="仿宋" w:eastAsia="仿宋" w:cs="仿宋"/>
          <w:spacing w:val="-6"/>
          <w:sz w:val="30"/>
          <w:szCs w:val="30"/>
        </w:rPr>
        <w:t>（四）债权相关证据材料，包括合同、履行凭证、担保书、</w:t>
      </w:r>
      <w:r>
        <w:rPr>
          <w:rFonts w:ascii="仿宋" w:hAnsi="仿宋" w:eastAsia="仿宋" w:cs="仿宋"/>
          <w:spacing w:val="-1"/>
          <w:sz w:val="30"/>
          <w:szCs w:val="30"/>
        </w:rPr>
        <w:t>保证书、裁判文书等债权凭证（提交加盖骑缝章的复印件</w:t>
      </w:r>
      <w:r>
        <w:rPr>
          <w:rFonts w:ascii="仿宋" w:hAnsi="仿宋" w:eastAsia="仿宋" w:cs="仿宋"/>
          <w:spacing w:val="-54"/>
          <w:sz w:val="30"/>
          <w:szCs w:val="30"/>
        </w:rPr>
        <w:t>）；</w:t>
      </w:r>
    </w:p>
    <w:p w14:paraId="1856B52D">
      <w:pPr>
        <w:spacing w:before="83" w:line="220" w:lineRule="auto"/>
        <w:ind w:left="638"/>
        <w:rPr>
          <w:rFonts w:ascii="仿宋" w:hAnsi="仿宋" w:eastAsia="仿宋" w:cs="仿宋"/>
          <w:sz w:val="30"/>
          <w:szCs w:val="30"/>
        </w:rPr>
      </w:pPr>
      <w:r>
        <w:rPr>
          <w:rFonts w:ascii="仿宋" w:hAnsi="仿宋" w:eastAsia="仿宋" w:cs="仿宋"/>
          <w:spacing w:val="-2"/>
          <w:sz w:val="30"/>
          <w:szCs w:val="30"/>
        </w:rPr>
        <w:t>（五）管理人通知补足的其他材料。</w:t>
      </w:r>
    </w:p>
    <w:p w14:paraId="5642D7CE">
      <w:pPr>
        <w:spacing w:before="81" w:line="223" w:lineRule="auto"/>
        <w:ind w:left="630"/>
        <w:outlineLvl w:val="1"/>
        <w:rPr>
          <w:rFonts w:ascii="黑体" w:hAnsi="黑体" w:eastAsia="黑体" w:cs="黑体"/>
          <w:sz w:val="30"/>
          <w:szCs w:val="30"/>
        </w:rPr>
      </w:pPr>
      <w:r>
        <w:rPr>
          <w:rFonts w:ascii="黑体" w:hAnsi="黑体" w:eastAsia="黑体" w:cs="黑体"/>
          <w:spacing w:val="-3"/>
          <w:sz w:val="30"/>
          <w:szCs w:val="30"/>
        </w:rPr>
        <w:t>二、证据的准备</w:t>
      </w:r>
    </w:p>
    <w:p w14:paraId="4BEB54B8">
      <w:pPr>
        <w:spacing w:before="76" w:line="247" w:lineRule="auto"/>
        <w:ind w:left="49" w:right="128" w:firstLine="589"/>
        <w:rPr>
          <w:rFonts w:ascii="仿宋" w:hAnsi="仿宋" w:eastAsia="仿宋" w:cs="仿宋"/>
          <w:sz w:val="30"/>
          <w:szCs w:val="30"/>
        </w:rPr>
      </w:pPr>
      <w:r>
        <w:rPr>
          <w:rFonts w:ascii="仿宋" w:hAnsi="仿宋" w:eastAsia="仿宋" w:cs="仿宋"/>
          <w:spacing w:val="-9"/>
          <w:sz w:val="30"/>
          <w:szCs w:val="30"/>
        </w:rPr>
        <w:t>（一）债权人应附《债权计算说明》，说明债权的构成、利</w:t>
      </w:r>
      <w:r>
        <w:rPr>
          <w:rFonts w:ascii="仿宋" w:hAnsi="仿宋" w:eastAsia="仿宋" w:cs="仿宋"/>
          <w:spacing w:val="-2"/>
          <w:sz w:val="30"/>
          <w:szCs w:val="30"/>
        </w:rPr>
        <w:t>息或违约金的计算方法、起止期间、已偿还本息情况；</w:t>
      </w:r>
    </w:p>
    <w:p w14:paraId="5B2C74D2">
      <w:pPr>
        <w:spacing w:before="79" w:line="221" w:lineRule="auto"/>
        <w:ind w:left="638"/>
        <w:rPr>
          <w:rFonts w:ascii="仿宋" w:hAnsi="仿宋" w:eastAsia="仿宋" w:cs="仿宋"/>
          <w:sz w:val="30"/>
          <w:szCs w:val="30"/>
        </w:rPr>
      </w:pPr>
      <w:r>
        <w:rPr>
          <w:rFonts w:ascii="仿宋" w:hAnsi="仿宋" w:eastAsia="仿宋" w:cs="仿宋"/>
          <w:spacing w:val="-2"/>
          <w:sz w:val="30"/>
          <w:szCs w:val="30"/>
        </w:rPr>
        <w:t>（二）针对主债权须提交债权产生及履行依据；</w:t>
      </w:r>
    </w:p>
    <w:p w14:paraId="687C375F">
      <w:pPr>
        <w:spacing w:before="79" w:line="255" w:lineRule="auto"/>
        <w:ind w:left="33" w:right="129" w:firstLine="605"/>
        <w:rPr>
          <w:rFonts w:ascii="仿宋" w:hAnsi="仿宋" w:eastAsia="仿宋" w:cs="仿宋"/>
          <w:sz w:val="30"/>
          <w:szCs w:val="30"/>
        </w:rPr>
      </w:pPr>
      <w:r>
        <w:rPr>
          <w:rFonts w:ascii="仿宋" w:hAnsi="仿宋" w:eastAsia="仿宋" w:cs="仿宋"/>
          <w:spacing w:val="2"/>
          <w:sz w:val="30"/>
          <w:szCs w:val="30"/>
        </w:rPr>
        <w:t>（三）主债权有担保的，须提交其他所有担保责任（包括担保方式、区分人的担保和物的担保）依据以及已履行担保责</w:t>
      </w:r>
      <w:r>
        <w:rPr>
          <w:rFonts w:ascii="仿宋" w:hAnsi="仿宋" w:eastAsia="仿宋" w:cs="仿宋"/>
          <w:spacing w:val="-5"/>
          <w:sz w:val="30"/>
          <w:szCs w:val="30"/>
        </w:rPr>
        <w:t>任情况；</w:t>
      </w:r>
    </w:p>
    <w:p w14:paraId="74356C61">
      <w:pPr>
        <w:spacing w:before="80" w:line="254" w:lineRule="auto"/>
        <w:ind w:left="36" w:right="33" w:firstLine="602"/>
        <w:rPr>
          <w:rFonts w:ascii="仿宋" w:hAnsi="仿宋" w:eastAsia="仿宋" w:cs="仿宋"/>
          <w:sz w:val="30"/>
          <w:szCs w:val="30"/>
        </w:rPr>
      </w:pPr>
      <w:r>
        <w:rPr>
          <w:rFonts w:ascii="仿宋" w:hAnsi="仿宋" w:eastAsia="仿宋" w:cs="仿宋"/>
          <w:sz w:val="30"/>
          <w:szCs w:val="30"/>
        </w:rPr>
        <w:t>（四）如系担保债权的，则须提交所有主债权依据、担保</w:t>
      </w:r>
      <w:r>
        <w:rPr>
          <w:rFonts w:ascii="仿宋" w:hAnsi="仿宋" w:eastAsia="仿宋" w:cs="仿宋"/>
          <w:spacing w:val="-5"/>
          <w:sz w:val="30"/>
          <w:szCs w:val="30"/>
        </w:rPr>
        <w:t>责任产生及代为履行依据、其他所有担保责任（包括担保方式、</w:t>
      </w:r>
      <w:r>
        <w:rPr>
          <w:rFonts w:ascii="仿宋" w:hAnsi="仿宋" w:eastAsia="仿宋" w:cs="仿宋"/>
          <w:spacing w:val="-1"/>
          <w:sz w:val="30"/>
          <w:szCs w:val="30"/>
        </w:rPr>
        <w:t>区分人的担保和物的担保）依据以及已履行担保责任情况；</w:t>
      </w:r>
    </w:p>
    <w:p w14:paraId="17543A55">
      <w:pPr>
        <w:spacing w:line="254" w:lineRule="auto"/>
        <w:rPr>
          <w:rFonts w:ascii="仿宋" w:hAnsi="仿宋" w:eastAsia="仿宋" w:cs="仿宋"/>
          <w:sz w:val="30"/>
          <w:szCs w:val="30"/>
        </w:rPr>
        <w:sectPr>
          <w:pgSz w:w="11906" w:h="16839"/>
          <w:pgMar w:top="705" w:right="1785" w:bottom="0" w:left="1785" w:header="0" w:footer="0" w:gutter="0"/>
          <w:cols w:space="720" w:num="1"/>
        </w:sectPr>
      </w:pPr>
    </w:p>
    <w:p w14:paraId="27B89C99">
      <w:pPr>
        <w:spacing w:before="286" w:line="245" w:lineRule="auto"/>
        <w:ind w:right="129" w:firstLine="608" w:firstLineChars="200"/>
        <w:rPr>
          <w:rFonts w:ascii="仿宋" w:hAnsi="仿宋" w:eastAsia="仿宋" w:cs="仿宋"/>
          <w:sz w:val="30"/>
          <w:szCs w:val="30"/>
        </w:rPr>
      </w:pPr>
      <w:r>
        <w:rPr>
          <w:rFonts w:ascii="仿宋" w:hAnsi="仿宋" w:eastAsia="仿宋" w:cs="仿宋"/>
          <w:spacing w:val="2"/>
          <w:sz w:val="30"/>
          <w:szCs w:val="30"/>
        </w:rPr>
        <w:t>（五）如</w:t>
      </w:r>
      <w:r>
        <w:rPr>
          <w:rFonts w:hint="eastAsia" w:ascii="仿宋" w:hAnsi="仿宋" w:eastAsia="仿宋" w:cs="仿宋"/>
          <w:spacing w:val="2"/>
          <w:sz w:val="30"/>
          <w:szCs w:val="30"/>
          <w:lang w:eastAsia="zh-CN"/>
        </w:rPr>
        <w:t>为保证</w:t>
      </w:r>
      <w:r>
        <w:rPr>
          <w:rFonts w:ascii="仿宋" w:hAnsi="仿宋" w:eastAsia="仿宋" w:cs="仿宋"/>
          <w:spacing w:val="2"/>
          <w:sz w:val="30"/>
          <w:szCs w:val="30"/>
        </w:rPr>
        <w:t>方式担保的，还需就保证期间内担保权人行</w:t>
      </w:r>
      <w:r>
        <w:rPr>
          <w:rFonts w:ascii="仿宋" w:hAnsi="仿宋" w:eastAsia="仿宋" w:cs="仿宋"/>
          <w:spacing w:val="-1"/>
          <w:sz w:val="30"/>
          <w:szCs w:val="30"/>
        </w:rPr>
        <w:t>使担保权提供依据或作出未超出保证期间行权的说明；</w:t>
      </w:r>
    </w:p>
    <w:p w14:paraId="0CE42230">
      <w:pPr>
        <w:spacing w:before="81" w:line="246" w:lineRule="auto"/>
        <w:ind w:left="49" w:right="129" w:firstLine="589"/>
        <w:rPr>
          <w:rFonts w:ascii="仿宋" w:hAnsi="仿宋" w:eastAsia="仿宋" w:cs="仿宋"/>
          <w:sz w:val="30"/>
          <w:szCs w:val="30"/>
        </w:rPr>
      </w:pPr>
      <w:r>
        <w:rPr>
          <w:rFonts w:ascii="仿宋" w:hAnsi="仿宋" w:eastAsia="仿宋" w:cs="仿宋"/>
          <w:spacing w:val="2"/>
          <w:sz w:val="30"/>
          <w:szCs w:val="30"/>
        </w:rPr>
        <w:t>（六）如已进入司法程序的，则请提交裁决书及执行情况</w:t>
      </w:r>
      <w:r>
        <w:rPr>
          <w:rFonts w:ascii="仿宋" w:hAnsi="仿宋" w:eastAsia="仿宋" w:cs="仿宋"/>
          <w:spacing w:val="-12"/>
          <w:sz w:val="30"/>
          <w:szCs w:val="30"/>
        </w:rPr>
        <w:t>资料；</w:t>
      </w:r>
    </w:p>
    <w:p w14:paraId="7EB8DCF8">
      <w:pPr>
        <w:spacing w:before="82" w:line="254" w:lineRule="auto"/>
        <w:ind w:left="33" w:right="129" w:firstLine="605"/>
        <w:rPr>
          <w:rFonts w:ascii="仿宋" w:hAnsi="仿宋" w:eastAsia="仿宋" w:cs="仿宋"/>
          <w:sz w:val="30"/>
          <w:szCs w:val="30"/>
        </w:rPr>
      </w:pPr>
      <w:r>
        <w:rPr>
          <w:rFonts w:ascii="仿宋" w:hAnsi="仿宋" w:eastAsia="仿宋" w:cs="仿宋"/>
          <w:spacing w:val="2"/>
          <w:sz w:val="30"/>
          <w:szCs w:val="30"/>
        </w:rPr>
        <w:t>（七）如债权系公证文书的，请一并提供执行证书及主债权、从债权所有依据，包括这些债权债务环节上的每一主体资</w:t>
      </w:r>
      <w:r>
        <w:rPr>
          <w:rFonts w:ascii="仿宋" w:hAnsi="仿宋" w:eastAsia="仿宋" w:cs="仿宋"/>
          <w:spacing w:val="-10"/>
          <w:sz w:val="30"/>
          <w:szCs w:val="30"/>
        </w:rPr>
        <w:t>料。</w:t>
      </w:r>
    </w:p>
    <w:p w14:paraId="46CB36D2">
      <w:pPr>
        <w:spacing w:before="81" w:line="220" w:lineRule="auto"/>
        <w:ind w:left="637"/>
        <w:rPr>
          <w:rFonts w:ascii="仿宋" w:hAnsi="仿宋" w:eastAsia="仿宋" w:cs="仿宋"/>
          <w:sz w:val="30"/>
          <w:szCs w:val="30"/>
        </w:rPr>
      </w:pPr>
      <w:r>
        <w:rPr>
          <w:rFonts w:ascii="仿宋" w:hAnsi="仿宋" w:eastAsia="仿宋" w:cs="仿宋"/>
          <w:spacing w:val="-1"/>
          <w:sz w:val="30"/>
          <w:szCs w:val="30"/>
        </w:rPr>
        <w:t>前述所有材料，请提供加盖印鉴及骑缝章的复印</w:t>
      </w:r>
      <w:r>
        <w:rPr>
          <w:rFonts w:ascii="仿宋" w:hAnsi="仿宋" w:eastAsia="仿宋" w:cs="仿宋"/>
          <w:spacing w:val="-2"/>
          <w:sz w:val="30"/>
          <w:szCs w:val="30"/>
        </w:rPr>
        <w:t>件。</w:t>
      </w:r>
    </w:p>
    <w:p w14:paraId="41E0EA7E">
      <w:pPr>
        <w:spacing w:before="82" w:line="221" w:lineRule="auto"/>
        <w:ind w:left="631"/>
        <w:outlineLvl w:val="1"/>
        <w:rPr>
          <w:rFonts w:ascii="黑体" w:hAnsi="黑体" w:eastAsia="黑体" w:cs="黑体"/>
          <w:sz w:val="30"/>
          <w:szCs w:val="30"/>
        </w:rPr>
      </w:pPr>
      <w:r>
        <w:rPr>
          <w:rFonts w:ascii="黑体" w:hAnsi="黑体" w:eastAsia="黑体" w:cs="黑体"/>
          <w:spacing w:val="-2"/>
          <w:sz w:val="30"/>
          <w:szCs w:val="30"/>
        </w:rPr>
        <w:t>三、可申报债权的特别说明</w:t>
      </w:r>
    </w:p>
    <w:p w14:paraId="427127CC">
      <w:pPr>
        <w:spacing w:before="84" w:line="270" w:lineRule="auto"/>
        <w:ind w:left="36" w:right="131" w:firstLine="598"/>
        <w:jc w:val="both"/>
        <w:rPr>
          <w:rFonts w:ascii="仿宋" w:hAnsi="仿宋" w:eastAsia="仿宋" w:cs="仿宋"/>
          <w:sz w:val="30"/>
          <w:szCs w:val="30"/>
        </w:rPr>
      </w:pPr>
      <w:r>
        <w:rPr>
          <w:rFonts w:ascii="仿宋" w:hAnsi="仿宋" w:eastAsia="仿宋" w:cs="仿宋"/>
          <w:spacing w:val="2"/>
          <w:sz w:val="30"/>
          <w:szCs w:val="30"/>
        </w:rPr>
        <w:t>根据《企业破产法》的规定，人民法院受理破产申请时对债务人享有债权的债权人可以向管理人进行申报，债权人进行</w:t>
      </w:r>
      <w:r>
        <w:rPr>
          <w:rFonts w:ascii="仿宋" w:hAnsi="仿宋" w:eastAsia="仿宋" w:cs="仿宋"/>
          <w:spacing w:val="-2"/>
          <w:sz w:val="30"/>
          <w:szCs w:val="30"/>
        </w:rPr>
        <w:t>债权申报时应当注意以下几点：</w:t>
      </w:r>
    </w:p>
    <w:p w14:paraId="4BB8F6C1">
      <w:pPr>
        <w:spacing w:before="3" w:line="219" w:lineRule="auto"/>
        <w:ind w:left="638"/>
        <w:rPr>
          <w:rFonts w:ascii="仿宋" w:hAnsi="仿宋" w:eastAsia="仿宋" w:cs="仿宋"/>
          <w:sz w:val="30"/>
          <w:szCs w:val="30"/>
        </w:rPr>
      </w:pPr>
      <w:r>
        <w:rPr>
          <w:rFonts w:ascii="仿宋" w:hAnsi="仿宋" w:eastAsia="仿宋" w:cs="仿宋"/>
          <w:spacing w:val="-1"/>
          <w:sz w:val="30"/>
          <w:szCs w:val="30"/>
        </w:rPr>
        <w:t>（一）未到期的债权，在破产申请受理时视为</w:t>
      </w:r>
      <w:r>
        <w:rPr>
          <w:rFonts w:ascii="仿宋" w:hAnsi="仿宋" w:eastAsia="仿宋" w:cs="仿宋"/>
          <w:spacing w:val="-2"/>
          <w:sz w:val="30"/>
          <w:szCs w:val="30"/>
        </w:rPr>
        <w:t>到期；</w:t>
      </w:r>
    </w:p>
    <w:p w14:paraId="56117DF1">
      <w:pPr>
        <w:spacing w:before="97" w:line="221" w:lineRule="auto"/>
        <w:ind w:firstLine="596" w:firstLineChars="200"/>
        <w:rPr>
          <w:rFonts w:ascii="仿宋" w:hAnsi="仿宋" w:eastAsia="仿宋" w:cs="仿宋"/>
          <w:sz w:val="30"/>
          <w:szCs w:val="30"/>
        </w:rPr>
      </w:pPr>
      <w:r>
        <w:rPr>
          <w:rFonts w:ascii="仿宋" w:hAnsi="仿宋" w:eastAsia="仿宋" w:cs="仿宋"/>
          <w:spacing w:val="-1"/>
          <w:sz w:val="30"/>
          <w:szCs w:val="30"/>
        </w:rPr>
        <w:t>（二）附利息的债权自破产申请受理时起停止计息</w:t>
      </w:r>
      <w:r>
        <w:rPr>
          <w:rFonts w:ascii="仿宋" w:hAnsi="仿宋" w:eastAsia="仿宋" w:cs="仿宋"/>
          <w:spacing w:val="-73"/>
          <w:w w:val="87"/>
          <w:sz w:val="30"/>
          <w:szCs w:val="30"/>
        </w:rPr>
        <w:t>；</w:t>
      </w:r>
      <w:r>
        <w:rPr>
          <w:rFonts w:ascii="仿宋" w:hAnsi="仿宋" w:eastAsia="仿宋" w:cs="仿宋"/>
          <w:b/>
          <w:bCs/>
          <w:spacing w:val="-73"/>
          <w:w w:val="87"/>
          <w:sz w:val="30"/>
          <w:szCs w:val="30"/>
        </w:rPr>
        <w:t>（</w:t>
      </w:r>
      <w:r>
        <w:rPr>
          <w:rFonts w:hint="eastAsia" w:ascii="仿宋" w:hAnsi="仿宋" w:eastAsia="仿宋" w:cs="仿宋"/>
          <w:b/>
          <w:bCs/>
          <w:spacing w:val="-8"/>
          <w:sz w:val="30"/>
          <w:szCs w:val="30"/>
        </w:rPr>
        <w:t>峨边奔福磷制品有限公司</w:t>
      </w:r>
      <w:r>
        <w:rPr>
          <w:rFonts w:ascii="仿宋" w:hAnsi="仿宋" w:eastAsia="仿宋" w:cs="仿宋"/>
          <w:b/>
          <w:bCs/>
          <w:sz w:val="30"/>
          <w:szCs w:val="30"/>
        </w:rPr>
        <w:t>附利息的债权，利息计算至</w:t>
      </w:r>
      <w:r>
        <w:rPr>
          <w:rFonts w:ascii="仿宋" w:hAnsi="仿宋" w:eastAsia="仿宋" w:cs="仿宋"/>
          <w:spacing w:val="-61"/>
          <w:sz w:val="30"/>
          <w:szCs w:val="30"/>
        </w:rPr>
        <w:t xml:space="preserve"> </w:t>
      </w:r>
      <w:r>
        <w:rPr>
          <w:rFonts w:ascii="Times New Roman" w:hAnsi="Times New Roman" w:eastAsia="Times New Roman" w:cs="Times New Roman"/>
          <w:b/>
          <w:bCs/>
          <w:sz w:val="30"/>
          <w:szCs w:val="30"/>
        </w:rPr>
        <w:t>202</w:t>
      </w:r>
      <w:r>
        <w:rPr>
          <w:rFonts w:hint="eastAsia" w:ascii="Times New Roman" w:hAnsi="Times New Roman" w:eastAsia="宋体" w:cs="Times New Roman"/>
          <w:b/>
          <w:bCs/>
          <w:sz w:val="30"/>
          <w:szCs w:val="30"/>
          <w:lang w:val="en-US" w:eastAsia="zh-CN"/>
        </w:rPr>
        <w:t>6</w:t>
      </w:r>
      <w:r>
        <w:rPr>
          <w:rFonts w:ascii="Times New Roman" w:hAnsi="Times New Roman" w:eastAsia="Times New Roman" w:cs="Times New Roman"/>
          <w:b/>
          <w:bCs/>
          <w:spacing w:val="31"/>
          <w:sz w:val="30"/>
          <w:szCs w:val="30"/>
        </w:rPr>
        <w:t xml:space="preserve"> </w:t>
      </w:r>
      <w:r>
        <w:rPr>
          <w:rFonts w:ascii="仿宋" w:hAnsi="仿宋" w:eastAsia="仿宋" w:cs="仿宋"/>
          <w:b/>
          <w:bCs/>
          <w:sz w:val="30"/>
          <w:szCs w:val="30"/>
        </w:rPr>
        <w:t>年</w:t>
      </w:r>
      <w:r>
        <w:rPr>
          <w:rFonts w:ascii="仿宋" w:hAnsi="仿宋" w:eastAsia="仿宋" w:cs="仿宋"/>
          <w:spacing w:val="-49"/>
          <w:sz w:val="30"/>
          <w:szCs w:val="30"/>
        </w:rPr>
        <w:t xml:space="preserve"> </w:t>
      </w:r>
      <w:r>
        <w:rPr>
          <w:rFonts w:ascii="Times New Roman" w:hAnsi="Times New Roman" w:eastAsia="Times New Roman" w:cs="Times New Roman"/>
          <w:b/>
          <w:bCs/>
          <w:sz w:val="30"/>
          <w:szCs w:val="30"/>
        </w:rPr>
        <w:t>1</w:t>
      </w:r>
      <w:r>
        <w:rPr>
          <w:rFonts w:ascii="仿宋" w:hAnsi="仿宋" w:eastAsia="仿宋" w:cs="仿宋"/>
          <w:b/>
          <w:bCs/>
          <w:spacing w:val="-23"/>
          <w:sz w:val="30"/>
          <w:szCs w:val="30"/>
        </w:rPr>
        <w:t>月</w:t>
      </w:r>
      <w:r>
        <w:rPr>
          <w:rFonts w:ascii="仿宋" w:hAnsi="仿宋" w:eastAsia="仿宋" w:cs="仿宋"/>
          <w:spacing w:val="-53"/>
          <w:sz w:val="30"/>
          <w:szCs w:val="30"/>
        </w:rPr>
        <w:t xml:space="preserve"> </w:t>
      </w:r>
      <w:r>
        <w:rPr>
          <w:rFonts w:hint="eastAsia" w:ascii="Times New Roman" w:hAnsi="Times New Roman" w:eastAsia="宋体" w:cs="Times New Roman"/>
          <w:b/>
          <w:bCs/>
          <w:spacing w:val="-23"/>
          <w:sz w:val="30"/>
          <w:szCs w:val="30"/>
          <w:lang w:val="en-US" w:eastAsia="zh-CN"/>
        </w:rPr>
        <w:t>16</w:t>
      </w:r>
      <w:r>
        <w:rPr>
          <w:rFonts w:ascii="Times New Roman" w:hAnsi="Times New Roman" w:eastAsia="Times New Roman" w:cs="Times New Roman"/>
          <w:b/>
          <w:bCs/>
          <w:spacing w:val="4"/>
          <w:sz w:val="30"/>
          <w:szCs w:val="30"/>
        </w:rPr>
        <w:t xml:space="preserve"> </w:t>
      </w:r>
      <w:r>
        <w:rPr>
          <w:rFonts w:ascii="仿宋" w:hAnsi="仿宋" w:eastAsia="仿宋" w:cs="仿宋"/>
          <w:b/>
          <w:bCs/>
          <w:spacing w:val="-23"/>
          <w:sz w:val="30"/>
          <w:szCs w:val="30"/>
        </w:rPr>
        <w:t>日止）</w:t>
      </w:r>
    </w:p>
    <w:p w14:paraId="09DE5401">
      <w:pPr>
        <w:spacing w:before="76" w:line="246" w:lineRule="auto"/>
        <w:ind w:left="36" w:right="196" w:firstLine="602"/>
        <w:rPr>
          <w:rFonts w:ascii="仿宋" w:hAnsi="仿宋" w:eastAsia="仿宋" w:cs="仿宋"/>
          <w:sz w:val="30"/>
          <w:szCs w:val="30"/>
        </w:rPr>
      </w:pPr>
      <w:r>
        <w:rPr>
          <w:rFonts w:ascii="仿宋" w:hAnsi="仿宋" w:eastAsia="仿宋" w:cs="仿宋"/>
          <w:sz w:val="30"/>
          <w:szCs w:val="30"/>
        </w:rPr>
        <w:t>（三）附条件、附期限的债权和诉讼、仲裁未决的债</w:t>
      </w:r>
      <w:r>
        <w:rPr>
          <w:rFonts w:ascii="仿宋" w:hAnsi="仿宋" w:eastAsia="仿宋" w:cs="仿宋"/>
          <w:spacing w:val="-1"/>
          <w:sz w:val="30"/>
          <w:szCs w:val="30"/>
        </w:rPr>
        <w:t>权，</w:t>
      </w:r>
      <w:r>
        <w:rPr>
          <w:rFonts w:ascii="仿宋" w:hAnsi="仿宋" w:eastAsia="仿宋" w:cs="仿宋"/>
          <w:spacing w:val="-3"/>
          <w:sz w:val="30"/>
          <w:szCs w:val="30"/>
        </w:rPr>
        <w:t>债权人可以申报；</w:t>
      </w:r>
    </w:p>
    <w:p w14:paraId="67EAA44C">
      <w:pPr>
        <w:spacing w:before="84" w:line="254" w:lineRule="auto"/>
        <w:ind w:left="37" w:right="128" w:firstLine="601"/>
        <w:rPr>
          <w:rFonts w:ascii="仿宋" w:hAnsi="仿宋" w:eastAsia="仿宋" w:cs="仿宋"/>
          <w:sz w:val="30"/>
          <w:szCs w:val="30"/>
        </w:rPr>
      </w:pPr>
      <w:r>
        <w:rPr>
          <w:rFonts w:ascii="仿宋" w:hAnsi="仿宋" w:eastAsia="仿宋" w:cs="仿宋"/>
          <w:sz w:val="30"/>
          <w:szCs w:val="30"/>
        </w:rPr>
        <w:t>（四）债权人申报债权时，应当书面说明债权的数额和有无财产担保，并提交有关证据。</w:t>
      </w:r>
      <w:r>
        <w:rPr>
          <w:rFonts w:ascii="仿宋" w:hAnsi="仿宋" w:eastAsia="仿宋" w:cs="仿宋"/>
          <w:spacing w:val="-84"/>
          <w:sz w:val="30"/>
          <w:szCs w:val="30"/>
        </w:rPr>
        <w:t xml:space="preserve"> </w:t>
      </w:r>
      <w:r>
        <w:rPr>
          <w:rFonts w:ascii="仿宋" w:hAnsi="仿宋" w:eastAsia="仿宋" w:cs="仿宋"/>
          <w:sz w:val="30"/>
          <w:szCs w:val="30"/>
        </w:rPr>
        <w:t>申报的债权是连带债权的，应</w:t>
      </w:r>
      <w:r>
        <w:rPr>
          <w:rFonts w:ascii="仿宋" w:hAnsi="仿宋" w:eastAsia="仿宋" w:cs="仿宋"/>
          <w:spacing w:val="-6"/>
          <w:sz w:val="30"/>
          <w:szCs w:val="30"/>
        </w:rPr>
        <w:t>当说明；</w:t>
      </w:r>
    </w:p>
    <w:p w14:paraId="00B53F2E">
      <w:pPr>
        <w:spacing w:before="79" w:line="246" w:lineRule="auto"/>
        <w:ind w:left="33" w:right="128" w:firstLine="605"/>
        <w:rPr>
          <w:rFonts w:ascii="仿宋" w:hAnsi="仿宋" w:eastAsia="仿宋" w:cs="仿宋"/>
          <w:sz w:val="30"/>
          <w:szCs w:val="30"/>
        </w:rPr>
      </w:pPr>
      <w:r>
        <w:rPr>
          <w:rFonts w:ascii="仿宋" w:hAnsi="仿宋" w:eastAsia="仿宋" w:cs="仿宋"/>
          <w:spacing w:val="2"/>
          <w:sz w:val="30"/>
          <w:szCs w:val="30"/>
        </w:rPr>
        <w:t>（五）连带债权人可以由其中一人代表全体连带债权人申</w:t>
      </w:r>
      <w:r>
        <w:rPr>
          <w:rFonts w:ascii="仿宋" w:hAnsi="仿宋" w:eastAsia="仿宋" w:cs="仿宋"/>
          <w:spacing w:val="-2"/>
          <w:sz w:val="30"/>
          <w:szCs w:val="30"/>
        </w:rPr>
        <w:t>报债权，也可以共同申报债权；</w:t>
      </w:r>
    </w:p>
    <w:p w14:paraId="315476AB">
      <w:pPr>
        <w:spacing w:before="81" w:line="246" w:lineRule="auto"/>
        <w:ind w:left="38" w:right="129" w:firstLine="600"/>
        <w:rPr>
          <w:rFonts w:ascii="仿宋" w:hAnsi="仿宋" w:eastAsia="仿宋" w:cs="仿宋"/>
          <w:sz w:val="30"/>
          <w:szCs w:val="30"/>
        </w:rPr>
      </w:pPr>
      <w:r>
        <w:rPr>
          <w:rFonts w:ascii="仿宋" w:hAnsi="仿宋" w:eastAsia="仿宋" w:cs="仿宋"/>
          <w:spacing w:val="2"/>
          <w:sz w:val="30"/>
          <w:szCs w:val="30"/>
        </w:rPr>
        <w:t>（六）债务人的保证人或者其他连带债务人已经代替债务</w:t>
      </w:r>
      <w:r>
        <w:rPr>
          <w:rFonts w:ascii="仿宋" w:hAnsi="仿宋" w:eastAsia="仿宋" w:cs="仿宋"/>
          <w:spacing w:val="-2"/>
          <w:sz w:val="30"/>
          <w:szCs w:val="30"/>
        </w:rPr>
        <w:t>人清偿债务的，以其对债务人的求偿权申报债权；</w:t>
      </w:r>
    </w:p>
    <w:p w14:paraId="463ACD77">
      <w:pPr>
        <w:spacing w:before="82" w:line="254" w:lineRule="auto"/>
        <w:ind w:left="36" w:right="129" w:firstLine="602"/>
        <w:rPr>
          <w:rFonts w:ascii="仿宋" w:hAnsi="仿宋" w:eastAsia="仿宋" w:cs="仿宋"/>
          <w:sz w:val="30"/>
          <w:szCs w:val="30"/>
        </w:rPr>
      </w:pPr>
      <w:r>
        <w:rPr>
          <w:rFonts w:ascii="仿宋" w:hAnsi="仿宋" w:eastAsia="仿宋" w:cs="仿宋"/>
          <w:spacing w:val="2"/>
          <w:sz w:val="30"/>
          <w:szCs w:val="30"/>
        </w:rPr>
        <w:t>（七）债务人的保证人或者其他连带债务人尚未代替债务人清偿债务的，以其对债务人的将来求偿权申报债权。但是，</w:t>
      </w:r>
      <w:r>
        <w:rPr>
          <w:rFonts w:ascii="仿宋" w:hAnsi="仿宋" w:eastAsia="仿宋" w:cs="仿宋"/>
          <w:spacing w:val="-2"/>
          <w:sz w:val="30"/>
          <w:szCs w:val="30"/>
        </w:rPr>
        <w:t>债权人已经向管理人申报全部债权的除外；</w:t>
      </w:r>
    </w:p>
    <w:p w14:paraId="467CBE43">
      <w:pPr>
        <w:spacing w:before="81" w:line="245" w:lineRule="auto"/>
        <w:ind w:left="69" w:right="131" w:firstLine="569"/>
        <w:rPr>
          <w:rFonts w:ascii="仿宋" w:hAnsi="仿宋" w:eastAsia="仿宋" w:cs="仿宋"/>
          <w:sz w:val="30"/>
          <w:szCs w:val="30"/>
        </w:rPr>
      </w:pPr>
      <w:r>
        <w:rPr>
          <w:rFonts w:ascii="仿宋" w:hAnsi="仿宋" w:eastAsia="仿宋" w:cs="仿宋"/>
          <w:spacing w:val="2"/>
          <w:sz w:val="30"/>
          <w:szCs w:val="30"/>
        </w:rPr>
        <w:t>（八）管理人或者债务人依照《企业破产法》规定解除合</w:t>
      </w:r>
      <w:r>
        <w:rPr>
          <w:rFonts w:ascii="仿宋" w:hAnsi="仿宋" w:eastAsia="仿宋" w:cs="仿宋"/>
          <w:spacing w:val="1"/>
          <w:sz w:val="30"/>
          <w:szCs w:val="30"/>
        </w:rPr>
        <w:t>同的，对方当事人以因合同解除所产生的损害赔偿请求权申报</w:t>
      </w:r>
    </w:p>
    <w:p w14:paraId="36730251">
      <w:pPr>
        <w:spacing w:line="245" w:lineRule="auto"/>
        <w:rPr>
          <w:rFonts w:ascii="仿宋" w:hAnsi="仿宋" w:eastAsia="仿宋" w:cs="仿宋"/>
          <w:sz w:val="30"/>
          <w:szCs w:val="30"/>
        </w:rPr>
        <w:sectPr>
          <w:pgSz w:w="11906" w:h="16839"/>
          <w:pgMar w:top="705" w:right="1785" w:bottom="0" w:left="1785" w:header="0" w:footer="0" w:gutter="0"/>
          <w:cols w:space="720" w:num="1"/>
        </w:sectPr>
      </w:pPr>
    </w:p>
    <w:p w14:paraId="6A529003">
      <w:pPr>
        <w:spacing w:before="285" w:line="221" w:lineRule="auto"/>
        <w:rPr>
          <w:rFonts w:ascii="仿宋" w:hAnsi="仿宋" w:eastAsia="仿宋" w:cs="仿宋"/>
          <w:sz w:val="30"/>
          <w:szCs w:val="30"/>
        </w:rPr>
      </w:pPr>
      <w:r>
        <w:rPr>
          <w:rFonts w:ascii="仿宋" w:hAnsi="仿宋" w:eastAsia="仿宋" w:cs="仿宋"/>
          <w:spacing w:val="-8"/>
          <w:sz w:val="30"/>
          <w:szCs w:val="30"/>
        </w:rPr>
        <w:t>债权；</w:t>
      </w:r>
    </w:p>
    <w:p w14:paraId="24702FDE">
      <w:pPr>
        <w:spacing w:before="80" w:line="254" w:lineRule="auto"/>
        <w:ind w:left="36" w:right="50" w:firstLine="602"/>
        <w:rPr>
          <w:rFonts w:ascii="仿宋" w:hAnsi="仿宋" w:eastAsia="仿宋" w:cs="仿宋"/>
          <w:sz w:val="30"/>
          <w:szCs w:val="30"/>
        </w:rPr>
      </w:pPr>
      <w:r>
        <w:rPr>
          <w:rFonts w:ascii="仿宋" w:hAnsi="仿宋" w:eastAsia="仿宋" w:cs="仿宋"/>
          <w:spacing w:val="2"/>
          <w:sz w:val="30"/>
          <w:szCs w:val="30"/>
        </w:rPr>
        <w:t>（九）债务人是委托合同的委托人，被裁定适用《企业破</w:t>
      </w:r>
      <w:r>
        <w:rPr>
          <w:rFonts w:ascii="仿宋" w:hAnsi="仿宋" w:eastAsia="仿宋" w:cs="仿宋"/>
          <w:spacing w:val="-6"/>
          <w:sz w:val="30"/>
          <w:szCs w:val="30"/>
        </w:rPr>
        <w:t>产法》规定的程序，受托人不知该事实，继续处理委托事务的，</w:t>
      </w:r>
      <w:r>
        <w:rPr>
          <w:rFonts w:ascii="仿宋" w:hAnsi="仿宋" w:eastAsia="仿宋" w:cs="仿宋"/>
          <w:spacing w:val="-2"/>
          <w:sz w:val="30"/>
          <w:szCs w:val="30"/>
        </w:rPr>
        <w:t>受托人以由此产生的请求权申报债权；</w:t>
      </w:r>
    </w:p>
    <w:p w14:paraId="5AD76592">
      <w:pPr>
        <w:spacing w:before="82" w:line="254" w:lineRule="auto"/>
        <w:ind w:left="33" w:firstLine="605"/>
        <w:rPr>
          <w:rFonts w:ascii="仿宋" w:hAnsi="仿宋" w:eastAsia="仿宋" w:cs="仿宋"/>
          <w:sz w:val="30"/>
          <w:szCs w:val="30"/>
        </w:rPr>
      </w:pPr>
      <w:r>
        <w:rPr>
          <w:rFonts w:ascii="仿宋" w:hAnsi="仿宋" w:eastAsia="仿宋" w:cs="仿宋"/>
          <w:spacing w:val="-4"/>
          <w:sz w:val="30"/>
          <w:szCs w:val="30"/>
        </w:rPr>
        <w:t>（十）债务人是票据的出票人，被裁定适用《企业破产法》</w:t>
      </w:r>
      <w:r>
        <w:rPr>
          <w:rFonts w:ascii="仿宋" w:hAnsi="仿宋" w:eastAsia="仿宋" w:cs="仿宋"/>
          <w:spacing w:val="-1"/>
          <w:sz w:val="30"/>
          <w:szCs w:val="30"/>
        </w:rPr>
        <w:t>规定的程序，该票据的付款人继续付款或者承兑的，付款人以</w:t>
      </w:r>
      <w:r>
        <w:rPr>
          <w:rFonts w:ascii="仿宋" w:hAnsi="仿宋" w:eastAsia="仿宋" w:cs="仿宋"/>
          <w:spacing w:val="-2"/>
          <w:sz w:val="30"/>
          <w:szCs w:val="30"/>
        </w:rPr>
        <w:t>由此产生的请求权申报债权；</w:t>
      </w:r>
    </w:p>
    <w:p w14:paraId="4EDB4AAA">
      <w:pPr>
        <w:spacing w:before="81" w:line="222" w:lineRule="auto"/>
        <w:ind w:left="638"/>
        <w:rPr>
          <w:rFonts w:ascii="仿宋" w:hAnsi="仿宋" w:eastAsia="仿宋" w:cs="仿宋"/>
          <w:sz w:val="30"/>
          <w:szCs w:val="30"/>
        </w:rPr>
      </w:pPr>
      <w:r>
        <w:rPr>
          <w:rFonts w:ascii="仿宋" w:hAnsi="仿宋" w:eastAsia="仿宋" w:cs="仿宋"/>
          <w:spacing w:val="-2"/>
          <w:sz w:val="30"/>
          <w:szCs w:val="30"/>
        </w:rPr>
        <w:t>（十一）法律规定的其他情形。</w:t>
      </w:r>
    </w:p>
    <w:p w14:paraId="033CD14C">
      <w:pPr>
        <w:spacing w:before="79" w:line="221" w:lineRule="auto"/>
        <w:ind w:left="643"/>
        <w:rPr>
          <w:rFonts w:ascii="黑体" w:hAnsi="黑体" w:eastAsia="黑体" w:cs="黑体"/>
          <w:sz w:val="30"/>
          <w:szCs w:val="30"/>
        </w:rPr>
      </w:pPr>
      <w:r>
        <w:rPr>
          <w:rFonts w:ascii="黑体" w:hAnsi="黑体" w:eastAsia="黑体" w:cs="黑体"/>
          <w:spacing w:val="-5"/>
          <w:sz w:val="30"/>
          <w:szCs w:val="30"/>
        </w:rPr>
        <w:t>四、其他须知</w:t>
      </w:r>
    </w:p>
    <w:p w14:paraId="6801892B">
      <w:pPr>
        <w:pStyle w:val="2"/>
        <w:spacing w:before="82" w:line="223" w:lineRule="auto"/>
        <w:ind w:left="650"/>
        <w:outlineLvl w:val="2"/>
        <w:rPr>
          <w:sz w:val="30"/>
          <w:szCs w:val="30"/>
        </w:rPr>
      </w:pPr>
      <w:r>
        <w:rPr>
          <w:b/>
          <w:bCs/>
          <w:spacing w:val="-5"/>
          <w:sz w:val="30"/>
          <w:szCs w:val="30"/>
        </w:rPr>
        <w:t>（一）管理人与债务人的关系</w:t>
      </w:r>
    </w:p>
    <w:p w14:paraId="6D9E2AE6">
      <w:pPr>
        <w:spacing w:before="76" w:line="271" w:lineRule="auto"/>
        <w:ind w:left="33" w:right="132" w:firstLine="617"/>
        <w:jc w:val="both"/>
        <w:rPr>
          <w:rFonts w:ascii="仿宋" w:hAnsi="仿宋" w:eastAsia="仿宋" w:cs="仿宋"/>
          <w:sz w:val="30"/>
          <w:szCs w:val="30"/>
        </w:rPr>
      </w:pPr>
      <w:r>
        <w:rPr>
          <w:rFonts w:ascii="仿宋" w:hAnsi="仿宋" w:eastAsia="仿宋" w:cs="仿宋"/>
          <w:spacing w:val="2"/>
          <w:sz w:val="30"/>
          <w:szCs w:val="30"/>
        </w:rPr>
        <w:t>管理人包括团队成员与进入破产程序的债务人及其股东之间没有聘任关系，管理人接受法院指定并履行包括接管债务人</w:t>
      </w:r>
      <w:r>
        <w:rPr>
          <w:rFonts w:ascii="仿宋" w:hAnsi="仿宋" w:eastAsia="仿宋" w:cs="仿宋"/>
          <w:spacing w:val="-2"/>
          <w:sz w:val="30"/>
          <w:szCs w:val="30"/>
        </w:rPr>
        <w:t>职责在内的所有法定职责，类似于</w:t>
      </w:r>
      <w:r>
        <w:rPr>
          <w:rFonts w:ascii="Times New Roman" w:hAnsi="Times New Roman" w:eastAsia="Times New Roman" w:cs="Times New Roman"/>
          <w:spacing w:val="-2"/>
          <w:sz w:val="30"/>
          <w:szCs w:val="30"/>
        </w:rPr>
        <w:t>“</w:t>
      </w:r>
      <w:r>
        <w:rPr>
          <w:rFonts w:ascii="仿宋" w:hAnsi="仿宋" w:eastAsia="仿宋" w:cs="仿宋"/>
          <w:spacing w:val="-2"/>
          <w:sz w:val="30"/>
          <w:szCs w:val="30"/>
        </w:rPr>
        <w:t>清算组</w:t>
      </w:r>
      <w:r>
        <w:rPr>
          <w:rFonts w:ascii="Times New Roman" w:hAnsi="Times New Roman" w:eastAsia="Times New Roman" w:cs="Times New Roman"/>
          <w:spacing w:val="-3"/>
          <w:sz w:val="30"/>
          <w:szCs w:val="30"/>
        </w:rPr>
        <w:t>”</w:t>
      </w:r>
      <w:r>
        <w:rPr>
          <w:rFonts w:ascii="仿宋" w:hAnsi="仿宋" w:eastAsia="仿宋" w:cs="仿宋"/>
          <w:spacing w:val="-3"/>
          <w:sz w:val="30"/>
          <w:szCs w:val="30"/>
        </w:rPr>
        <w:t>。</w:t>
      </w:r>
    </w:p>
    <w:p w14:paraId="4DF0A81D">
      <w:pPr>
        <w:spacing w:line="221" w:lineRule="auto"/>
        <w:ind w:left="650"/>
        <w:rPr>
          <w:rFonts w:ascii="仿宋" w:hAnsi="仿宋" w:eastAsia="仿宋" w:cs="仿宋"/>
          <w:sz w:val="30"/>
          <w:szCs w:val="30"/>
        </w:rPr>
      </w:pPr>
      <w:r>
        <w:rPr>
          <w:rFonts w:ascii="仿宋" w:hAnsi="仿宋" w:eastAsia="仿宋" w:cs="仿宋"/>
          <w:spacing w:val="-2"/>
          <w:sz w:val="30"/>
          <w:szCs w:val="30"/>
        </w:rPr>
        <w:t>管理人接受法院、债权人会议、债权人委员会的监督。</w:t>
      </w:r>
    </w:p>
    <w:p w14:paraId="590D07E0">
      <w:pPr>
        <w:pStyle w:val="2"/>
        <w:spacing w:before="80" w:line="223" w:lineRule="auto"/>
        <w:ind w:left="650"/>
        <w:outlineLvl w:val="2"/>
        <w:rPr>
          <w:sz w:val="30"/>
          <w:szCs w:val="30"/>
        </w:rPr>
      </w:pPr>
      <w:r>
        <w:rPr>
          <w:b/>
          <w:bCs/>
          <w:spacing w:val="-6"/>
          <w:sz w:val="30"/>
          <w:szCs w:val="30"/>
        </w:rPr>
        <w:t>（二）管理人特别提示</w:t>
      </w:r>
    </w:p>
    <w:p w14:paraId="502E6C46">
      <w:pPr>
        <w:spacing w:before="78" w:line="246" w:lineRule="auto"/>
        <w:ind w:left="35" w:right="132" w:firstLine="614"/>
        <w:rPr>
          <w:rFonts w:ascii="仿宋" w:hAnsi="仿宋" w:eastAsia="仿宋" w:cs="仿宋"/>
          <w:sz w:val="30"/>
          <w:szCs w:val="30"/>
        </w:rPr>
      </w:pPr>
      <w:r>
        <w:rPr>
          <w:rFonts w:ascii="Times New Roman" w:hAnsi="Times New Roman" w:eastAsia="Times New Roman" w:cs="Times New Roman"/>
          <w:spacing w:val="5"/>
          <w:sz w:val="30"/>
          <w:szCs w:val="30"/>
        </w:rPr>
        <w:t>1.</w:t>
      </w:r>
      <w:r>
        <w:rPr>
          <w:rFonts w:ascii="仿宋" w:hAnsi="仿宋" w:eastAsia="仿宋" w:cs="仿宋"/>
          <w:spacing w:val="5"/>
          <w:sz w:val="30"/>
          <w:szCs w:val="30"/>
        </w:rPr>
        <w:t>本告知书仅针对债权人申报债权时的注意事项的特别提</w:t>
      </w:r>
      <w:r>
        <w:rPr>
          <w:rFonts w:ascii="仿宋" w:hAnsi="仿宋" w:eastAsia="仿宋" w:cs="仿宋"/>
          <w:spacing w:val="-2"/>
          <w:sz w:val="30"/>
          <w:szCs w:val="30"/>
        </w:rPr>
        <w:t>示，不视为管理人出具给债权人的法律意见；</w:t>
      </w:r>
    </w:p>
    <w:p w14:paraId="2520FADD">
      <w:pPr>
        <w:spacing w:before="81" w:line="219" w:lineRule="auto"/>
        <w:ind w:left="620"/>
        <w:rPr>
          <w:rFonts w:ascii="仿宋" w:hAnsi="仿宋" w:eastAsia="仿宋" w:cs="仿宋"/>
          <w:sz w:val="30"/>
          <w:szCs w:val="30"/>
        </w:rPr>
      </w:pPr>
      <w:r>
        <w:rPr>
          <w:rFonts w:ascii="Times New Roman" w:hAnsi="Times New Roman" w:eastAsia="Times New Roman" w:cs="Times New Roman"/>
          <w:spacing w:val="-1"/>
          <w:sz w:val="30"/>
          <w:szCs w:val="30"/>
        </w:rPr>
        <w:t>2.</w:t>
      </w:r>
      <w:r>
        <w:rPr>
          <w:rFonts w:ascii="仿宋" w:hAnsi="仿宋" w:eastAsia="仿宋" w:cs="仿宋"/>
          <w:spacing w:val="-1"/>
          <w:sz w:val="30"/>
          <w:szCs w:val="30"/>
        </w:rPr>
        <w:t>建议债权人在法律专业人士协助下完成申报；</w:t>
      </w:r>
    </w:p>
    <w:p w14:paraId="367A76A4">
      <w:pPr>
        <w:spacing w:before="85" w:line="246" w:lineRule="auto"/>
        <w:ind w:left="38" w:right="132" w:firstLine="587"/>
        <w:rPr>
          <w:rFonts w:ascii="仿宋" w:hAnsi="仿宋" w:eastAsia="仿宋" w:cs="仿宋"/>
          <w:sz w:val="30"/>
          <w:szCs w:val="30"/>
        </w:rPr>
      </w:pPr>
      <w:r>
        <w:rPr>
          <w:rFonts w:ascii="Times New Roman" w:hAnsi="Times New Roman" w:eastAsia="Times New Roman" w:cs="Times New Roman"/>
          <w:spacing w:val="-6"/>
          <w:sz w:val="30"/>
          <w:szCs w:val="30"/>
        </w:rPr>
        <w:t>3.</w:t>
      </w:r>
      <w:r>
        <w:rPr>
          <w:rFonts w:ascii="仿宋" w:hAnsi="仿宋" w:eastAsia="仿宋" w:cs="仿宋"/>
          <w:spacing w:val="-6"/>
          <w:sz w:val="30"/>
          <w:szCs w:val="30"/>
        </w:rPr>
        <w:t>债权人虚假申报债权或提供虚假申报材料，损害其他债权</w:t>
      </w:r>
      <w:r>
        <w:rPr>
          <w:rFonts w:ascii="仿宋" w:hAnsi="仿宋" w:eastAsia="仿宋" w:cs="仿宋"/>
          <w:spacing w:val="-2"/>
          <w:sz w:val="30"/>
          <w:szCs w:val="30"/>
        </w:rPr>
        <w:t>人利益的，应承担相应法律责任；</w:t>
      </w:r>
    </w:p>
    <w:p w14:paraId="37F63813">
      <w:pPr>
        <w:spacing w:before="79" w:line="247" w:lineRule="auto"/>
        <w:ind w:left="64" w:right="64" w:firstLine="554"/>
        <w:rPr>
          <w:rFonts w:ascii="仿宋" w:hAnsi="仿宋" w:eastAsia="仿宋" w:cs="仿宋"/>
          <w:sz w:val="30"/>
          <w:szCs w:val="30"/>
        </w:rPr>
      </w:pPr>
      <w:r>
        <w:rPr>
          <w:rFonts w:ascii="Times New Roman" w:hAnsi="Times New Roman" w:eastAsia="Times New Roman" w:cs="Times New Roman"/>
          <w:spacing w:val="-3"/>
          <w:sz w:val="30"/>
          <w:szCs w:val="30"/>
        </w:rPr>
        <w:t>4.</w:t>
      </w:r>
      <w:r>
        <w:rPr>
          <w:rFonts w:ascii="仿宋" w:hAnsi="仿宋" w:eastAsia="仿宋" w:cs="仿宋"/>
          <w:spacing w:val="-3"/>
          <w:sz w:val="30"/>
          <w:szCs w:val="30"/>
        </w:rPr>
        <w:t>本告知书内容与现行法律、法规、司法解释等不一致的，</w:t>
      </w:r>
      <w:r>
        <w:rPr>
          <w:rFonts w:ascii="仿宋" w:hAnsi="仿宋" w:eastAsia="仿宋" w:cs="仿宋"/>
          <w:spacing w:val="-4"/>
          <w:sz w:val="30"/>
          <w:szCs w:val="30"/>
        </w:rPr>
        <w:t>以法律、法规、司法解释为准；</w:t>
      </w:r>
    </w:p>
    <w:p w14:paraId="4E8AC5FD">
      <w:pPr>
        <w:spacing w:before="79" w:line="254" w:lineRule="auto"/>
        <w:ind w:left="36" w:right="132" w:firstLine="592"/>
        <w:rPr>
          <w:rFonts w:ascii="仿宋" w:hAnsi="仿宋" w:eastAsia="仿宋" w:cs="仿宋"/>
          <w:sz w:val="30"/>
          <w:szCs w:val="30"/>
        </w:rPr>
      </w:pPr>
      <w:r>
        <w:rPr>
          <w:rFonts w:ascii="Times New Roman" w:hAnsi="Times New Roman" w:eastAsia="Times New Roman" w:cs="Times New Roman"/>
          <w:spacing w:val="-6"/>
          <w:sz w:val="30"/>
          <w:szCs w:val="30"/>
        </w:rPr>
        <w:t>5.</w:t>
      </w:r>
      <w:r>
        <w:rPr>
          <w:rFonts w:ascii="仿宋" w:hAnsi="仿宋" w:eastAsia="仿宋" w:cs="仿宋"/>
          <w:spacing w:val="-6"/>
          <w:sz w:val="30"/>
          <w:szCs w:val="30"/>
        </w:rPr>
        <w:t>根据规定，破产程序期间，债务人不对任何债权人进行个</w:t>
      </w:r>
      <w:r>
        <w:rPr>
          <w:rFonts w:ascii="仿宋" w:hAnsi="仿宋" w:eastAsia="仿宋" w:cs="仿宋"/>
          <w:spacing w:val="2"/>
          <w:sz w:val="30"/>
          <w:szCs w:val="30"/>
        </w:rPr>
        <w:t>别清偿，所有针对</w:t>
      </w:r>
      <w:r>
        <w:rPr>
          <w:rFonts w:hint="eastAsia" w:ascii="仿宋" w:hAnsi="仿宋" w:eastAsia="仿宋" w:cs="仿宋"/>
          <w:spacing w:val="2"/>
          <w:sz w:val="30"/>
          <w:szCs w:val="30"/>
        </w:rPr>
        <w:t>峨边奔福磷制品有限公司</w:t>
      </w:r>
      <w:r>
        <w:rPr>
          <w:rFonts w:ascii="仿宋" w:hAnsi="仿宋" w:eastAsia="仿宋" w:cs="仿宋"/>
          <w:spacing w:val="2"/>
          <w:sz w:val="30"/>
          <w:szCs w:val="30"/>
        </w:rPr>
        <w:t>的诉讼案件及执</w:t>
      </w:r>
      <w:r>
        <w:rPr>
          <w:rFonts w:ascii="仿宋" w:hAnsi="仿宋" w:eastAsia="仿宋" w:cs="仿宋"/>
          <w:spacing w:val="-3"/>
          <w:sz w:val="30"/>
          <w:szCs w:val="30"/>
        </w:rPr>
        <w:t>行程序应当中止。</w:t>
      </w:r>
    </w:p>
    <w:p w14:paraId="52837C1C">
      <w:pPr>
        <w:spacing w:before="81" w:line="223" w:lineRule="auto"/>
        <w:ind w:left="633"/>
        <w:rPr>
          <w:rFonts w:ascii="仿宋" w:hAnsi="仿宋" w:eastAsia="仿宋" w:cs="仿宋"/>
          <w:sz w:val="30"/>
          <w:szCs w:val="30"/>
        </w:rPr>
      </w:pPr>
      <w:r>
        <w:rPr>
          <w:rFonts w:ascii="仿宋" w:hAnsi="仿宋" w:eastAsia="仿宋" w:cs="仿宋"/>
          <w:spacing w:val="-4"/>
          <w:sz w:val="30"/>
          <w:szCs w:val="30"/>
        </w:rPr>
        <w:t>特此告知。</w:t>
      </w:r>
    </w:p>
    <w:p w14:paraId="78FC9AE3">
      <w:pPr>
        <w:spacing w:line="285" w:lineRule="auto"/>
        <w:rPr>
          <w:rFonts w:ascii="Arial"/>
          <w:sz w:val="21"/>
        </w:rPr>
      </w:pPr>
    </w:p>
    <w:p w14:paraId="2261FCE7">
      <w:pPr>
        <w:spacing w:line="285" w:lineRule="auto"/>
        <w:rPr>
          <w:rFonts w:ascii="Arial"/>
          <w:sz w:val="21"/>
        </w:rPr>
      </w:pPr>
    </w:p>
    <w:p w14:paraId="2F05415F">
      <w:pPr>
        <w:spacing w:line="285" w:lineRule="auto"/>
        <w:rPr>
          <w:rFonts w:ascii="Arial"/>
          <w:sz w:val="21"/>
        </w:rPr>
      </w:pPr>
    </w:p>
    <w:p w14:paraId="6BDF2128">
      <w:pPr>
        <w:spacing w:before="98" w:line="222" w:lineRule="auto"/>
        <w:ind w:firstLine="4144" w:firstLineChars="1400"/>
        <w:rPr>
          <w:rFonts w:ascii="仿宋" w:hAnsi="仿宋" w:eastAsia="仿宋" w:cs="仿宋"/>
          <w:sz w:val="30"/>
          <w:szCs w:val="30"/>
        </w:rPr>
      </w:pPr>
      <w:r>
        <w:rPr>
          <w:rFonts w:hint="eastAsia" w:ascii="仿宋" w:hAnsi="仿宋" w:eastAsia="仿宋" w:cs="仿宋"/>
          <w:spacing w:val="-2"/>
          <w:sz w:val="30"/>
          <w:szCs w:val="30"/>
        </w:rPr>
        <w:t>峨边奔福磷制品有限公司</w:t>
      </w:r>
      <w:r>
        <w:rPr>
          <w:rFonts w:ascii="仿宋" w:hAnsi="仿宋" w:eastAsia="仿宋" w:cs="仿宋"/>
          <w:spacing w:val="-2"/>
          <w:sz w:val="30"/>
          <w:szCs w:val="30"/>
        </w:rPr>
        <w:t>管理人</w:t>
      </w:r>
    </w:p>
    <w:p w14:paraId="31EB1EA6">
      <w:pPr>
        <w:spacing w:before="78" w:line="222" w:lineRule="auto"/>
        <w:ind w:right="51"/>
        <w:jc w:val="right"/>
        <w:rPr>
          <w:rFonts w:ascii="仿宋" w:hAnsi="仿宋" w:eastAsia="仿宋" w:cs="仿宋"/>
          <w:sz w:val="30"/>
          <w:szCs w:val="30"/>
        </w:rPr>
      </w:pPr>
      <w:r>
        <w:rPr>
          <w:rFonts w:ascii="Times New Roman" w:hAnsi="Times New Roman" w:eastAsia="Times New Roman" w:cs="Times New Roman"/>
          <w:spacing w:val="-11"/>
          <w:sz w:val="30"/>
          <w:szCs w:val="30"/>
        </w:rPr>
        <w:t>202</w:t>
      </w:r>
      <w:r>
        <w:rPr>
          <w:rFonts w:hint="eastAsia" w:ascii="Times New Roman" w:hAnsi="Times New Roman" w:eastAsia="宋体" w:cs="Times New Roman"/>
          <w:spacing w:val="-11"/>
          <w:sz w:val="30"/>
          <w:szCs w:val="30"/>
          <w:lang w:val="en-US" w:eastAsia="zh-CN"/>
        </w:rPr>
        <w:t>6</w:t>
      </w:r>
      <w:r>
        <w:rPr>
          <w:rFonts w:ascii="Times New Roman" w:hAnsi="Times New Roman" w:eastAsia="Times New Roman" w:cs="Times New Roman"/>
          <w:spacing w:val="27"/>
          <w:sz w:val="30"/>
          <w:szCs w:val="30"/>
        </w:rPr>
        <w:t xml:space="preserve"> </w:t>
      </w:r>
      <w:r>
        <w:rPr>
          <w:rFonts w:ascii="仿宋" w:hAnsi="仿宋" w:eastAsia="仿宋" w:cs="仿宋"/>
          <w:spacing w:val="-11"/>
          <w:sz w:val="30"/>
          <w:szCs w:val="30"/>
        </w:rPr>
        <w:t>年</w:t>
      </w:r>
      <w:r>
        <w:rPr>
          <w:rFonts w:ascii="仿宋" w:hAnsi="仿宋" w:eastAsia="仿宋" w:cs="仿宋"/>
          <w:spacing w:val="-38"/>
          <w:sz w:val="30"/>
          <w:szCs w:val="30"/>
        </w:rPr>
        <w:t xml:space="preserve"> </w:t>
      </w:r>
      <w:r>
        <w:rPr>
          <w:rFonts w:ascii="Times New Roman" w:hAnsi="Times New Roman" w:eastAsia="Times New Roman" w:cs="Times New Roman"/>
          <w:spacing w:val="-11"/>
          <w:sz w:val="30"/>
          <w:szCs w:val="30"/>
        </w:rPr>
        <w:t>1</w:t>
      </w:r>
      <w:r>
        <w:rPr>
          <w:rFonts w:ascii="Times New Roman" w:hAnsi="Times New Roman" w:eastAsia="Times New Roman" w:cs="Times New Roman"/>
          <w:spacing w:val="32"/>
          <w:sz w:val="30"/>
          <w:szCs w:val="30"/>
        </w:rPr>
        <w:t xml:space="preserve"> </w:t>
      </w:r>
      <w:r>
        <w:rPr>
          <w:rFonts w:ascii="仿宋" w:hAnsi="仿宋" w:eastAsia="仿宋" w:cs="仿宋"/>
          <w:spacing w:val="-11"/>
          <w:sz w:val="30"/>
          <w:szCs w:val="30"/>
        </w:rPr>
        <w:t>月</w:t>
      </w:r>
      <w:r>
        <w:rPr>
          <w:rFonts w:ascii="仿宋" w:hAnsi="仿宋" w:eastAsia="仿宋" w:cs="仿宋"/>
          <w:spacing w:val="-40"/>
          <w:sz w:val="30"/>
          <w:szCs w:val="30"/>
        </w:rPr>
        <w:t xml:space="preserve"> </w:t>
      </w:r>
      <w:r>
        <w:rPr>
          <w:rFonts w:ascii="Times New Roman" w:hAnsi="Times New Roman" w:eastAsia="Times New Roman" w:cs="Times New Roman"/>
          <w:spacing w:val="-11"/>
          <w:sz w:val="30"/>
          <w:szCs w:val="30"/>
        </w:rPr>
        <w:t>1</w:t>
      </w:r>
      <w:r>
        <w:rPr>
          <w:rFonts w:hint="eastAsia" w:ascii="Times New Roman" w:hAnsi="Times New Roman" w:eastAsia="宋体" w:cs="Times New Roman"/>
          <w:spacing w:val="-11"/>
          <w:sz w:val="30"/>
          <w:szCs w:val="30"/>
          <w:lang w:val="en-US" w:eastAsia="zh-CN"/>
        </w:rPr>
        <w:t>6</w:t>
      </w:r>
      <w:r>
        <w:rPr>
          <w:rFonts w:ascii="Times New Roman" w:hAnsi="Times New Roman" w:eastAsia="Times New Roman" w:cs="Times New Roman"/>
          <w:spacing w:val="-11"/>
          <w:sz w:val="30"/>
          <w:szCs w:val="30"/>
        </w:rPr>
        <w:t xml:space="preserve"> </w:t>
      </w:r>
      <w:r>
        <w:rPr>
          <w:rFonts w:ascii="仿宋" w:hAnsi="仿宋" w:eastAsia="仿宋" w:cs="仿宋"/>
          <w:spacing w:val="-11"/>
          <w:sz w:val="30"/>
          <w:szCs w:val="30"/>
        </w:rPr>
        <w:t>日</w:t>
      </w:r>
    </w:p>
    <w:sectPr>
      <w:pgSz w:w="11906" w:h="16839"/>
      <w:pgMar w:top="705" w:right="1782" w:bottom="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楷体">
    <w:altName w:val="汉仪楷体KW"/>
    <w:panose1 w:val="02010609060101010101"/>
    <w:charset w:val="86"/>
    <w:family w:val="auto"/>
    <w:pitch w:val="default"/>
    <w:sig w:usb0="00000000" w:usb1="00000000" w:usb2="00000016" w:usb3="00000000" w:csb0="00040001" w:csb1="00000000"/>
  </w:font>
  <w:font w:name="LiSu">
    <w:altName w:val="报隶-简"/>
    <w:panose1 w:val="0201050906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报隶-简">
    <w:panose1 w:val="02010600040101010101"/>
    <w:charset w:val="86"/>
    <w:family w:val="auto"/>
    <w:pitch w:val="default"/>
    <w:sig w:usb0="80000287" w:usb1="280F3C52" w:usb2="00000016" w:usb3="00000000" w:csb0="0004001F"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楷体KW">
    <w:panose1 w:val="00020600040101010101"/>
    <w:charset w:val="86"/>
    <w:family w:val="auto"/>
    <w:pitch w:val="default"/>
    <w:sig w:usb0="A00002BF" w:usb1="18EF7CFA" w:usb2="00000016" w:usb3="00000000" w:csb0="00040000" w:csb1="00000000"/>
  </w:font>
  <w:font w:name="汉仪书宋二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3C407C9"/>
    <w:rsid w:val="2B046829"/>
    <w:rsid w:val="2BAF4846"/>
    <w:rsid w:val="31E63BA8"/>
    <w:rsid w:val="554C3B9F"/>
    <w:rsid w:val="6E7F1029"/>
    <w:rsid w:val="7BEBBF1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楷体" w:hAnsi="楷体" w:eastAsia="楷体" w:cs="楷体"/>
      <w:sz w:val="18"/>
      <w:szCs w:val="18"/>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1751</Words>
  <Characters>1815</Characters>
  <TotalTime>2</TotalTime>
  <ScaleCrop>false</ScaleCrop>
  <LinksUpToDate>false</LinksUpToDate>
  <CharactersWithSpaces>1871</CharactersWithSpaces>
  <Application>WPS Office_12.1.24703.24703_F1E327BC-269C-435d-A152-05C5408002CA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2024-12-12T03:03:00Z</dcterms:created>
  <dc:creator>木子</dc:creator>
  <cp:lastModifiedBy>WTH</cp:lastModifiedBy>
  <dcterms:modified xsi:type="dcterms:W3CDTF">2026-01-16T23:43:50Z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2026-01-16T10:39:31Z</vt:filetime>
  </property>
  <property fmtid="{D5CDD505-2E9C-101B-9397-08002B2CF9AE}" pid="4" name="KSOTemplateDocerSaveRecord">
    <vt:lpwstr>eyJoZGlkIjoiOWY4MWM0ODUyMDFjNzgyYTY4YmQ5ODMzMjFjMTdlMmYiLCJ1c2VySWQiOiI0Mjk5OTcwODQifQ==</vt:lpwstr>
  </property>
  <property fmtid="{D5CDD505-2E9C-101B-9397-08002B2CF9AE}" pid="5" name="KSOProductBuildVer">
    <vt:lpwstr>2052-12.1.24703.24703</vt:lpwstr>
  </property>
  <property fmtid="{D5CDD505-2E9C-101B-9397-08002B2CF9AE}" pid="6" name="ICV">
    <vt:lpwstr>C9DE94A0FA504DFFB8687FB71D6E87C6_13</vt:lpwstr>
  </property>
</Properties>
</file>