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FA1B1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FF0000"/>
          <w:spacing w:val="60"/>
          <w:w w:val="75"/>
          <w:sz w:val="44"/>
          <w:szCs w:val="44"/>
        </w:rPr>
      </w:pPr>
      <w:r>
        <w:rPr>
          <w:rFonts w:hint="eastAsia" w:ascii="宋体" w:hAnsi="宋体" w:eastAsia="宋体" w:cs="宋体"/>
          <w:sz w:val="36"/>
          <w:szCs w:val="36"/>
        </w:rPr>
        <mc:AlternateContent>
          <mc:Choice Requires="wps">
            <w:drawing>
              <wp:anchor distT="0" distB="0" distL="114300" distR="114300" simplePos="0" relativeHeight="251661312" behindDoc="0" locked="0" layoutInCell="1" allowOverlap="1">
                <wp:simplePos x="0" y="0"/>
                <wp:positionH relativeFrom="column">
                  <wp:posOffset>-234950</wp:posOffset>
                </wp:positionH>
                <wp:positionV relativeFrom="paragraph">
                  <wp:posOffset>411480</wp:posOffset>
                </wp:positionV>
                <wp:extent cx="5654040" cy="21590"/>
                <wp:effectExtent l="0" t="13970" r="3810" b="21590"/>
                <wp:wrapNone/>
                <wp:docPr id="5" name="直接连接符 5"/>
                <wp:cNvGraphicFramePr/>
                <a:graphic xmlns:a="http://schemas.openxmlformats.org/drawingml/2006/main">
                  <a:graphicData uri="http://schemas.microsoft.com/office/word/2010/wordprocessingShape">
                    <wps:wsp>
                      <wps:cNvCnPr/>
                      <wps:spPr>
                        <a:xfrm flipV="1">
                          <a:off x="0" y="0"/>
                          <a:ext cx="5654040" cy="21590"/>
                        </a:xfrm>
                        <a:prstGeom prst="line">
                          <a:avLst/>
                        </a:prstGeom>
                        <a:ln w="28575" cap="flat" cmpd="sng">
                          <a:solidFill>
                            <a:srgbClr val="FF0000"/>
                          </a:solidFill>
                          <a:prstDash val="solid"/>
                          <a:headEnd type="none" w="med" len="med"/>
                          <a:tailEnd type="none" w="med" len="med"/>
                        </a:ln>
                        <a:effectLst/>
                      </wps:spPr>
                      <wps:bodyPr/>
                    </wps:wsp>
                  </a:graphicData>
                </a:graphic>
              </wp:anchor>
            </w:drawing>
          </mc:Choice>
          <mc:Fallback>
            <w:pict>
              <v:line id="_x0000_s1026" o:spid="_x0000_s1026" o:spt="20" style="position:absolute;left:0pt;flip:y;margin-left:-18.5pt;margin-top:32.4pt;height:1.7pt;width:445.2pt;z-index:251661312;mso-width-relative:page;mso-height-relative:page;" filled="f" stroked="t" coordsize="21600,21600" o:gfxdata="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Yi/Ic2gAAAAkBAAAPAAAAAAAAAAEAIAAAACIAAABkcnMv&#10;ZG93bnJldi54bWxQSwECFAAUAAAACACHTuJAp4HQnQECAAD1AwAADgAAAAAAAAABACAAAAApAQAA&#10;ZHJzL2Uyb0RvYy54bWxQSwUGAAAAAAYABgBZAQAAnAUAAAAA&#10;">
                <v:fill on="f" focussize="0,0"/>
                <v:stroke weight="2.25pt" color="#FF0000" joinstyle="round"/>
                <v:imagedata o:title=""/>
                <o:lock v:ext="edit" aspectratio="f"/>
              </v:line>
            </w:pict>
          </mc:Fallback>
        </mc:AlternateContent>
      </w:r>
      <w:r>
        <w:rPr>
          <w:rFonts w:hint="eastAsia" w:ascii="宋体" w:hAnsi="宋体" w:eastAsia="宋体" w:cs="宋体"/>
          <w:b/>
          <w:bCs/>
          <w:color w:val="FF0000"/>
          <w:spacing w:val="60"/>
          <w:w w:val="75"/>
          <w:sz w:val="36"/>
          <w:szCs w:val="36"/>
          <w:lang w:val="en-US" w:eastAsia="zh-CN"/>
        </w:rPr>
        <w:t>四川云集医药供应链管理</w:t>
      </w:r>
      <w:r>
        <w:rPr>
          <w:rFonts w:hint="eastAsia" w:ascii="宋体" w:hAnsi="宋体" w:eastAsia="宋体" w:cs="宋体"/>
          <w:b/>
          <w:bCs/>
          <w:color w:val="FF0000"/>
          <w:spacing w:val="60"/>
          <w:w w:val="75"/>
          <w:sz w:val="36"/>
          <w:szCs w:val="36"/>
        </w:rPr>
        <w:t>有限公司</w:t>
      </w:r>
      <w:r>
        <w:rPr>
          <w:rFonts w:hint="eastAsia" w:ascii="宋体" w:hAnsi="宋体" w:eastAsia="宋体" w:cs="宋体"/>
          <w:b/>
          <w:bCs/>
          <w:color w:val="FF0000"/>
          <w:spacing w:val="60"/>
          <w:w w:val="75"/>
          <w:sz w:val="36"/>
          <w:szCs w:val="36"/>
          <w:lang w:val="en-US" w:eastAsia="zh-CN"/>
        </w:rPr>
        <w:t>预重整</w:t>
      </w:r>
      <w:r>
        <w:rPr>
          <w:rFonts w:hint="eastAsia" w:ascii="宋体" w:hAnsi="宋体" w:eastAsia="宋体" w:cs="宋体"/>
          <w:b/>
          <w:bCs/>
          <w:color w:val="FF0000"/>
          <w:spacing w:val="60"/>
          <w:w w:val="75"/>
          <w:sz w:val="36"/>
          <w:szCs w:val="36"/>
        </w:rPr>
        <w:t>管</w:t>
      </w:r>
      <w:r>
        <w:rPr>
          <w:rFonts w:hint="eastAsia" w:ascii="宋体" w:hAnsi="宋体" w:eastAsia="宋体" w:cs="宋体"/>
          <w:b/>
          <w:bCs/>
          <w:color w:val="FF0000"/>
          <w:spacing w:val="60"/>
          <w:w w:val="75"/>
          <w:sz w:val="36"/>
          <w:szCs w:val="36"/>
          <w:lang w:val="en-US" w:eastAsia="zh-CN"/>
        </w:rPr>
        <w:t>理</w:t>
      </w:r>
      <w:r>
        <w:rPr>
          <w:rFonts w:hint="eastAsia" w:ascii="宋体" w:hAnsi="宋体" w:eastAsia="宋体" w:cs="宋体"/>
          <w:b/>
          <w:bCs/>
          <w:color w:val="FF0000"/>
          <w:spacing w:val="60"/>
          <w:w w:val="75"/>
          <w:sz w:val="36"/>
          <w:szCs w:val="36"/>
        </w:rPr>
        <w:t>人</w:t>
      </w:r>
    </w:p>
    <w:p w14:paraId="6C2410D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黑体"/>
          <w:b/>
          <w:bCs/>
          <w:sz w:val="44"/>
          <w:szCs w:val="44"/>
        </w:rPr>
      </w:pPr>
      <w:r>
        <w:rPr>
          <w:sz w:val="36"/>
          <w:szCs w:val="20"/>
        </w:rPr>
        <mc:AlternateContent>
          <mc:Choice Requires="wps">
            <w:drawing>
              <wp:anchor distT="0" distB="0" distL="114300" distR="114300" simplePos="0" relativeHeight="251660288" behindDoc="0" locked="0" layoutInCell="1" allowOverlap="1">
                <wp:simplePos x="0" y="0"/>
                <wp:positionH relativeFrom="column">
                  <wp:posOffset>-234950</wp:posOffset>
                </wp:positionH>
                <wp:positionV relativeFrom="paragraph">
                  <wp:posOffset>91440</wp:posOffset>
                </wp:positionV>
                <wp:extent cx="5657850" cy="15240"/>
                <wp:effectExtent l="0" t="4445" r="0" b="8890"/>
                <wp:wrapNone/>
                <wp:docPr id="6" name="直接连接符 6"/>
                <wp:cNvGraphicFramePr/>
                <a:graphic xmlns:a="http://schemas.openxmlformats.org/drawingml/2006/main">
                  <a:graphicData uri="http://schemas.microsoft.com/office/word/2010/wordprocessingShape">
                    <wps:wsp>
                      <wps:cNvCnPr/>
                      <wps:spPr>
                        <a:xfrm flipV="1">
                          <a:off x="0" y="0"/>
                          <a:ext cx="5657850" cy="15240"/>
                        </a:xfrm>
                        <a:prstGeom prst="line">
                          <a:avLst/>
                        </a:prstGeom>
                        <a:ln w="3175" cap="flat" cmpd="sng">
                          <a:solidFill>
                            <a:srgbClr val="FF0000"/>
                          </a:solidFill>
                          <a:prstDash val="solid"/>
                          <a:headEnd type="none" w="med" len="med"/>
                          <a:tailEnd type="none" w="med" len="med"/>
                        </a:ln>
                        <a:effectLst/>
                      </wps:spPr>
                      <wps:bodyPr/>
                    </wps:wsp>
                  </a:graphicData>
                </a:graphic>
              </wp:anchor>
            </w:drawing>
          </mc:Choice>
          <mc:Fallback>
            <w:pict>
              <v:line id="_x0000_s1026" o:spid="_x0000_s1026" o:spt="20" style="position:absolute;left:0pt;flip:y;margin-left:-18.5pt;margin-top:7.2pt;height:1.2pt;width:445.5pt;z-index:251660288;mso-width-relative:page;mso-height-relative:page;" filled="f" stroked="t" coordsize="21600,21600" o:gfxdata="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UkGzP1wAAAAkBAAAPAAAAAAAAAAEAIAAAACIAAABkcnMvZG93&#10;bnJldi54bWxQSwECFAAUAAAACACHTuJAhflKEQECAAD0AwAADgAAAAAAAAABACAAAAAmAQAAZHJz&#10;L2Uyb0RvYy54bWxQSwUGAAAAAAYABgBZAQAAmQUAAAAA&#10;">
                <v:fill on="f" focussize="0,0"/>
                <v:stroke weight="0.25pt" color="#FF0000" joinstyle="round"/>
                <v:imagedata o:title=""/>
                <o:lock v:ext="edit" aspectratio="f"/>
              </v:line>
            </w:pict>
          </mc:Fallback>
        </mc:AlternateContent>
      </w:r>
    </w:p>
    <w:p w14:paraId="6BE2D7D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b/>
          <w:sz w:val="44"/>
          <w:szCs w:val="44"/>
          <w:lang w:val="en-US" w:eastAsia="zh-CN"/>
        </w:rPr>
      </w:pPr>
      <w:r>
        <w:rPr>
          <w:rFonts w:hint="eastAsia" w:ascii="宋体" w:hAnsi="宋体" w:eastAsia="宋体" w:cs="宋体"/>
          <w:b/>
          <w:spacing w:val="0"/>
          <w:kern w:val="0"/>
          <w:sz w:val="44"/>
          <w:szCs w:val="44"/>
          <w:fitText w:val="8360" w:id="2127910157"/>
          <w:lang w:val="en-US" w:eastAsia="zh-CN"/>
        </w:rPr>
        <w:t>四川云集医药供应链管理有限公司预重整案</w:t>
      </w:r>
    </w:p>
    <w:p w14:paraId="0EE8569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b/>
          <w:sz w:val="44"/>
          <w:szCs w:val="44"/>
          <w:lang w:val="en-US" w:eastAsia="zh-CN"/>
        </w:rPr>
      </w:pPr>
      <w:r>
        <w:rPr>
          <w:rFonts w:hint="eastAsia" w:ascii="宋体" w:hAnsi="宋体" w:eastAsia="宋体" w:cs="宋体"/>
          <w:b/>
          <w:sz w:val="44"/>
          <w:szCs w:val="44"/>
          <w:lang w:val="en-US" w:eastAsia="zh-CN"/>
        </w:rPr>
        <w:t>投资人招募公告</w:t>
      </w:r>
    </w:p>
    <w:p w14:paraId="6D27BFEB">
      <w:pPr>
        <w:keepNext w:val="0"/>
        <w:keepLines w:val="0"/>
        <w:pageBreakBefore w:val="0"/>
        <w:widowControl/>
        <w:kinsoku/>
        <w:wordWrap/>
        <w:overflowPunct/>
        <w:topLinePunct w:val="0"/>
        <w:autoSpaceDE/>
        <w:autoSpaceDN/>
        <w:bidi w:val="0"/>
        <w:adjustRightInd w:val="0"/>
        <w:snapToGrid w:val="0"/>
        <w:spacing w:line="560" w:lineRule="exact"/>
        <w:ind w:right="0" w:firstLine="676" w:firstLineChars="200"/>
        <w:jc w:val="right"/>
        <w:textAlignment w:val="baseline"/>
        <w:rPr>
          <w:rFonts w:hint="eastAsia" w:ascii="仿宋" w:hAnsi="仿宋" w:eastAsia="仿宋" w:cs="仿宋"/>
          <w:b w:val="0"/>
          <w:bCs w:val="0"/>
          <w:spacing w:val="9"/>
          <w:sz w:val="32"/>
          <w:szCs w:val="32"/>
        </w:rPr>
      </w:pPr>
      <w:r>
        <w:rPr>
          <w:rFonts w:hint="eastAsia" w:ascii="仿宋" w:hAnsi="仿宋" w:eastAsia="仿宋" w:cs="仿宋"/>
          <w:b w:val="0"/>
          <w:bCs w:val="0"/>
          <w:spacing w:val="9"/>
          <w:sz w:val="32"/>
          <w:szCs w:val="32"/>
        </w:rPr>
        <w:t>（2025）云集预管字第</w:t>
      </w:r>
      <w:r>
        <w:rPr>
          <w:rFonts w:hint="eastAsia" w:ascii="仿宋" w:hAnsi="仿宋" w:eastAsia="仿宋" w:cs="仿宋"/>
          <w:b w:val="0"/>
          <w:bCs w:val="0"/>
          <w:spacing w:val="9"/>
          <w:sz w:val="32"/>
          <w:szCs w:val="32"/>
          <w:lang w:val="en-US" w:eastAsia="zh-CN"/>
        </w:rPr>
        <w:t>019</w:t>
      </w:r>
      <w:r>
        <w:rPr>
          <w:rFonts w:hint="eastAsia" w:ascii="仿宋" w:hAnsi="仿宋" w:eastAsia="仿宋" w:cs="仿宋"/>
          <w:b w:val="0"/>
          <w:bCs w:val="0"/>
          <w:spacing w:val="9"/>
          <w:sz w:val="32"/>
          <w:szCs w:val="32"/>
        </w:rPr>
        <w:t>号</w:t>
      </w:r>
      <w:bookmarkStart w:id="1" w:name="_GoBack"/>
      <w:bookmarkEnd w:id="1"/>
    </w:p>
    <w:p w14:paraId="1726C78E">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napToGrid/>
          <w:kern w:val="2"/>
          <w:sz w:val="32"/>
          <w:szCs w:val="32"/>
          <w:lang w:val="en-US" w:eastAsia="zh-CN" w:bidi="ar-SA"/>
        </w:rPr>
      </w:pPr>
    </w:p>
    <w:p w14:paraId="63FB1C37">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成都市新都区人民法院于2025年12月30日作出（2025）川0114破申11号决定书，决定对四川云集医药供应链管理有限公司（以下简称“四川云集公司”或“债务人”）进行预重整，并于2026年1月5日作出（2025）川0114破申11号之一决定书，指定四川豪诚企业清算事务所有限公司担任预重整管理人。</w:t>
      </w:r>
    </w:p>
    <w:p w14:paraId="6A7EE8AB">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为顺利推进预重整和重整工作，</w:t>
      </w:r>
      <w:r>
        <w:rPr>
          <w:rFonts w:hint="eastAsia" w:ascii="仿宋" w:hAnsi="仿宋" w:eastAsia="仿宋" w:cs="仿宋"/>
          <w:b w:val="0"/>
          <w:bCs w:val="0"/>
          <w:snapToGrid w:val="0"/>
          <w:color w:val="000000"/>
          <w:spacing w:val="9"/>
          <w:kern w:val="0"/>
          <w:sz w:val="32"/>
          <w:szCs w:val="32"/>
          <w:lang w:val="en-US" w:eastAsia="zh-CN" w:bidi="ar-SA"/>
        </w:rPr>
        <w:t>实现资源的优化配置和利用</w:t>
      </w:r>
      <w:r>
        <w:rPr>
          <w:rFonts w:hint="default" w:ascii="仿宋" w:hAnsi="仿宋" w:eastAsia="仿宋" w:cs="仿宋"/>
          <w:b w:val="0"/>
          <w:bCs w:val="0"/>
          <w:snapToGrid w:val="0"/>
          <w:color w:val="000000"/>
          <w:spacing w:val="9"/>
          <w:kern w:val="0"/>
          <w:sz w:val="32"/>
          <w:szCs w:val="32"/>
          <w:lang w:val="en-US" w:eastAsia="zh-CN" w:bidi="ar-SA"/>
        </w:rPr>
        <w:t>，化解公司债务危机，恢复公司持续经营能力，保障债权人公平受偿权利和其他相关利益主体合法利益，</w:t>
      </w:r>
      <w:r>
        <w:rPr>
          <w:rFonts w:hint="eastAsia" w:ascii="仿宋" w:hAnsi="仿宋" w:eastAsia="仿宋" w:cs="仿宋"/>
          <w:b w:val="0"/>
          <w:bCs w:val="0"/>
          <w:snapToGrid w:val="0"/>
          <w:color w:val="000000"/>
          <w:spacing w:val="9"/>
          <w:kern w:val="0"/>
          <w:sz w:val="32"/>
          <w:szCs w:val="32"/>
          <w:lang w:val="en-US" w:eastAsia="zh-CN" w:bidi="ar-SA"/>
        </w:rPr>
        <w:t>预重整管理人依据相关法律规定面向社会</w:t>
      </w:r>
      <w:r>
        <w:rPr>
          <w:rFonts w:hint="default" w:ascii="仿宋" w:hAnsi="仿宋" w:eastAsia="仿宋" w:cs="仿宋"/>
          <w:b w:val="0"/>
          <w:bCs w:val="0"/>
          <w:snapToGrid w:val="0"/>
          <w:color w:val="000000"/>
          <w:spacing w:val="9"/>
          <w:kern w:val="0"/>
          <w:sz w:val="32"/>
          <w:szCs w:val="32"/>
          <w:lang w:val="en-US" w:eastAsia="zh-CN" w:bidi="ar-SA"/>
        </w:rPr>
        <w:t>公开招募投资人。现就</w:t>
      </w:r>
      <w:r>
        <w:rPr>
          <w:rFonts w:hint="eastAsia" w:ascii="仿宋" w:hAnsi="仿宋" w:eastAsia="仿宋" w:cs="仿宋"/>
          <w:b w:val="0"/>
          <w:bCs w:val="0"/>
          <w:snapToGrid w:val="0"/>
          <w:color w:val="000000"/>
          <w:spacing w:val="9"/>
          <w:kern w:val="0"/>
          <w:sz w:val="32"/>
          <w:szCs w:val="32"/>
          <w:lang w:val="en-US" w:eastAsia="zh-CN" w:bidi="ar-SA"/>
        </w:rPr>
        <w:t>招募事项</w:t>
      </w:r>
      <w:r>
        <w:rPr>
          <w:rFonts w:hint="default" w:ascii="仿宋" w:hAnsi="仿宋" w:eastAsia="仿宋" w:cs="仿宋"/>
          <w:b w:val="0"/>
          <w:bCs w:val="0"/>
          <w:snapToGrid w:val="0"/>
          <w:color w:val="000000"/>
          <w:spacing w:val="9"/>
          <w:kern w:val="0"/>
          <w:sz w:val="32"/>
          <w:szCs w:val="32"/>
          <w:lang w:val="en-US" w:eastAsia="zh-CN" w:bidi="ar-SA"/>
        </w:rPr>
        <w:t>公告如下：</w:t>
      </w:r>
    </w:p>
    <w:p w14:paraId="675AF050">
      <w:pPr>
        <w:pStyle w:val="2"/>
        <w:keepNext w:val="0"/>
        <w:keepLines w:val="0"/>
        <w:pageBreakBefore w:val="0"/>
        <w:widowControl/>
        <w:kinsoku/>
        <w:wordWrap/>
        <w:overflowPunct/>
        <w:topLinePunct w:val="0"/>
        <w:bidi w:val="0"/>
        <w:spacing w:after="0" w:line="560" w:lineRule="exact"/>
        <w:ind w:firstLine="679" w:firstLineChars="200"/>
        <w:rPr>
          <w:rFonts w:hint="eastAsia" w:ascii="仿宋" w:hAnsi="仿宋" w:eastAsia="仿宋" w:cs="仿宋"/>
          <w:b/>
          <w:bCs/>
          <w:snapToGrid w:val="0"/>
          <w:color w:val="000000"/>
          <w:spacing w:val="9"/>
          <w:kern w:val="0"/>
          <w:sz w:val="32"/>
          <w:szCs w:val="32"/>
          <w:lang w:val="en-US" w:eastAsia="zh-CN" w:bidi="ar-SA"/>
        </w:rPr>
      </w:pPr>
      <w:r>
        <w:rPr>
          <w:rFonts w:hint="eastAsia" w:ascii="仿宋" w:hAnsi="仿宋" w:eastAsia="仿宋" w:cs="仿宋"/>
          <w:b/>
          <w:bCs/>
          <w:snapToGrid w:val="0"/>
          <w:color w:val="000000"/>
          <w:spacing w:val="9"/>
          <w:kern w:val="0"/>
          <w:sz w:val="32"/>
          <w:szCs w:val="32"/>
          <w:lang w:val="en-US" w:eastAsia="zh-CN" w:bidi="ar-SA"/>
        </w:rPr>
        <w:t>一、四川云集公司基本情况</w:t>
      </w:r>
    </w:p>
    <w:p w14:paraId="27F08475">
      <w:pPr>
        <w:pStyle w:val="2"/>
        <w:keepNext w:val="0"/>
        <w:keepLines w:val="0"/>
        <w:pageBreakBefore w:val="0"/>
        <w:widowControl/>
        <w:kinsoku/>
        <w:wordWrap/>
        <w:overflowPunct/>
        <w:topLinePunct w:val="0"/>
        <w:bidi w:val="0"/>
        <w:spacing w:after="0" w:line="560" w:lineRule="exact"/>
        <w:ind w:firstLine="679" w:firstLineChars="200"/>
        <w:rPr>
          <w:rFonts w:hint="default" w:ascii="仿宋" w:hAnsi="仿宋" w:eastAsia="仿宋" w:cs="仿宋"/>
          <w:b/>
          <w:bCs/>
          <w:snapToGrid w:val="0"/>
          <w:color w:val="000000"/>
          <w:spacing w:val="9"/>
          <w:kern w:val="0"/>
          <w:sz w:val="32"/>
          <w:szCs w:val="32"/>
          <w:lang w:val="en-US" w:eastAsia="zh-CN" w:bidi="ar-SA"/>
        </w:rPr>
      </w:pPr>
      <w:r>
        <w:rPr>
          <w:rFonts w:hint="eastAsia" w:ascii="仿宋" w:hAnsi="仿宋" w:eastAsia="仿宋" w:cs="仿宋"/>
          <w:b/>
          <w:bCs/>
          <w:snapToGrid w:val="0"/>
          <w:color w:val="000000"/>
          <w:spacing w:val="9"/>
          <w:kern w:val="0"/>
          <w:sz w:val="32"/>
          <w:szCs w:val="32"/>
          <w:lang w:val="en-US" w:eastAsia="zh-CN" w:bidi="ar-SA"/>
        </w:rPr>
        <w:t>（一）登记信息</w:t>
      </w:r>
    </w:p>
    <w:p w14:paraId="772BDA87">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四川云集公司</w:t>
      </w:r>
      <w:r>
        <w:rPr>
          <w:rFonts w:hint="eastAsia" w:ascii="仿宋" w:hAnsi="仿宋" w:eastAsia="仿宋" w:cs="仿宋"/>
          <w:b w:val="0"/>
          <w:bCs w:val="0"/>
          <w:snapToGrid w:val="0"/>
          <w:color w:val="000000"/>
          <w:spacing w:val="9"/>
          <w:kern w:val="0"/>
          <w:sz w:val="32"/>
          <w:szCs w:val="32"/>
          <w:lang w:val="en-US" w:eastAsia="zh-CN" w:bidi="ar-SA"/>
        </w:rPr>
        <w:t>设立于</w:t>
      </w:r>
      <w:r>
        <w:rPr>
          <w:rFonts w:hint="default" w:ascii="仿宋" w:hAnsi="仿宋" w:eastAsia="仿宋" w:cs="仿宋"/>
          <w:b w:val="0"/>
          <w:bCs w:val="0"/>
          <w:snapToGrid w:val="0"/>
          <w:color w:val="000000"/>
          <w:spacing w:val="9"/>
          <w:kern w:val="0"/>
          <w:sz w:val="32"/>
          <w:szCs w:val="32"/>
          <w:lang w:val="en-US" w:eastAsia="zh-CN" w:bidi="ar-SA"/>
        </w:rPr>
        <w:t>2019年4月18日</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注册资本</w:t>
      </w:r>
      <w:r>
        <w:rPr>
          <w:rFonts w:hint="eastAsia" w:ascii="仿宋" w:hAnsi="仿宋" w:eastAsia="仿宋" w:cs="仿宋"/>
          <w:b w:val="0"/>
          <w:bCs w:val="0"/>
          <w:snapToGrid w:val="0"/>
          <w:color w:val="000000"/>
          <w:spacing w:val="9"/>
          <w:kern w:val="0"/>
          <w:sz w:val="32"/>
          <w:szCs w:val="32"/>
          <w:lang w:val="en-US" w:eastAsia="zh-CN" w:bidi="ar-SA"/>
        </w:rPr>
        <w:t>为</w:t>
      </w:r>
      <w:r>
        <w:rPr>
          <w:rFonts w:hint="default" w:ascii="仿宋" w:hAnsi="仿宋" w:eastAsia="仿宋" w:cs="仿宋"/>
          <w:b w:val="0"/>
          <w:bCs w:val="0"/>
          <w:snapToGrid w:val="0"/>
          <w:color w:val="000000"/>
          <w:spacing w:val="9"/>
          <w:kern w:val="0"/>
          <w:sz w:val="32"/>
          <w:szCs w:val="32"/>
          <w:lang w:val="en-US" w:eastAsia="zh-CN" w:bidi="ar-SA"/>
        </w:rPr>
        <w:t>10,000万元人民币，法定代表人傅智伟，统一社会信用代码91510125MA69NDA6X6</w:t>
      </w:r>
      <w:r>
        <w:rPr>
          <w:rFonts w:hint="eastAsia" w:ascii="仿宋" w:hAnsi="仿宋" w:eastAsia="仿宋" w:cs="仿宋"/>
          <w:b w:val="0"/>
          <w:bCs w:val="0"/>
          <w:snapToGrid w:val="0"/>
          <w:color w:val="000000"/>
          <w:spacing w:val="9"/>
          <w:kern w:val="0"/>
          <w:sz w:val="32"/>
          <w:szCs w:val="32"/>
          <w:lang w:val="en-US" w:eastAsia="zh-CN" w:bidi="ar-SA"/>
        </w:rPr>
        <w:t>。经多次股权转让，截至目前，公司股东为成都市云集药业有限公司（持股比例90%）、四川蓝焜供应链管理有限责任公司（持股比例10%），均处于出质状态。公司</w:t>
      </w:r>
      <w:r>
        <w:rPr>
          <w:rFonts w:hint="default" w:ascii="仿宋" w:hAnsi="仿宋" w:eastAsia="仿宋" w:cs="仿宋"/>
          <w:b w:val="0"/>
          <w:bCs w:val="0"/>
          <w:snapToGrid w:val="0"/>
          <w:color w:val="000000"/>
          <w:spacing w:val="9"/>
          <w:kern w:val="0"/>
          <w:sz w:val="32"/>
          <w:szCs w:val="32"/>
          <w:lang w:val="en-US" w:eastAsia="zh-CN" w:bidi="ar-SA"/>
        </w:rPr>
        <w:t>经营范围：一般项目：供应链管理服务；信息咨询服务（不含许可类信息咨询服务）；装卸搬运；普通货物仓储服务（不含危险化学品等需许可审批的项目）；国内贸易代理；第一类医疗器械销售；第二类医疗器械销售；食品销售（仅销售预包装食品）；食品互联网销售（仅销售预包装食品）；消毒剂销售（不含危险化学品）；包装材料及制品销售；会议及展览服务；信息系统集成服务；技术服务、技术开发、技术咨询、技术交流、技术转让、技术推广；技术进出口；货物进出口；广告设计、代理；房地产经纪；非居住房地产租赁。（除依法须经批准的项目外，凭营业执照依法自主开展经营活动）许可项目：药品批发；第三类医疗器械经营；道路货物运输（不含危险货物）。（依法须经批准的项目，经相关部门批准后方可开展经营活动，具体经营项目以相关部门批准文件或许可证件为准）。</w:t>
      </w:r>
    </w:p>
    <w:p w14:paraId="0D0DFB9A">
      <w:pPr>
        <w:pStyle w:val="2"/>
        <w:keepNext w:val="0"/>
        <w:keepLines w:val="0"/>
        <w:pageBreakBefore w:val="0"/>
        <w:widowControl/>
        <w:kinsoku/>
        <w:wordWrap/>
        <w:overflowPunct/>
        <w:topLinePunct w:val="0"/>
        <w:bidi w:val="0"/>
        <w:spacing w:after="0" w:line="560" w:lineRule="exact"/>
        <w:ind w:firstLine="679" w:firstLineChars="200"/>
        <w:rPr>
          <w:rFonts w:hint="eastAsia" w:ascii="仿宋" w:hAnsi="仿宋" w:eastAsia="仿宋" w:cs="仿宋"/>
          <w:b/>
          <w:bCs/>
          <w:snapToGrid w:val="0"/>
          <w:color w:val="000000"/>
          <w:spacing w:val="9"/>
          <w:kern w:val="0"/>
          <w:sz w:val="32"/>
          <w:szCs w:val="32"/>
          <w:lang w:val="en-US" w:eastAsia="zh-CN" w:bidi="ar-SA"/>
        </w:rPr>
      </w:pPr>
      <w:r>
        <w:rPr>
          <w:rFonts w:hint="eastAsia" w:ascii="仿宋" w:hAnsi="仿宋" w:eastAsia="仿宋" w:cs="仿宋"/>
          <w:b/>
          <w:bCs/>
          <w:snapToGrid w:val="0"/>
          <w:color w:val="000000"/>
          <w:spacing w:val="9"/>
          <w:kern w:val="0"/>
          <w:sz w:val="32"/>
          <w:szCs w:val="32"/>
          <w:lang w:val="en-US" w:eastAsia="zh-CN" w:bidi="ar-SA"/>
        </w:rPr>
        <w:t>（二）项目概况</w:t>
      </w:r>
    </w:p>
    <w:p w14:paraId="0B75B0F3">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四川云集公司通过挂牌出让方式取得位于新都区石板滩街道门坎兰溪路58号、门坎坡路59号的一宗土地，总面积54,559.51㎡，规划用途为仓储用地，土地使用权终止日期为2050年12月17日。</w:t>
      </w:r>
    </w:p>
    <w:p w14:paraId="63CCCFBD">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四川云集公司在该地块上开发建设了“云集慧金港”现代医药物流数字园区项目（以下简称“慧金港项目”）。项目已于2023年5月竣工，并于2023年12月29日取得川（2023）新都区不动产权第0095093号《不动产权证书》。慧金港项目总建筑面积为50,896.56㎡，包含4,500立方米的控温自动化立体库，2,000㎡控温高架库，20,000㎡自动分拨中心，12,000立方米的多温区冷库及5,000㎡综合办公楼。</w:t>
      </w:r>
    </w:p>
    <w:p w14:paraId="0CC4BFFC">
      <w:pPr>
        <w:pStyle w:val="2"/>
        <w:keepNext w:val="0"/>
        <w:keepLines w:val="0"/>
        <w:pageBreakBefore w:val="0"/>
        <w:widowControl/>
        <w:kinsoku/>
        <w:wordWrap/>
        <w:overflowPunct/>
        <w:topLinePunct w:val="0"/>
        <w:bidi w:val="0"/>
        <w:spacing w:after="0" w:line="560" w:lineRule="exact"/>
        <w:ind w:firstLine="679" w:firstLineChars="200"/>
        <w:rPr>
          <w:rFonts w:hint="eastAsia" w:ascii="仿宋" w:hAnsi="仿宋" w:eastAsia="仿宋" w:cs="仿宋"/>
          <w:b/>
          <w:bCs/>
          <w:snapToGrid w:val="0"/>
          <w:color w:val="000000"/>
          <w:spacing w:val="9"/>
          <w:kern w:val="0"/>
          <w:sz w:val="32"/>
          <w:szCs w:val="32"/>
          <w:lang w:val="en-US" w:eastAsia="zh-CN" w:bidi="ar-SA"/>
        </w:rPr>
      </w:pPr>
      <w:r>
        <w:rPr>
          <w:rFonts w:hint="eastAsia" w:ascii="仿宋" w:hAnsi="仿宋" w:eastAsia="仿宋" w:cs="仿宋"/>
          <w:b/>
          <w:bCs/>
          <w:snapToGrid w:val="0"/>
          <w:color w:val="000000"/>
          <w:spacing w:val="9"/>
          <w:kern w:val="0"/>
          <w:sz w:val="32"/>
          <w:szCs w:val="32"/>
          <w:lang w:val="en-US" w:eastAsia="zh-CN" w:bidi="ar-SA"/>
        </w:rPr>
        <w:t>（三）资产概况</w:t>
      </w:r>
    </w:p>
    <w:p w14:paraId="59EBF13A">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四川云集公司主要资产为慧金港项目，包括一栋现代高标准医药仓库和一栋综合办公楼（共5层）。</w:t>
      </w:r>
    </w:p>
    <w:p w14:paraId="6B4D1FBB">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需特别说明的是，慧金港项目内部分核心设施设备（如冷库设备、空调设备、货架、温湿度系统、输送线等）的所有权归属于第三方公司。该等情况可能对资产的完整处置、未来运营的持续性或相关成本构成产生影响，请意向投资人予以重点关注并自行评估相关风险。</w:t>
      </w:r>
    </w:p>
    <w:p w14:paraId="359A11D0">
      <w:pPr>
        <w:pStyle w:val="2"/>
        <w:keepNext w:val="0"/>
        <w:keepLines w:val="0"/>
        <w:pageBreakBefore w:val="0"/>
        <w:widowControl/>
        <w:kinsoku/>
        <w:wordWrap/>
        <w:overflowPunct/>
        <w:topLinePunct w:val="0"/>
        <w:bidi w:val="0"/>
        <w:spacing w:after="0" w:line="560" w:lineRule="exact"/>
        <w:ind w:firstLine="679" w:firstLineChars="200"/>
        <w:rPr>
          <w:rFonts w:hint="default" w:ascii="仿宋" w:hAnsi="仿宋" w:eastAsia="仿宋" w:cs="仿宋"/>
          <w:b/>
          <w:bCs/>
          <w:snapToGrid w:val="0"/>
          <w:color w:val="000000"/>
          <w:spacing w:val="9"/>
          <w:kern w:val="0"/>
          <w:sz w:val="32"/>
          <w:szCs w:val="32"/>
          <w:lang w:val="en-US" w:eastAsia="zh-CN" w:bidi="ar-SA"/>
        </w:rPr>
      </w:pPr>
      <w:r>
        <w:rPr>
          <w:rFonts w:hint="eastAsia" w:ascii="仿宋" w:hAnsi="仿宋" w:eastAsia="仿宋" w:cs="仿宋"/>
          <w:b/>
          <w:bCs/>
          <w:snapToGrid w:val="0"/>
          <w:color w:val="000000"/>
          <w:spacing w:val="9"/>
          <w:kern w:val="0"/>
          <w:sz w:val="32"/>
          <w:szCs w:val="32"/>
          <w:lang w:val="en-US" w:eastAsia="zh-CN" w:bidi="ar-SA"/>
        </w:rPr>
        <w:t>（四）权利限制</w:t>
      </w:r>
    </w:p>
    <w:p w14:paraId="655E1698">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项目土地及房屋已设立抵押，抵押权人为宜宾市商业银行股份有限公司。</w:t>
      </w:r>
    </w:p>
    <w:p w14:paraId="42798369">
      <w:pPr>
        <w:pStyle w:val="2"/>
        <w:keepNext w:val="0"/>
        <w:keepLines w:val="0"/>
        <w:pageBreakBefore w:val="0"/>
        <w:widowControl/>
        <w:kinsoku/>
        <w:wordWrap/>
        <w:overflowPunct/>
        <w:topLinePunct w:val="0"/>
        <w:bidi w:val="0"/>
        <w:spacing w:after="0" w:line="560" w:lineRule="exact"/>
        <w:ind w:firstLine="679" w:firstLineChars="200"/>
        <w:rPr>
          <w:rFonts w:hint="eastAsia" w:ascii="仿宋" w:hAnsi="仿宋" w:eastAsia="仿宋" w:cs="仿宋"/>
          <w:b/>
          <w:bCs/>
          <w:snapToGrid w:val="0"/>
          <w:color w:val="000000"/>
          <w:spacing w:val="9"/>
          <w:kern w:val="0"/>
          <w:sz w:val="32"/>
          <w:szCs w:val="32"/>
          <w:lang w:val="en-US" w:eastAsia="zh-CN" w:bidi="ar-SA"/>
        </w:rPr>
      </w:pPr>
      <w:r>
        <w:rPr>
          <w:rFonts w:hint="eastAsia" w:ascii="仿宋" w:hAnsi="仿宋" w:eastAsia="仿宋" w:cs="仿宋"/>
          <w:b/>
          <w:bCs/>
          <w:snapToGrid w:val="0"/>
          <w:color w:val="000000"/>
          <w:spacing w:val="9"/>
          <w:kern w:val="0"/>
          <w:sz w:val="32"/>
          <w:szCs w:val="32"/>
          <w:lang w:val="en-US" w:eastAsia="zh-CN" w:bidi="ar-SA"/>
        </w:rPr>
        <w:t>（五）债权申报情况</w:t>
      </w:r>
    </w:p>
    <w:p w14:paraId="6AB561A0">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highlight w:val="none"/>
          <w:lang w:val="en-US" w:eastAsia="zh-CN" w:bidi="ar-SA"/>
        </w:rPr>
        <w:t>截至目前，预重整管理人共收到55户债权人申报的58笔债权，申报债权金额合计455,055,041.11元。</w:t>
      </w:r>
      <w:r>
        <w:rPr>
          <w:rFonts w:hint="eastAsia" w:ascii="仿宋" w:hAnsi="仿宋" w:eastAsia="仿宋" w:cs="仿宋"/>
          <w:b w:val="0"/>
          <w:bCs w:val="0"/>
          <w:snapToGrid w:val="0"/>
          <w:color w:val="000000"/>
          <w:spacing w:val="9"/>
          <w:kern w:val="0"/>
          <w:sz w:val="32"/>
          <w:szCs w:val="32"/>
          <w:lang w:val="en-US" w:eastAsia="zh-CN" w:bidi="ar-SA"/>
        </w:rPr>
        <w:t>其中申报为对特定财产享有担保债权的债权2笔，申报金额为411,131,013.89元；申报为建设工程价款优先受偿权的债权人12笔，申报金额为13,847,872.63元；申报为税款债权的债权人1笔，申报金额为371,560.18元；申报为社保债权的债权人1户，申报金额为10,391.88元；申报为普通债权的债权人42户，申报金额为29,694,202.53元。</w:t>
      </w:r>
    </w:p>
    <w:p w14:paraId="37004701">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以上信息仅来自</w:t>
      </w:r>
      <w:r>
        <w:rPr>
          <w:rFonts w:hint="eastAsia" w:ascii="仿宋" w:hAnsi="仿宋" w:eastAsia="仿宋" w:cs="仿宋"/>
          <w:b w:val="0"/>
          <w:bCs w:val="0"/>
          <w:snapToGrid w:val="0"/>
          <w:color w:val="000000"/>
          <w:spacing w:val="9"/>
          <w:kern w:val="0"/>
          <w:sz w:val="32"/>
          <w:szCs w:val="32"/>
          <w:lang w:val="en-US" w:eastAsia="zh-CN" w:bidi="ar-SA"/>
        </w:rPr>
        <w:t>预重整</w:t>
      </w:r>
      <w:r>
        <w:rPr>
          <w:rFonts w:hint="default" w:ascii="仿宋" w:hAnsi="仿宋" w:eastAsia="仿宋" w:cs="仿宋"/>
          <w:b w:val="0"/>
          <w:bCs w:val="0"/>
          <w:snapToGrid w:val="0"/>
          <w:color w:val="000000"/>
          <w:spacing w:val="9"/>
          <w:kern w:val="0"/>
          <w:sz w:val="32"/>
          <w:szCs w:val="32"/>
          <w:lang w:val="en-US" w:eastAsia="zh-CN" w:bidi="ar-SA"/>
        </w:rPr>
        <w:t>管理人目前调查的情况，</w:t>
      </w:r>
      <w:r>
        <w:rPr>
          <w:rFonts w:hint="eastAsia" w:ascii="仿宋" w:hAnsi="仿宋" w:eastAsia="仿宋" w:cs="仿宋"/>
          <w:b w:val="0"/>
          <w:bCs w:val="0"/>
          <w:snapToGrid w:val="0"/>
          <w:color w:val="000000"/>
          <w:spacing w:val="9"/>
          <w:kern w:val="0"/>
          <w:sz w:val="32"/>
          <w:szCs w:val="32"/>
          <w:lang w:val="en-US" w:eastAsia="zh-CN" w:bidi="ar-SA"/>
        </w:rPr>
        <w:t>四川云集公司资产</w:t>
      </w:r>
      <w:r>
        <w:rPr>
          <w:rFonts w:hint="default" w:ascii="仿宋" w:hAnsi="仿宋" w:eastAsia="仿宋" w:cs="仿宋"/>
          <w:b w:val="0"/>
          <w:bCs w:val="0"/>
          <w:snapToGrid w:val="0"/>
          <w:color w:val="000000"/>
          <w:spacing w:val="9"/>
          <w:kern w:val="0"/>
          <w:sz w:val="32"/>
          <w:szCs w:val="32"/>
          <w:lang w:val="en-US" w:eastAsia="zh-CN" w:bidi="ar-SA"/>
        </w:rPr>
        <w:t>具体</w:t>
      </w:r>
      <w:r>
        <w:rPr>
          <w:rFonts w:hint="eastAsia" w:ascii="仿宋" w:hAnsi="仿宋" w:eastAsia="仿宋" w:cs="仿宋"/>
          <w:b w:val="0"/>
          <w:bCs w:val="0"/>
          <w:snapToGrid w:val="0"/>
          <w:color w:val="000000"/>
          <w:spacing w:val="9"/>
          <w:kern w:val="0"/>
          <w:sz w:val="32"/>
          <w:szCs w:val="32"/>
          <w:lang w:val="en-US" w:eastAsia="zh-CN" w:bidi="ar-SA"/>
        </w:rPr>
        <w:t>情况</w:t>
      </w:r>
      <w:r>
        <w:rPr>
          <w:rFonts w:hint="default" w:ascii="仿宋" w:hAnsi="仿宋" w:eastAsia="仿宋" w:cs="仿宋"/>
          <w:b w:val="0"/>
          <w:bCs w:val="0"/>
          <w:snapToGrid w:val="0"/>
          <w:color w:val="000000"/>
          <w:spacing w:val="9"/>
          <w:kern w:val="0"/>
          <w:sz w:val="32"/>
          <w:szCs w:val="32"/>
          <w:lang w:val="en-US" w:eastAsia="zh-CN" w:bidi="ar-SA"/>
        </w:rPr>
        <w:t>、</w:t>
      </w:r>
      <w:r>
        <w:rPr>
          <w:rFonts w:hint="eastAsia" w:ascii="仿宋" w:hAnsi="仿宋" w:eastAsia="仿宋" w:cs="仿宋"/>
          <w:b w:val="0"/>
          <w:bCs w:val="0"/>
          <w:snapToGrid w:val="0"/>
          <w:color w:val="000000"/>
          <w:spacing w:val="9"/>
          <w:kern w:val="0"/>
          <w:sz w:val="32"/>
          <w:szCs w:val="32"/>
          <w:lang w:val="en-US" w:eastAsia="zh-CN" w:bidi="ar-SA"/>
        </w:rPr>
        <w:t>最终负债情况</w:t>
      </w:r>
      <w:r>
        <w:rPr>
          <w:rFonts w:hint="default" w:ascii="仿宋" w:hAnsi="仿宋" w:eastAsia="仿宋" w:cs="仿宋"/>
          <w:b w:val="0"/>
          <w:bCs w:val="0"/>
          <w:snapToGrid w:val="0"/>
          <w:color w:val="000000"/>
          <w:spacing w:val="9"/>
          <w:kern w:val="0"/>
          <w:sz w:val="32"/>
          <w:szCs w:val="32"/>
          <w:lang w:val="en-US" w:eastAsia="zh-CN" w:bidi="ar-SA"/>
        </w:rPr>
        <w:t>等以最终公告或法院裁定为准。</w:t>
      </w:r>
    </w:p>
    <w:p w14:paraId="6A95F322">
      <w:pPr>
        <w:pStyle w:val="2"/>
        <w:keepNext w:val="0"/>
        <w:keepLines w:val="0"/>
        <w:pageBreakBefore w:val="0"/>
        <w:widowControl/>
        <w:kinsoku/>
        <w:wordWrap/>
        <w:overflowPunct/>
        <w:topLinePunct w:val="0"/>
        <w:bidi w:val="0"/>
        <w:spacing w:after="0" w:line="560" w:lineRule="exact"/>
        <w:ind w:firstLine="679" w:firstLineChars="200"/>
        <w:rPr>
          <w:rFonts w:hint="eastAsia" w:ascii="仿宋" w:hAnsi="仿宋" w:eastAsia="仿宋" w:cs="仿宋"/>
          <w:b/>
          <w:bCs/>
          <w:snapToGrid w:val="0"/>
          <w:color w:val="000000"/>
          <w:spacing w:val="9"/>
          <w:kern w:val="0"/>
          <w:sz w:val="32"/>
          <w:szCs w:val="32"/>
          <w:lang w:val="en-US" w:eastAsia="zh-CN" w:bidi="ar-SA"/>
        </w:rPr>
      </w:pPr>
      <w:r>
        <w:rPr>
          <w:rFonts w:hint="eastAsia" w:ascii="仿宋" w:hAnsi="仿宋" w:eastAsia="仿宋" w:cs="仿宋"/>
          <w:b/>
          <w:bCs/>
          <w:snapToGrid w:val="0"/>
          <w:color w:val="000000"/>
          <w:spacing w:val="9"/>
          <w:kern w:val="0"/>
          <w:sz w:val="32"/>
          <w:szCs w:val="32"/>
          <w:lang w:val="en-US" w:eastAsia="zh-CN" w:bidi="ar-SA"/>
        </w:rPr>
        <w:t>二、重整投资方式</w:t>
      </w:r>
    </w:p>
    <w:p w14:paraId="5F302506">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本项目重整投资方式限定股权投资，投资人需提供资金用于清偿债务，并负责后续生产经营。</w:t>
      </w:r>
    </w:p>
    <w:p w14:paraId="0BB0C71B">
      <w:pPr>
        <w:pStyle w:val="2"/>
        <w:keepNext w:val="0"/>
        <w:keepLines w:val="0"/>
        <w:pageBreakBefore w:val="0"/>
        <w:widowControl/>
        <w:kinsoku/>
        <w:wordWrap/>
        <w:overflowPunct/>
        <w:topLinePunct w:val="0"/>
        <w:bidi w:val="0"/>
        <w:spacing w:after="0" w:line="560" w:lineRule="exact"/>
        <w:ind w:firstLine="679" w:firstLineChars="200"/>
        <w:rPr>
          <w:rFonts w:hint="default"/>
          <w:lang w:val="en-US" w:eastAsia="zh-CN"/>
        </w:rPr>
      </w:pPr>
      <w:r>
        <w:rPr>
          <w:rFonts w:hint="eastAsia" w:ascii="仿宋" w:hAnsi="仿宋" w:eastAsia="仿宋" w:cs="仿宋"/>
          <w:b/>
          <w:bCs/>
          <w:snapToGrid w:val="0"/>
          <w:color w:val="000000"/>
          <w:spacing w:val="9"/>
          <w:kern w:val="0"/>
          <w:sz w:val="32"/>
          <w:szCs w:val="32"/>
          <w:lang w:val="en-US" w:eastAsia="zh-CN" w:bidi="ar-SA"/>
        </w:rPr>
        <w:t>三、投资人报名条件</w:t>
      </w:r>
    </w:p>
    <w:p w14:paraId="4735922A">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（一）依法设立并有效存续的企业法人，企业应具备完备的组织架构及企业管理体系。</w:t>
      </w:r>
    </w:p>
    <w:p w14:paraId="6B86F8D9">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w:t>
      </w:r>
      <w:r>
        <w:rPr>
          <w:rFonts w:hint="eastAsia" w:ascii="仿宋" w:hAnsi="仿宋" w:eastAsia="仿宋" w:cs="仿宋"/>
          <w:b w:val="0"/>
          <w:bCs w:val="0"/>
          <w:snapToGrid w:val="0"/>
          <w:color w:val="000000"/>
          <w:spacing w:val="9"/>
          <w:kern w:val="0"/>
          <w:sz w:val="32"/>
          <w:szCs w:val="32"/>
          <w:lang w:val="en-US" w:eastAsia="zh-CN" w:bidi="ar-SA"/>
        </w:rPr>
        <w:t>二</w:t>
      </w:r>
      <w:r>
        <w:rPr>
          <w:rFonts w:hint="default" w:ascii="仿宋" w:hAnsi="仿宋" w:eastAsia="仿宋" w:cs="仿宋"/>
          <w:b w:val="0"/>
          <w:bCs w:val="0"/>
          <w:snapToGrid w:val="0"/>
          <w:color w:val="000000"/>
          <w:spacing w:val="9"/>
          <w:kern w:val="0"/>
          <w:sz w:val="32"/>
          <w:szCs w:val="32"/>
          <w:lang w:val="en-US" w:eastAsia="zh-CN" w:bidi="ar-SA"/>
        </w:rPr>
        <w:t>）意向投资人及其控股股东、实际控制人近三年未被市场监督管理机关列入“经营异常名录”或“严重违法失信企业名单”</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不存在欠缴税款记录</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未被人民法院列入“失信被执行人名单”或被采取限制高消费措施</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无犯罪记录</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无重大违法违规行为。</w:t>
      </w:r>
    </w:p>
    <w:p w14:paraId="5E56EF10">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w:t>
      </w:r>
      <w:r>
        <w:rPr>
          <w:rFonts w:hint="eastAsia" w:ascii="仿宋" w:hAnsi="仿宋" w:eastAsia="仿宋" w:cs="仿宋"/>
          <w:b w:val="0"/>
          <w:bCs w:val="0"/>
          <w:snapToGrid w:val="0"/>
          <w:color w:val="000000"/>
          <w:spacing w:val="9"/>
          <w:kern w:val="0"/>
          <w:sz w:val="32"/>
          <w:szCs w:val="32"/>
          <w:lang w:val="en-US" w:eastAsia="zh-CN" w:bidi="ar-SA"/>
        </w:rPr>
        <w:t>三</w:t>
      </w:r>
      <w:r>
        <w:rPr>
          <w:rFonts w:hint="default" w:ascii="仿宋" w:hAnsi="仿宋" w:eastAsia="仿宋" w:cs="仿宋"/>
          <w:b w:val="0"/>
          <w:bCs w:val="0"/>
          <w:snapToGrid w:val="0"/>
          <w:color w:val="000000"/>
          <w:spacing w:val="9"/>
          <w:kern w:val="0"/>
          <w:sz w:val="32"/>
          <w:szCs w:val="32"/>
          <w:lang w:val="en-US" w:eastAsia="zh-CN" w:bidi="ar-SA"/>
        </w:rPr>
        <w:t>）意向投资人有能力落实后期全部重整资金及项目</w:t>
      </w:r>
      <w:r>
        <w:rPr>
          <w:rFonts w:hint="eastAsia" w:ascii="仿宋" w:hAnsi="仿宋" w:eastAsia="仿宋" w:cs="仿宋"/>
          <w:b w:val="0"/>
          <w:bCs w:val="0"/>
          <w:snapToGrid w:val="0"/>
          <w:color w:val="000000"/>
          <w:spacing w:val="9"/>
          <w:kern w:val="0"/>
          <w:sz w:val="32"/>
          <w:szCs w:val="32"/>
          <w:lang w:val="en-US" w:eastAsia="zh-CN" w:bidi="ar-SA"/>
        </w:rPr>
        <w:t>运营资金</w:t>
      </w:r>
      <w:r>
        <w:rPr>
          <w:rFonts w:hint="default" w:ascii="仿宋" w:hAnsi="仿宋" w:eastAsia="仿宋" w:cs="仿宋"/>
          <w:b w:val="0"/>
          <w:bCs w:val="0"/>
          <w:snapToGrid w:val="0"/>
          <w:color w:val="000000"/>
          <w:spacing w:val="9"/>
          <w:kern w:val="0"/>
          <w:sz w:val="32"/>
          <w:szCs w:val="32"/>
          <w:lang w:val="en-US" w:eastAsia="zh-CN" w:bidi="ar-SA"/>
        </w:rPr>
        <w:t>，并缴纳</w:t>
      </w:r>
      <w:r>
        <w:rPr>
          <w:rFonts w:hint="eastAsia" w:ascii="仿宋" w:hAnsi="仿宋" w:eastAsia="仿宋" w:cs="仿宋"/>
          <w:b w:val="0"/>
          <w:bCs w:val="0"/>
          <w:snapToGrid w:val="0"/>
          <w:color w:val="000000"/>
          <w:spacing w:val="9"/>
          <w:kern w:val="0"/>
          <w:sz w:val="32"/>
          <w:szCs w:val="32"/>
          <w:lang w:val="en-US" w:eastAsia="zh-CN" w:bidi="ar-SA"/>
        </w:rPr>
        <w:t>报名保证金及履约保证金。</w:t>
      </w:r>
    </w:p>
    <w:p w14:paraId="123DBF14">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w:t>
      </w:r>
      <w:r>
        <w:rPr>
          <w:rFonts w:hint="eastAsia" w:ascii="仿宋" w:hAnsi="仿宋" w:eastAsia="仿宋" w:cs="仿宋"/>
          <w:b w:val="0"/>
          <w:bCs w:val="0"/>
          <w:snapToGrid w:val="0"/>
          <w:color w:val="000000"/>
          <w:spacing w:val="9"/>
          <w:kern w:val="0"/>
          <w:sz w:val="32"/>
          <w:szCs w:val="32"/>
          <w:lang w:val="en-US" w:eastAsia="zh-CN" w:bidi="ar-SA"/>
        </w:rPr>
        <w:t>四</w:t>
      </w:r>
      <w:r>
        <w:rPr>
          <w:rFonts w:hint="default" w:ascii="仿宋" w:hAnsi="仿宋" w:eastAsia="仿宋" w:cs="仿宋"/>
          <w:b w:val="0"/>
          <w:bCs w:val="0"/>
          <w:snapToGrid w:val="0"/>
          <w:color w:val="000000"/>
          <w:spacing w:val="9"/>
          <w:kern w:val="0"/>
          <w:sz w:val="32"/>
          <w:szCs w:val="32"/>
          <w:lang w:val="en-US" w:eastAsia="zh-CN" w:bidi="ar-SA"/>
        </w:rPr>
        <w:t>）意向投资人可自行组成联合体参与投资，投资联合体中投资者均应符合上述条件。组成联合体的各方不得再以自己名义单独或加入其他联合体参与本项目招募。</w:t>
      </w:r>
    </w:p>
    <w:p w14:paraId="7D0754DB">
      <w:pPr>
        <w:pStyle w:val="2"/>
        <w:keepNext w:val="0"/>
        <w:keepLines w:val="0"/>
        <w:pageBreakBefore w:val="0"/>
        <w:widowControl/>
        <w:kinsoku/>
        <w:wordWrap/>
        <w:overflowPunct/>
        <w:topLinePunct w:val="0"/>
        <w:bidi w:val="0"/>
        <w:spacing w:after="0" w:line="560" w:lineRule="exact"/>
        <w:ind w:firstLine="679" w:firstLineChars="200"/>
        <w:rPr>
          <w:rFonts w:hint="default" w:ascii="仿宋" w:hAnsi="仿宋" w:eastAsia="仿宋" w:cs="仿宋"/>
          <w:b/>
          <w:bCs/>
          <w:snapToGrid w:val="0"/>
          <w:color w:val="000000"/>
          <w:spacing w:val="9"/>
          <w:kern w:val="0"/>
          <w:sz w:val="32"/>
          <w:szCs w:val="32"/>
          <w:lang w:val="en-US" w:eastAsia="zh-CN" w:bidi="ar-SA"/>
        </w:rPr>
      </w:pPr>
      <w:r>
        <w:rPr>
          <w:rFonts w:hint="eastAsia" w:ascii="仿宋" w:hAnsi="仿宋" w:eastAsia="仿宋" w:cs="仿宋"/>
          <w:b/>
          <w:bCs/>
          <w:snapToGrid w:val="0"/>
          <w:color w:val="000000"/>
          <w:spacing w:val="9"/>
          <w:kern w:val="0"/>
          <w:sz w:val="32"/>
          <w:szCs w:val="32"/>
          <w:lang w:val="en-US" w:eastAsia="zh-CN" w:bidi="ar-SA"/>
        </w:rPr>
        <w:t>四、招募流程</w:t>
      </w:r>
    </w:p>
    <w:p w14:paraId="0FA3D367">
      <w:pPr>
        <w:pStyle w:val="2"/>
        <w:keepNext w:val="0"/>
        <w:keepLines w:val="0"/>
        <w:pageBreakBefore w:val="0"/>
        <w:widowControl/>
        <w:kinsoku/>
        <w:wordWrap/>
        <w:overflowPunct/>
        <w:topLinePunct w:val="0"/>
        <w:bidi w:val="0"/>
        <w:spacing w:after="0" w:line="560" w:lineRule="exact"/>
        <w:ind w:firstLine="679" w:firstLineChars="200"/>
        <w:rPr>
          <w:rFonts w:hint="default" w:ascii="仿宋" w:hAnsi="仿宋" w:eastAsia="仿宋" w:cs="仿宋"/>
          <w:b/>
          <w:bCs/>
          <w:snapToGrid w:val="0"/>
          <w:color w:val="000000"/>
          <w:spacing w:val="9"/>
          <w:kern w:val="0"/>
          <w:sz w:val="32"/>
          <w:szCs w:val="32"/>
          <w:lang w:val="en-US" w:eastAsia="zh-CN" w:bidi="ar-SA"/>
        </w:rPr>
      </w:pPr>
      <w:r>
        <w:rPr>
          <w:rFonts w:hint="default" w:ascii="仿宋" w:hAnsi="仿宋" w:eastAsia="仿宋" w:cs="仿宋"/>
          <w:b/>
          <w:bCs/>
          <w:snapToGrid w:val="0"/>
          <w:color w:val="000000"/>
          <w:spacing w:val="9"/>
          <w:kern w:val="0"/>
          <w:sz w:val="32"/>
          <w:szCs w:val="32"/>
          <w:lang w:val="en-US" w:eastAsia="zh-CN" w:bidi="ar-SA"/>
        </w:rPr>
        <w:t>（一）</w:t>
      </w:r>
      <w:r>
        <w:rPr>
          <w:rFonts w:hint="eastAsia" w:ascii="仿宋" w:hAnsi="仿宋" w:eastAsia="仿宋" w:cs="仿宋"/>
          <w:b/>
          <w:bCs/>
          <w:snapToGrid w:val="0"/>
          <w:color w:val="000000"/>
          <w:spacing w:val="9"/>
          <w:kern w:val="0"/>
          <w:sz w:val="32"/>
          <w:szCs w:val="32"/>
          <w:lang w:val="en-US" w:eastAsia="zh-CN" w:bidi="ar-SA"/>
        </w:rPr>
        <w:t>尽职调查</w:t>
      </w:r>
    </w:p>
    <w:p w14:paraId="49B38596">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意向投资人如需查阅、了解债务人的资产情况、财务审计、债权债务情况、经营情况等详细资料或进行尽职</w:t>
      </w:r>
      <w:r>
        <w:rPr>
          <w:rFonts w:hint="eastAsia" w:ascii="仿宋" w:hAnsi="仿宋" w:eastAsia="仿宋" w:cs="仿宋"/>
          <w:b w:val="0"/>
          <w:bCs w:val="0"/>
          <w:snapToGrid w:val="0"/>
          <w:color w:val="000000"/>
          <w:spacing w:val="9"/>
          <w:kern w:val="0"/>
          <w:sz w:val="32"/>
          <w:szCs w:val="32"/>
          <w:lang w:val="en-US" w:eastAsia="zh-CN" w:bidi="ar-SA"/>
        </w:rPr>
        <w:t>调查</w:t>
      </w:r>
      <w:r>
        <w:rPr>
          <w:rFonts w:hint="default" w:ascii="仿宋" w:hAnsi="仿宋" w:eastAsia="仿宋" w:cs="仿宋"/>
          <w:b w:val="0"/>
          <w:bCs w:val="0"/>
          <w:snapToGrid w:val="0"/>
          <w:color w:val="000000"/>
          <w:spacing w:val="9"/>
          <w:kern w:val="0"/>
          <w:sz w:val="32"/>
          <w:szCs w:val="32"/>
          <w:lang w:val="en-US" w:eastAsia="zh-CN" w:bidi="ar-SA"/>
        </w:rPr>
        <w:t>，可向</w:t>
      </w:r>
      <w:r>
        <w:rPr>
          <w:rFonts w:hint="eastAsia" w:ascii="仿宋" w:hAnsi="仿宋" w:eastAsia="仿宋" w:cs="仿宋"/>
          <w:b w:val="0"/>
          <w:bCs w:val="0"/>
          <w:snapToGrid w:val="0"/>
          <w:color w:val="000000"/>
          <w:spacing w:val="9"/>
          <w:kern w:val="0"/>
          <w:sz w:val="32"/>
          <w:szCs w:val="32"/>
          <w:lang w:val="en-US" w:eastAsia="zh-CN" w:bidi="ar-SA"/>
        </w:rPr>
        <w:t>预重整</w:t>
      </w:r>
      <w:r>
        <w:rPr>
          <w:rFonts w:hint="default" w:ascii="仿宋" w:hAnsi="仿宋" w:eastAsia="仿宋" w:cs="仿宋"/>
          <w:b w:val="0"/>
          <w:bCs w:val="0"/>
          <w:snapToGrid w:val="0"/>
          <w:color w:val="000000"/>
          <w:spacing w:val="9"/>
          <w:kern w:val="0"/>
          <w:sz w:val="32"/>
          <w:szCs w:val="32"/>
          <w:lang w:val="en-US" w:eastAsia="zh-CN" w:bidi="ar-SA"/>
        </w:rPr>
        <w:t>管理人提出</w:t>
      </w:r>
      <w:r>
        <w:rPr>
          <w:rFonts w:hint="eastAsia" w:ascii="仿宋" w:hAnsi="仿宋" w:eastAsia="仿宋" w:cs="仿宋"/>
          <w:b w:val="0"/>
          <w:bCs w:val="0"/>
          <w:snapToGrid w:val="0"/>
          <w:color w:val="000000"/>
          <w:spacing w:val="9"/>
          <w:kern w:val="0"/>
          <w:sz w:val="32"/>
          <w:szCs w:val="32"/>
          <w:lang w:val="en-US" w:eastAsia="zh-CN" w:bidi="ar-SA"/>
        </w:rPr>
        <w:t>书面尽调</w:t>
      </w:r>
      <w:r>
        <w:rPr>
          <w:rFonts w:hint="default" w:ascii="仿宋" w:hAnsi="仿宋" w:eastAsia="仿宋" w:cs="仿宋"/>
          <w:b w:val="0"/>
          <w:bCs w:val="0"/>
          <w:snapToGrid w:val="0"/>
          <w:color w:val="000000"/>
          <w:spacing w:val="9"/>
          <w:kern w:val="0"/>
          <w:sz w:val="32"/>
          <w:szCs w:val="32"/>
          <w:lang w:val="en-US" w:eastAsia="zh-CN" w:bidi="ar-SA"/>
        </w:rPr>
        <w:t>申请，并与</w:t>
      </w:r>
      <w:r>
        <w:rPr>
          <w:rFonts w:hint="eastAsia" w:ascii="仿宋" w:hAnsi="仿宋" w:eastAsia="仿宋" w:cs="仿宋"/>
          <w:b w:val="0"/>
          <w:bCs w:val="0"/>
          <w:snapToGrid w:val="0"/>
          <w:color w:val="000000"/>
          <w:spacing w:val="9"/>
          <w:kern w:val="0"/>
          <w:sz w:val="32"/>
          <w:szCs w:val="32"/>
          <w:lang w:val="en-US" w:eastAsia="zh-CN" w:bidi="ar-SA"/>
        </w:rPr>
        <w:t>预重整</w:t>
      </w:r>
      <w:r>
        <w:rPr>
          <w:rFonts w:hint="default" w:ascii="仿宋" w:hAnsi="仿宋" w:eastAsia="仿宋" w:cs="仿宋"/>
          <w:b w:val="0"/>
          <w:bCs w:val="0"/>
          <w:snapToGrid w:val="0"/>
          <w:color w:val="000000"/>
          <w:spacing w:val="9"/>
          <w:kern w:val="0"/>
          <w:sz w:val="32"/>
          <w:szCs w:val="32"/>
          <w:lang w:val="en-US" w:eastAsia="zh-CN" w:bidi="ar-SA"/>
        </w:rPr>
        <w:t>管理人签订《保密</w:t>
      </w:r>
      <w:r>
        <w:rPr>
          <w:rFonts w:hint="eastAsia" w:ascii="仿宋" w:hAnsi="仿宋" w:eastAsia="仿宋" w:cs="仿宋"/>
          <w:b w:val="0"/>
          <w:bCs w:val="0"/>
          <w:snapToGrid w:val="0"/>
          <w:color w:val="000000"/>
          <w:spacing w:val="9"/>
          <w:kern w:val="0"/>
          <w:sz w:val="32"/>
          <w:szCs w:val="32"/>
          <w:lang w:val="en-US" w:eastAsia="zh-CN" w:bidi="ar-SA"/>
        </w:rPr>
        <w:t>承诺函</w:t>
      </w:r>
      <w:r>
        <w:rPr>
          <w:rFonts w:hint="default" w:ascii="仿宋" w:hAnsi="仿宋" w:eastAsia="仿宋" w:cs="仿宋"/>
          <w:b w:val="0"/>
          <w:bCs w:val="0"/>
          <w:snapToGrid w:val="0"/>
          <w:color w:val="000000"/>
          <w:spacing w:val="9"/>
          <w:kern w:val="0"/>
          <w:sz w:val="32"/>
          <w:szCs w:val="32"/>
          <w:lang w:val="en-US" w:eastAsia="zh-CN" w:bidi="ar-SA"/>
        </w:rPr>
        <w:t>》。</w:t>
      </w:r>
      <w:r>
        <w:rPr>
          <w:rFonts w:hint="eastAsia" w:ascii="仿宋" w:hAnsi="仿宋" w:eastAsia="仿宋" w:cs="仿宋"/>
          <w:b w:val="0"/>
          <w:bCs w:val="0"/>
          <w:snapToGrid w:val="0"/>
          <w:color w:val="000000"/>
          <w:spacing w:val="9"/>
          <w:kern w:val="0"/>
          <w:sz w:val="32"/>
          <w:szCs w:val="32"/>
          <w:lang w:val="en-US" w:eastAsia="zh-CN" w:bidi="ar-SA"/>
        </w:rPr>
        <w:t>预重整</w:t>
      </w:r>
      <w:r>
        <w:rPr>
          <w:rFonts w:hint="default" w:ascii="仿宋" w:hAnsi="仿宋" w:eastAsia="仿宋" w:cs="仿宋"/>
          <w:b w:val="0"/>
          <w:bCs w:val="0"/>
          <w:snapToGrid w:val="0"/>
          <w:color w:val="000000"/>
          <w:spacing w:val="9"/>
          <w:kern w:val="0"/>
          <w:sz w:val="32"/>
          <w:szCs w:val="32"/>
          <w:lang w:val="en-US" w:eastAsia="zh-CN" w:bidi="ar-SA"/>
        </w:rPr>
        <w:t>管理人将予以必要的配合，提供相关资料，但意向投资人对尽调结果应自行承担法律责任。</w:t>
      </w:r>
    </w:p>
    <w:p w14:paraId="1C9DB190">
      <w:pPr>
        <w:pStyle w:val="2"/>
        <w:keepNext w:val="0"/>
        <w:keepLines w:val="0"/>
        <w:pageBreakBefore w:val="0"/>
        <w:widowControl/>
        <w:kinsoku/>
        <w:wordWrap/>
        <w:overflowPunct/>
        <w:topLinePunct w:val="0"/>
        <w:bidi w:val="0"/>
        <w:spacing w:after="0" w:line="560" w:lineRule="exact"/>
        <w:ind w:firstLine="679" w:firstLineChars="200"/>
        <w:rPr>
          <w:rFonts w:hint="default" w:ascii="仿宋" w:hAnsi="仿宋" w:eastAsia="仿宋" w:cs="仿宋"/>
          <w:b/>
          <w:bCs/>
          <w:snapToGrid w:val="0"/>
          <w:color w:val="000000"/>
          <w:spacing w:val="9"/>
          <w:kern w:val="0"/>
          <w:sz w:val="32"/>
          <w:szCs w:val="32"/>
          <w:lang w:val="en-US" w:eastAsia="zh-CN" w:bidi="ar-SA"/>
        </w:rPr>
      </w:pPr>
      <w:r>
        <w:rPr>
          <w:rFonts w:hint="default" w:ascii="仿宋" w:hAnsi="仿宋" w:eastAsia="仿宋" w:cs="仿宋"/>
          <w:b/>
          <w:bCs/>
          <w:snapToGrid w:val="0"/>
          <w:color w:val="000000"/>
          <w:spacing w:val="9"/>
          <w:kern w:val="0"/>
          <w:sz w:val="32"/>
          <w:szCs w:val="32"/>
          <w:lang w:val="en-US" w:eastAsia="zh-CN" w:bidi="ar-SA"/>
        </w:rPr>
        <w:t>（</w:t>
      </w:r>
      <w:r>
        <w:rPr>
          <w:rFonts w:hint="eastAsia" w:ascii="仿宋" w:hAnsi="仿宋" w:eastAsia="仿宋" w:cs="仿宋"/>
          <w:b/>
          <w:bCs/>
          <w:snapToGrid w:val="0"/>
          <w:color w:val="000000"/>
          <w:spacing w:val="9"/>
          <w:kern w:val="0"/>
          <w:sz w:val="32"/>
          <w:szCs w:val="32"/>
          <w:lang w:val="en-US" w:eastAsia="zh-CN" w:bidi="ar-SA"/>
        </w:rPr>
        <w:t>二</w:t>
      </w:r>
      <w:r>
        <w:rPr>
          <w:rFonts w:hint="default" w:ascii="仿宋" w:hAnsi="仿宋" w:eastAsia="仿宋" w:cs="仿宋"/>
          <w:b/>
          <w:bCs/>
          <w:snapToGrid w:val="0"/>
          <w:color w:val="000000"/>
          <w:spacing w:val="9"/>
          <w:kern w:val="0"/>
          <w:sz w:val="32"/>
          <w:szCs w:val="32"/>
          <w:lang w:val="en-US" w:eastAsia="zh-CN" w:bidi="ar-SA"/>
        </w:rPr>
        <w:t>）</w:t>
      </w:r>
      <w:r>
        <w:rPr>
          <w:rFonts w:hint="eastAsia" w:ascii="仿宋" w:hAnsi="仿宋" w:eastAsia="仿宋" w:cs="仿宋"/>
          <w:b/>
          <w:bCs/>
          <w:snapToGrid w:val="0"/>
          <w:color w:val="000000"/>
          <w:spacing w:val="9"/>
          <w:kern w:val="0"/>
          <w:sz w:val="32"/>
          <w:szCs w:val="32"/>
          <w:lang w:val="en-US" w:eastAsia="zh-CN" w:bidi="ar-SA"/>
        </w:rPr>
        <w:t>报名阶段</w:t>
      </w:r>
    </w:p>
    <w:p w14:paraId="63D3CD53">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意向投资人尽职调查完成后，</w:t>
      </w:r>
      <w:r>
        <w:rPr>
          <w:rFonts w:hint="eastAsia" w:ascii="仿宋" w:hAnsi="仿宋" w:eastAsia="仿宋" w:cs="仿宋"/>
          <w:b w:val="0"/>
          <w:bCs w:val="0"/>
          <w:snapToGrid w:val="0"/>
          <w:color w:val="000000"/>
          <w:spacing w:val="9"/>
          <w:kern w:val="0"/>
          <w:sz w:val="32"/>
          <w:szCs w:val="32"/>
          <w:lang w:val="en-US" w:eastAsia="zh-CN" w:bidi="ar-SA"/>
        </w:rPr>
        <w:t>应</w:t>
      </w:r>
      <w:r>
        <w:rPr>
          <w:rFonts w:hint="default" w:ascii="仿宋" w:hAnsi="仿宋" w:eastAsia="仿宋" w:cs="仿宋"/>
          <w:b w:val="0"/>
          <w:bCs w:val="0"/>
          <w:snapToGrid w:val="0"/>
          <w:color w:val="000000"/>
          <w:spacing w:val="9"/>
          <w:kern w:val="0"/>
          <w:sz w:val="32"/>
          <w:szCs w:val="32"/>
          <w:lang w:val="en-US" w:eastAsia="zh-CN" w:bidi="ar-SA"/>
        </w:rPr>
        <w:t>自行决定是否继续参与</w:t>
      </w:r>
      <w:r>
        <w:rPr>
          <w:rFonts w:hint="eastAsia" w:ascii="仿宋" w:hAnsi="仿宋" w:eastAsia="仿宋" w:cs="仿宋"/>
          <w:b w:val="0"/>
          <w:bCs w:val="0"/>
          <w:snapToGrid w:val="0"/>
          <w:color w:val="000000"/>
          <w:spacing w:val="9"/>
          <w:kern w:val="0"/>
          <w:sz w:val="32"/>
          <w:szCs w:val="32"/>
          <w:lang w:val="en-US" w:eastAsia="zh-CN" w:bidi="ar-SA"/>
        </w:rPr>
        <w:t>四川云集公司重整投资</w:t>
      </w:r>
      <w:r>
        <w:rPr>
          <w:rFonts w:hint="default" w:ascii="仿宋" w:hAnsi="仿宋" w:eastAsia="仿宋" w:cs="仿宋"/>
          <w:b w:val="0"/>
          <w:bCs w:val="0"/>
          <w:snapToGrid w:val="0"/>
          <w:color w:val="000000"/>
          <w:spacing w:val="9"/>
          <w:kern w:val="0"/>
          <w:sz w:val="32"/>
          <w:szCs w:val="32"/>
          <w:lang w:val="en-US" w:eastAsia="zh-CN" w:bidi="ar-SA"/>
        </w:rPr>
        <w:t>。决定参与投资的意向投资人，应当在报名截止时间</w:t>
      </w:r>
      <w:r>
        <w:rPr>
          <w:rFonts w:hint="eastAsia" w:ascii="仿宋" w:hAnsi="仿宋" w:eastAsia="仿宋" w:cs="仿宋"/>
          <w:b w:val="0"/>
          <w:bCs w:val="0"/>
          <w:snapToGrid w:val="0"/>
          <w:color w:val="000000"/>
          <w:spacing w:val="9"/>
          <w:kern w:val="0"/>
          <w:sz w:val="32"/>
          <w:szCs w:val="32"/>
          <w:lang w:val="en-US" w:eastAsia="zh-CN" w:bidi="ar-SA"/>
        </w:rPr>
        <w:t>（2026年3月8日17:00）</w:t>
      </w:r>
      <w:r>
        <w:rPr>
          <w:rFonts w:hint="default" w:ascii="仿宋" w:hAnsi="仿宋" w:eastAsia="仿宋" w:cs="仿宋"/>
          <w:b w:val="0"/>
          <w:bCs w:val="0"/>
          <w:snapToGrid w:val="0"/>
          <w:color w:val="000000"/>
          <w:spacing w:val="9"/>
          <w:kern w:val="0"/>
          <w:sz w:val="32"/>
          <w:szCs w:val="32"/>
          <w:lang w:val="en-US" w:eastAsia="zh-CN" w:bidi="ar-SA"/>
        </w:rPr>
        <w:t>前向</w:t>
      </w:r>
      <w:r>
        <w:rPr>
          <w:rFonts w:hint="eastAsia" w:ascii="仿宋" w:hAnsi="仿宋" w:eastAsia="仿宋" w:cs="仿宋"/>
          <w:b w:val="0"/>
          <w:bCs w:val="0"/>
          <w:snapToGrid w:val="0"/>
          <w:color w:val="000000"/>
          <w:spacing w:val="9"/>
          <w:kern w:val="0"/>
          <w:sz w:val="32"/>
          <w:szCs w:val="32"/>
          <w:lang w:val="en-US" w:eastAsia="zh-CN" w:bidi="ar-SA"/>
        </w:rPr>
        <w:t>预重整</w:t>
      </w:r>
      <w:r>
        <w:rPr>
          <w:rFonts w:hint="default" w:ascii="仿宋" w:hAnsi="仿宋" w:eastAsia="仿宋" w:cs="仿宋"/>
          <w:b w:val="0"/>
          <w:bCs w:val="0"/>
          <w:snapToGrid w:val="0"/>
          <w:color w:val="000000"/>
          <w:spacing w:val="9"/>
          <w:kern w:val="0"/>
          <w:sz w:val="32"/>
          <w:szCs w:val="32"/>
          <w:lang w:val="en-US" w:eastAsia="zh-CN" w:bidi="ar-SA"/>
        </w:rPr>
        <w:t>管理人递交</w:t>
      </w:r>
      <w:r>
        <w:rPr>
          <w:rFonts w:hint="eastAsia" w:ascii="仿宋" w:hAnsi="仿宋" w:eastAsia="仿宋" w:cs="仿宋"/>
          <w:b w:val="0"/>
          <w:bCs w:val="0"/>
          <w:snapToGrid w:val="0"/>
          <w:color w:val="000000"/>
          <w:spacing w:val="9"/>
          <w:kern w:val="0"/>
          <w:sz w:val="32"/>
          <w:szCs w:val="32"/>
          <w:lang w:val="en-US" w:eastAsia="zh-CN" w:bidi="ar-SA"/>
        </w:rPr>
        <w:t>报名资料并缴纳报名保证金，具体要求如下：</w:t>
      </w:r>
    </w:p>
    <w:p w14:paraId="41F2AE64">
      <w:pPr>
        <w:pStyle w:val="2"/>
        <w:keepNext w:val="0"/>
        <w:keepLines w:val="0"/>
        <w:pageBreakBefore w:val="0"/>
        <w:widowControl/>
        <w:kinsoku/>
        <w:wordWrap/>
        <w:overflowPunct/>
        <w:topLinePunct w:val="0"/>
        <w:bidi w:val="0"/>
        <w:spacing w:after="0" w:line="560" w:lineRule="exact"/>
        <w:ind w:firstLine="679" w:firstLineChars="200"/>
        <w:rPr>
          <w:rFonts w:hint="default"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bCs/>
          <w:snapToGrid w:val="0"/>
          <w:color w:val="000000"/>
          <w:spacing w:val="9"/>
          <w:kern w:val="0"/>
          <w:sz w:val="32"/>
          <w:szCs w:val="32"/>
          <w:lang w:val="en-US" w:eastAsia="zh-CN" w:bidi="ar-SA"/>
        </w:rPr>
        <w:t>1.提交报名资料</w:t>
      </w:r>
    </w:p>
    <w:p w14:paraId="7CE6A4AF">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意向投资人提交的投资方案应当包含以下内容：</w:t>
      </w:r>
    </w:p>
    <w:p w14:paraId="35C6C521">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1）投资意向书，包括但不限于公司简介、股权结构、公司业绩、经营范围等。若为联合体，需提交形成联合体的书面协议或承诺，说明各联合体成员的角色分工等，联合体成员应书面承诺彼此承担不可撤销的连带担保责任。</w:t>
      </w:r>
    </w:p>
    <w:p w14:paraId="5F96CEB3">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（2）</w:t>
      </w:r>
      <w:r>
        <w:rPr>
          <w:rFonts w:hint="default" w:ascii="仿宋" w:hAnsi="仿宋" w:eastAsia="仿宋" w:cs="仿宋"/>
          <w:b w:val="0"/>
          <w:bCs w:val="0"/>
          <w:snapToGrid w:val="0"/>
          <w:color w:val="000000"/>
          <w:spacing w:val="9"/>
          <w:kern w:val="0"/>
          <w:sz w:val="32"/>
          <w:szCs w:val="32"/>
          <w:lang w:val="en-US" w:eastAsia="zh-CN" w:bidi="ar-SA"/>
        </w:rPr>
        <w:t>意向投资人</w:t>
      </w:r>
      <w:r>
        <w:rPr>
          <w:rFonts w:hint="eastAsia" w:ascii="仿宋" w:hAnsi="仿宋" w:eastAsia="仿宋" w:cs="仿宋"/>
          <w:b w:val="0"/>
          <w:bCs w:val="0"/>
          <w:snapToGrid w:val="0"/>
          <w:color w:val="000000"/>
          <w:spacing w:val="9"/>
          <w:kern w:val="0"/>
          <w:sz w:val="32"/>
          <w:szCs w:val="32"/>
          <w:lang w:val="en-US" w:eastAsia="zh-CN" w:bidi="ar-SA"/>
        </w:rPr>
        <w:t>主体资格资料，包括</w:t>
      </w:r>
      <w:r>
        <w:rPr>
          <w:rFonts w:hint="default" w:ascii="仿宋" w:hAnsi="仿宋" w:eastAsia="仿宋" w:cs="仿宋"/>
          <w:b w:val="0"/>
          <w:bCs w:val="0"/>
          <w:snapToGrid w:val="0"/>
          <w:color w:val="000000"/>
          <w:spacing w:val="9"/>
          <w:kern w:val="0"/>
          <w:sz w:val="32"/>
          <w:szCs w:val="32"/>
          <w:lang w:val="en-US" w:eastAsia="zh-CN" w:bidi="ar-SA"/>
        </w:rPr>
        <w:t>营业执照副本复印件、法定代表人身份证明书原件及身份证复印件、公司现行章程复印件</w:t>
      </w:r>
      <w:r>
        <w:rPr>
          <w:rFonts w:hint="eastAsia" w:ascii="仿宋" w:hAnsi="仿宋" w:eastAsia="仿宋" w:cs="仿宋"/>
          <w:b w:val="0"/>
          <w:bCs w:val="0"/>
          <w:snapToGrid w:val="0"/>
          <w:color w:val="000000"/>
          <w:spacing w:val="9"/>
          <w:kern w:val="0"/>
          <w:sz w:val="32"/>
          <w:szCs w:val="32"/>
          <w:lang w:val="en-US" w:eastAsia="zh-CN" w:bidi="ar-SA"/>
        </w:rPr>
        <w:t>。</w:t>
      </w:r>
    </w:p>
    <w:p w14:paraId="64276CCC">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（3）股东会/董事会决议等有权决策机构同意意向投资的相关决策文件原件。</w:t>
      </w:r>
    </w:p>
    <w:p w14:paraId="33FDE371">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4）意向投资人及其控股股东、实际控制人在近三年未被市场监督管理机关列入“经营异常名录”或“严重违法失信企业名单”、不存在欠缴税款记录、未被人民法院列入“失信被执行人名单”或被采取限制高消费措施、无犯罪记录、无重大违法违规行为的承诺书。</w:t>
      </w:r>
    </w:p>
    <w:p w14:paraId="0CCE7069">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（5）资金来源及证明，包括但不限于意向投资人自有账户资金流水及余额（加盖银行公章）、投资人可变现资产证明文件等。</w:t>
      </w:r>
    </w:p>
    <w:p w14:paraId="01BAD606">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（6）</w:t>
      </w:r>
      <w:r>
        <w:rPr>
          <w:rFonts w:hint="default" w:ascii="仿宋" w:hAnsi="仿宋" w:eastAsia="仿宋" w:cs="仿宋"/>
          <w:b w:val="0"/>
          <w:bCs w:val="0"/>
          <w:snapToGrid w:val="0"/>
          <w:color w:val="000000"/>
          <w:spacing w:val="9"/>
          <w:kern w:val="0"/>
          <w:sz w:val="32"/>
          <w:szCs w:val="32"/>
          <w:lang w:val="en-US" w:eastAsia="zh-CN" w:bidi="ar-SA"/>
        </w:rPr>
        <w:t>经办人或受托人姓名、授权范围</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受托人身份证复印件</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联系电话、电子邮箱、通信地址、送达地址确认书</w:t>
      </w:r>
      <w:r>
        <w:rPr>
          <w:rFonts w:hint="eastAsia" w:ascii="仿宋" w:hAnsi="仿宋" w:eastAsia="仿宋" w:cs="仿宋"/>
          <w:b w:val="0"/>
          <w:bCs w:val="0"/>
          <w:snapToGrid w:val="0"/>
          <w:color w:val="000000"/>
          <w:spacing w:val="9"/>
          <w:kern w:val="0"/>
          <w:sz w:val="32"/>
          <w:szCs w:val="32"/>
          <w:lang w:val="en-US" w:eastAsia="zh-CN" w:bidi="ar-SA"/>
        </w:rPr>
        <w:t>。</w:t>
      </w:r>
    </w:p>
    <w:p w14:paraId="3C51392A">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（7）意向投资人认为其他有必要提供的材料。</w:t>
      </w:r>
    </w:p>
    <w:p w14:paraId="313F1578">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报名材料壹式贰份（一正一副），均应加盖报名者印章并由法定代表人或授权委托人签字，整套加盖骑缝章；同时需将</w:t>
      </w:r>
      <w:r>
        <w:rPr>
          <w:rFonts w:hint="eastAsia" w:ascii="仿宋" w:hAnsi="仿宋" w:eastAsia="仿宋" w:cs="仿宋"/>
          <w:b w:val="0"/>
          <w:bCs w:val="0"/>
          <w:snapToGrid w:val="0"/>
          <w:color w:val="000000"/>
          <w:spacing w:val="9"/>
          <w:kern w:val="0"/>
          <w:sz w:val="32"/>
          <w:szCs w:val="32"/>
          <w:lang w:val="en-US" w:eastAsia="zh-CN" w:bidi="ar-SA"/>
        </w:rPr>
        <w:t>报名资料</w:t>
      </w:r>
      <w:r>
        <w:rPr>
          <w:rFonts w:hint="default" w:ascii="仿宋" w:hAnsi="仿宋" w:eastAsia="仿宋" w:cs="仿宋"/>
          <w:b w:val="0"/>
          <w:bCs w:val="0"/>
          <w:snapToGrid w:val="0"/>
          <w:color w:val="000000"/>
          <w:spacing w:val="9"/>
          <w:kern w:val="0"/>
          <w:sz w:val="32"/>
          <w:szCs w:val="32"/>
          <w:lang w:val="en-US" w:eastAsia="zh-CN" w:bidi="ar-SA"/>
        </w:rPr>
        <w:t>电子扫描件发送至</w:t>
      </w:r>
      <w:r>
        <w:rPr>
          <w:rFonts w:hint="eastAsia" w:ascii="仿宋" w:hAnsi="仿宋" w:eastAsia="仿宋" w:cs="仿宋"/>
          <w:b w:val="0"/>
          <w:bCs w:val="0"/>
          <w:snapToGrid w:val="0"/>
          <w:color w:val="000000"/>
          <w:spacing w:val="9"/>
          <w:kern w:val="0"/>
          <w:sz w:val="32"/>
          <w:szCs w:val="32"/>
          <w:lang w:val="en-US" w:eastAsia="zh-CN" w:bidi="ar-SA"/>
        </w:rPr>
        <w:t>预重整</w:t>
      </w:r>
      <w:r>
        <w:rPr>
          <w:rFonts w:hint="default" w:ascii="仿宋" w:hAnsi="仿宋" w:eastAsia="仿宋" w:cs="仿宋"/>
          <w:b w:val="0"/>
          <w:bCs w:val="0"/>
          <w:snapToGrid w:val="0"/>
          <w:color w:val="000000"/>
          <w:spacing w:val="9"/>
          <w:kern w:val="0"/>
          <w:sz w:val="32"/>
          <w:szCs w:val="32"/>
          <w:lang w:val="en-US" w:eastAsia="zh-CN" w:bidi="ar-SA"/>
        </w:rPr>
        <w:t>管理人邮箱。</w:t>
      </w:r>
    </w:p>
    <w:p w14:paraId="32EF4793">
      <w:pPr>
        <w:pStyle w:val="2"/>
        <w:keepNext w:val="0"/>
        <w:keepLines w:val="0"/>
        <w:pageBreakBefore w:val="0"/>
        <w:widowControl/>
        <w:kinsoku/>
        <w:wordWrap/>
        <w:overflowPunct/>
        <w:topLinePunct w:val="0"/>
        <w:bidi w:val="0"/>
        <w:spacing w:after="0" w:line="560" w:lineRule="exact"/>
        <w:ind w:firstLine="679" w:firstLineChars="200"/>
        <w:rPr>
          <w:rFonts w:hint="default" w:ascii="仿宋" w:hAnsi="仿宋" w:eastAsia="仿宋" w:cs="仿宋"/>
          <w:b/>
          <w:bCs/>
          <w:snapToGrid w:val="0"/>
          <w:color w:val="000000"/>
          <w:spacing w:val="9"/>
          <w:kern w:val="0"/>
          <w:sz w:val="32"/>
          <w:szCs w:val="32"/>
          <w:lang w:val="en-US" w:eastAsia="zh-CN" w:bidi="ar-SA"/>
        </w:rPr>
      </w:pPr>
      <w:r>
        <w:rPr>
          <w:rFonts w:hint="eastAsia" w:ascii="仿宋" w:hAnsi="仿宋" w:eastAsia="仿宋" w:cs="仿宋"/>
          <w:b/>
          <w:bCs/>
          <w:snapToGrid w:val="0"/>
          <w:color w:val="000000"/>
          <w:spacing w:val="9"/>
          <w:kern w:val="0"/>
          <w:sz w:val="32"/>
          <w:szCs w:val="32"/>
          <w:lang w:val="en-US" w:eastAsia="zh-CN" w:bidi="ar-SA"/>
        </w:rPr>
        <w:t>2.报名保证金</w:t>
      </w:r>
    </w:p>
    <w:p w14:paraId="74D457AA">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u w:val="none"/>
          <w:lang w:val="en-US" w:eastAsia="zh-CN" w:bidi="ar-SA"/>
        </w:rPr>
        <w:t>本项目报名保证金为</w:t>
      </w:r>
      <w:r>
        <w:rPr>
          <w:rFonts w:hint="eastAsia" w:ascii="仿宋" w:hAnsi="仿宋" w:eastAsia="仿宋" w:cs="仿宋"/>
          <w:b/>
          <w:bCs/>
          <w:snapToGrid w:val="0"/>
          <w:color w:val="000000"/>
          <w:spacing w:val="9"/>
          <w:kern w:val="0"/>
          <w:sz w:val="32"/>
          <w:szCs w:val="32"/>
          <w:u w:val="single"/>
          <w:lang w:val="en-US" w:eastAsia="zh-CN" w:bidi="ar-SA"/>
        </w:rPr>
        <w:t>人民币100万元</w:t>
      </w:r>
      <w:r>
        <w:rPr>
          <w:rFonts w:hint="eastAsia" w:ascii="仿宋" w:hAnsi="仿宋" w:eastAsia="仿宋" w:cs="仿宋"/>
          <w:b w:val="0"/>
          <w:bCs w:val="0"/>
          <w:snapToGrid w:val="0"/>
          <w:color w:val="000000"/>
          <w:spacing w:val="9"/>
          <w:kern w:val="0"/>
          <w:sz w:val="32"/>
          <w:szCs w:val="32"/>
          <w:u w:val="none"/>
          <w:lang w:val="en-US" w:eastAsia="zh-CN" w:bidi="ar-SA"/>
        </w:rPr>
        <w:t>。</w:t>
      </w:r>
      <w:r>
        <w:rPr>
          <w:rFonts w:hint="eastAsia" w:ascii="仿宋" w:hAnsi="仿宋" w:eastAsia="仿宋" w:cs="仿宋"/>
          <w:b w:val="0"/>
          <w:bCs w:val="0"/>
          <w:snapToGrid w:val="0"/>
          <w:color w:val="000000"/>
          <w:spacing w:val="9"/>
          <w:kern w:val="0"/>
          <w:sz w:val="32"/>
          <w:szCs w:val="32"/>
          <w:lang w:val="en-US" w:eastAsia="zh-CN" w:bidi="ar-SA"/>
        </w:rPr>
        <w:t>意向投资人应于</w:t>
      </w:r>
      <w:r>
        <w:rPr>
          <w:rFonts w:hint="default" w:ascii="仿宋" w:hAnsi="仿宋" w:eastAsia="仿宋" w:cs="仿宋"/>
          <w:b w:val="0"/>
          <w:bCs w:val="0"/>
          <w:snapToGrid w:val="0"/>
          <w:color w:val="000000"/>
          <w:spacing w:val="9"/>
          <w:kern w:val="0"/>
          <w:sz w:val="32"/>
          <w:szCs w:val="32"/>
          <w:lang w:val="en-US" w:eastAsia="zh-CN" w:bidi="ar-SA"/>
        </w:rPr>
        <w:t>报名期限内</w:t>
      </w:r>
      <w:r>
        <w:rPr>
          <w:rFonts w:hint="eastAsia" w:ascii="仿宋" w:hAnsi="仿宋" w:eastAsia="仿宋" w:cs="仿宋"/>
          <w:b w:val="0"/>
          <w:bCs w:val="0"/>
          <w:snapToGrid w:val="0"/>
          <w:color w:val="000000"/>
          <w:spacing w:val="9"/>
          <w:kern w:val="0"/>
          <w:sz w:val="32"/>
          <w:szCs w:val="32"/>
          <w:lang w:val="en-US" w:eastAsia="zh-CN" w:bidi="ar-SA"/>
        </w:rPr>
        <w:t>提交报名资料，并通过意向投资人账户足额支付报名保证金至预重整管理人指定银行账户。银行账户信息如下：</w:t>
      </w:r>
    </w:p>
    <w:p w14:paraId="0D20B700">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户名：四川豪诚企业清算事务所有限公司</w:t>
      </w:r>
    </w:p>
    <w:p w14:paraId="319009B7">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账号：4402208019100317522</w:t>
      </w:r>
    </w:p>
    <w:p w14:paraId="21800303">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开户行：中国工商银行成都春熙路步行街支行</w:t>
      </w:r>
    </w:p>
    <w:p w14:paraId="7B2FE2AD">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u w:val="none"/>
          <w:lang w:val="en-US" w:eastAsia="zh-CN" w:bidi="ar-SA"/>
        </w:rPr>
        <w:t>报名保证金</w:t>
      </w:r>
      <w:r>
        <w:rPr>
          <w:rFonts w:hint="eastAsia" w:ascii="仿宋" w:hAnsi="仿宋" w:eastAsia="仿宋" w:cs="仿宋"/>
          <w:b w:val="0"/>
          <w:bCs w:val="0"/>
          <w:snapToGrid w:val="0"/>
          <w:color w:val="000000"/>
          <w:spacing w:val="9"/>
          <w:kern w:val="0"/>
          <w:sz w:val="32"/>
          <w:szCs w:val="32"/>
          <w:lang w:val="en-US" w:eastAsia="zh-CN" w:bidi="ar-SA"/>
        </w:rPr>
        <w:t>仅作为彰显意向投资人的诚意及投资实力而设立，在转化为履约保证金前不具备法律上的强制约束力，后悔参与的意向投资人在支付后可以随时要求预重整管理人无息退回。</w:t>
      </w:r>
    </w:p>
    <w:p w14:paraId="19E7A982">
      <w:pPr>
        <w:pStyle w:val="2"/>
        <w:keepNext w:val="0"/>
        <w:keepLines w:val="0"/>
        <w:pageBreakBefore w:val="0"/>
        <w:widowControl/>
        <w:kinsoku/>
        <w:wordWrap/>
        <w:overflowPunct/>
        <w:topLinePunct w:val="0"/>
        <w:bidi w:val="0"/>
        <w:spacing w:after="0" w:line="560" w:lineRule="exact"/>
        <w:ind w:firstLine="679" w:firstLineChars="200"/>
        <w:rPr>
          <w:rFonts w:hint="default" w:ascii="仿宋" w:hAnsi="仿宋" w:eastAsia="仿宋" w:cs="仿宋"/>
          <w:b/>
          <w:bCs/>
          <w:snapToGrid w:val="0"/>
          <w:color w:val="000000"/>
          <w:spacing w:val="9"/>
          <w:kern w:val="0"/>
          <w:sz w:val="32"/>
          <w:szCs w:val="32"/>
          <w:lang w:val="en-US" w:eastAsia="zh-CN" w:bidi="ar-SA"/>
        </w:rPr>
      </w:pPr>
      <w:r>
        <w:rPr>
          <w:rFonts w:hint="eastAsia" w:ascii="仿宋" w:hAnsi="仿宋" w:eastAsia="仿宋" w:cs="仿宋"/>
          <w:b/>
          <w:bCs/>
          <w:snapToGrid w:val="0"/>
          <w:color w:val="000000"/>
          <w:spacing w:val="9"/>
          <w:kern w:val="0"/>
          <w:sz w:val="32"/>
          <w:szCs w:val="32"/>
          <w:lang w:val="en-US" w:eastAsia="zh-CN" w:bidi="ar-SA"/>
        </w:rPr>
        <w:t>（三）遴选阶段</w:t>
      </w:r>
    </w:p>
    <w:p w14:paraId="1C063850">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报名时间截止后，预重整管理人将及时在全国企业破产重整案件信息网上公布意向投资人报名结果。成功报名的意向投资人应于2026年3月15日17:00前提交投资方案。投资方案</w:t>
      </w:r>
      <w:r>
        <w:rPr>
          <w:rFonts w:hint="default" w:ascii="仿宋" w:hAnsi="仿宋" w:eastAsia="仿宋" w:cs="仿宋"/>
          <w:b w:val="0"/>
          <w:bCs w:val="0"/>
          <w:snapToGrid w:val="0"/>
          <w:color w:val="000000"/>
          <w:spacing w:val="9"/>
          <w:kern w:val="0"/>
          <w:sz w:val="32"/>
          <w:szCs w:val="32"/>
          <w:lang w:val="en-US" w:eastAsia="zh-CN" w:bidi="ar-SA"/>
        </w:rPr>
        <w:t>壹式贰份（一正一副），均应加盖报名者印章并由法定代表人或授权委托人签字，整套加盖骑缝章；同时需将</w:t>
      </w:r>
      <w:r>
        <w:rPr>
          <w:rFonts w:hint="eastAsia" w:ascii="仿宋" w:hAnsi="仿宋" w:eastAsia="仿宋" w:cs="仿宋"/>
          <w:b w:val="0"/>
          <w:bCs w:val="0"/>
          <w:snapToGrid w:val="0"/>
          <w:color w:val="000000"/>
          <w:spacing w:val="9"/>
          <w:kern w:val="0"/>
          <w:sz w:val="32"/>
          <w:szCs w:val="32"/>
          <w:lang w:val="en-US" w:eastAsia="zh-CN" w:bidi="ar-SA"/>
        </w:rPr>
        <w:t>投资方案</w:t>
      </w:r>
      <w:r>
        <w:rPr>
          <w:rFonts w:hint="default" w:ascii="仿宋" w:hAnsi="仿宋" w:eastAsia="仿宋" w:cs="仿宋"/>
          <w:b w:val="0"/>
          <w:bCs w:val="0"/>
          <w:snapToGrid w:val="0"/>
          <w:color w:val="000000"/>
          <w:spacing w:val="9"/>
          <w:kern w:val="0"/>
          <w:sz w:val="32"/>
          <w:szCs w:val="32"/>
          <w:lang w:val="en-US" w:eastAsia="zh-CN" w:bidi="ar-SA"/>
        </w:rPr>
        <w:t>电子扫描件发送至</w:t>
      </w:r>
      <w:r>
        <w:rPr>
          <w:rFonts w:hint="eastAsia" w:ascii="仿宋" w:hAnsi="仿宋" w:eastAsia="仿宋" w:cs="仿宋"/>
          <w:b w:val="0"/>
          <w:bCs w:val="0"/>
          <w:snapToGrid w:val="0"/>
          <w:color w:val="000000"/>
          <w:spacing w:val="9"/>
          <w:kern w:val="0"/>
          <w:sz w:val="32"/>
          <w:szCs w:val="32"/>
          <w:lang w:val="en-US" w:eastAsia="zh-CN" w:bidi="ar-SA"/>
        </w:rPr>
        <w:t>预重整</w:t>
      </w:r>
      <w:r>
        <w:rPr>
          <w:rFonts w:hint="default" w:ascii="仿宋" w:hAnsi="仿宋" w:eastAsia="仿宋" w:cs="仿宋"/>
          <w:b w:val="0"/>
          <w:bCs w:val="0"/>
          <w:snapToGrid w:val="0"/>
          <w:color w:val="000000"/>
          <w:spacing w:val="9"/>
          <w:kern w:val="0"/>
          <w:sz w:val="32"/>
          <w:szCs w:val="32"/>
          <w:lang w:val="en-US" w:eastAsia="zh-CN" w:bidi="ar-SA"/>
        </w:rPr>
        <w:t>管理人邮箱。</w:t>
      </w:r>
    </w:p>
    <w:p w14:paraId="612CC753">
      <w:pPr>
        <w:pStyle w:val="2"/>
        <w:keepNext w:val="0"/>
        <w:keepLines w:val="0"/>
        <w:pageBreakBefore w:val="0"/>
        <w:widowControl/>
        <w:kinsoku/>
        <w:wordWrap/>
        <w:overflowPunct/>
        <w:topLinePunct w:val="0"/>
        <w:bidi w:val="0"/>
        <w:spacing w:after="0" w:line="560" w:lineRule="exact"/>
        <w:ind w:firstLine="679" w:firstLineChars="200"/>
        <w:rPr>
          <w:rFonts w:hint="default" w:ascii="仿宋" w:hAnsi="仿宋" w:eastAsia="仿宋" w:cs="仿宋"/>
          <w:b/>
          <w:bCs/>
          <w:snapToGrid w:val="0"/>
          <w:color w:val="000000"/>
          <w:spacing w:val="9"/>
          <w:kern w:val="0"/>
          <w:sz w:val="32"/>
          <w:szCs w:val="32"/>
          <w:lang w:val="en-US" w:eastAsia="zh-CN" w:bidi="ar-SA"/>
        </w:rPr>
      </w:pPr>
      <w:r>
        <w:rPr>
          <w:rFonts w:hint="eastAsia" w:ascii="仿宋" w:hAnsi="仿宋" w:eastAsia="仿宋" w:cs="仿宋"/>
          <w:b/>
          <w:bCs/>
          <w:snapToGrid w:val="0"/>
          <w:color w:val="000000"/>
          <w:spacing w:val="9"/>
          <w:kern w:val="0"/>
          <w:sz w:val="32"/>
          <w:szCs w:val="32"/>
          <w:lang w:val="en-US" w:eastAsia="zh-CN" w:bidi="ar-SA"/>
        </w:rPr>
        <w:t>1.投资方案内容</w:t>
      </w:r>
    </w:p>
    <w:p w14:paraId="73A2F140">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为依法有序推进</w:t>
      </w:r>
      <w:r>
        <w:rPr>
          <w:rFonts w:hint="eastAsia" w:ascii="仿宋" w:hAnsi="仿宋" w:eastAsia="仿宋" w:cs="仿宋"/>
          <w:b w:val="0"/>
          <w:bCs w:val="0"/>
          <w:snapToGrid w:val="0"/>
          <w:color w:val="000000"/>
          <w:spacing w:val="9"/>
          <w:kern w:val="0"/>
          <w:sz w:val="32"/>
          <w:szCs w:val="32"/>
          <w:lang w:val="en-US" w:eastAsia="zh-CN" w:bidi="ar-SA"/>
        </w:rPr>
        <w:t>四川云集公司预重整及重整程序</w:t>
      </w:r>
      <w:r>
        <w:rPr>
          <w:rFonts w:hint="default" w:ascii="仿宋" w:hAnsi="仿宋" w:eastAsia="仿宋" w:cs="仿宋"/>
          <w:b w:val="0"/>
          <w:bCs w:val="0"/>
          <w:snapToGrid w:val="0"/>
          <w:color w:val="000000"/>
          <w:spacing w:val="9"/>
          <w:kern w:val="0"/>
          <w:sz w:val="32"/>
          <w:szCs w:val="32"/>
          <w:lang w:val="en-US" w:eastAsia="zh-CN" w:bidi="ar-SA"/>
        </w:rPr>
        <w:t>，保护债权人合法权益，意向投资人应围绕偿债方案和经营方案制作投资方案，确保方案具有可行性，能够有效执行，投资方案不得设置假设性前提条件。</w:t>
      </w:r>
      <w:r>
        <w:rPr>
          <w:rFonts w:hint="eastAsia" w:ascii="仿宋" w:hAnsi="仿宋" w:eastAsia="仿宋" w:cs="仿宋"/>
          <w:b w:val="0"/>
          <w:bCs w:val="0"/>
          <w:snapToGrid w:val="0"/>
          <w:color w:val="000000"/>
          <w:spacing w:val="9"/>
          <w:kern w:val="0"/>
          <w:sz w:val="32"/>
          <w:szCs w:val="32"/>
          <w:lang w:val="en-US" w:eastAsia="zh-CN" w:bidi="ar-SA"/>
        </w:rPr>
        <w:t>投资方案的具体内容包括但不限于：</w:t>
      </w:r>
    </w:p>
    <w:p w14:paraId="62B33701">
      <w:pPr>
        <w:pStyle w:val="2"/>
        <w:keepNext w:val="0"/>
        <w:keepLines w:val="0"/>
        <w:pageBreakBefore w:val="0"/>
        <w:widowControl/>
        <w:numPr>
          <w:ilvl w:val="0"/>
          <w:numId w:val="1"/>
        </w:numPr>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投资人权益调整方案。</w:t>
      </w:r>
    </w:p>
    <w:p w14:paraId="68CEE33B">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（2）债权清偿方案，包括按法定顺序列明各类债权的清偿方式、清偿期限及清偿金额等。</w:t>
      </w:r>
    </w:p>
    <w:p w14:paraId="63F07F5A">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（3）经营方案，包括具体的运营方案、投入资金金额及时间节点等。</w:t>
      </w:r>
    </w:p>
    <w:p w14:paraId="51811B0A">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（4）意向投资人认为其他有必要说明的事项。</w:t>
      </w:r>
    </w:p>
    <w:p w14:paraId="74AD2EE3">
      <w:pPr>
        <w:pStyle w:val="2"/>
        <w:keepNext w:val="0"/>
        <w:keepLines w:val="0"/>
        <w:pageBreakBefore w:val="0"/>
        <w:widowControl/>
        <w:kinsoku/>
        <w:wordWrap/>
        <w:overflowPunct/>
        <w:topLinePunct w:val="0"/>
        <w:bidi w:val="0"/>
        <w:spacing w:after="0" w:line="560" w:lineRule="exact"/>
        <w:ind w:firstLine="679" w:firstLineChars="200"/>
        <w:rPr>
          <w:rFonts w:hint="default" w:ascii="仿宋" w:hAnsi="仿宋" w:eastAsia="仿宋" w:cs="仿宋"/>
          <w:b/>
          <w:bCs/>
          <w:snapToGrid w:val="0"/>
          <w:color w:val="000000"/>
          <w:spacing w:val="9"/>
          <w:kern w:val="0"/>
          <w:sz w:val="32"/>
          <w:szCs w:val="32"/>
          <w:lang w:val="en-US" w:eastAsia="zh-CN" w:bidi="ar-SA"/>
        </w:rPr>
      </w:pPr>
      <w:r>
        <w:rPr>
          <w:rFonts w:hint="eastAsia" w:ascii="仿宋" w:hAnsi="仿宋" w:eastAsia="仿宋" w:cs="仿宋"/>
          <w:b/>
          <w:bCs/>
          <w:snapToGrid w:val="0"/>
          <w:color w:val="000000"/>
          <w:spacing w:val="9"/>
          <w:kern w:val="0"/>
          <w:sz w:val="32"/>
          <w:szCs w:val="32"/>
          <w:lang w:val="en-US" w:eastAsia="zh-CN" w:bidi="ar-SA"/>
        </w:rPr>
        <w:t>2.遴选评审与协议签署</w:t>
      </w:r>
    </w:p>
    <w:p w14:paraId="3E9391FD">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（1）若截止2026年3月13日17:00，有且仅有一家意向投资人提交投资方案，预重整管理人将及时与其</w:t>
      </w:r>
      <w:r>
        <w:rPr>
          <w:rFonts w:hint="default" w:ascii="仿宋" w:hAnsi="仿宋" w:eastAsia="仿宋" w:cs="仿宋"/>
          <w:b w:val="0"/>
          <w:bCs w:val="0"/>
          <w:snapToGrid w:val="0"/>
          <w:color w:val="000000"/>
          <w:spacing w:val="9"/>
          <w:kern w:val="0"/>
          <w:sz w:val="32"/>
          <w:szCs w:val="32"/>
          <w:lang w:val="en-US" w:eastAsia="zh-CN" w:bidi="ar-SA"/>
        </w:rPr>
        <w:t>签署《意向投资协议》</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其内容应</w:t>
      </w:r>
      <w:r>
        <w:rPr>
          <w:rFonts w:hint="eastAsia" w:ascii="仿宋" w:hAnsi="仿宋" w:eastAsia="仿宋" w:cs="仿宋"/>
          <w:b w:val="0"/>
          <w:bCs w:val="0"/>
          <w:snapToGrid w:val="0"/>
          <w:color w:val="000000"/>
          <w:spacing w:val="9"/>
          <w:kern w:val="0"/>
          <w:sz w:val="32"/>
          <w:szCs w:val="32"/>
          <w:lang w:val="en-US" w:eastAsia="zh-CN" w:bidi="ar-SA"/>
        </w:rPr>
        <w:t>尽量接近</w:t>
      </w:r>
      <w:r>
        <w:rPr>
          <w:rFonts w:hint="default" w:ascii="仿宋" w:hAnsi="仿宋" w:eastAsia="仿宋" w:cs="仿宋"/>
          <w:b w:val="0"/>
          <w:bCs w:val="0"/>
          <w:snapToGrid w:val="0"/>
          <w:color w:val="000000"/>
          <w:spacing w:val="9"/>
          <w:kern w:val="0"/>
          <w:sz w:val="32"/>
          <w:szCs w:val="32"/>
          <w:lang w:val="en-US" w:eastAsia="zh-CN" w:bidi="ar-SA"/>
        </w:rPr>
        <w:t>正式的《投资协议》。</w:t>
      </w:r>
    </w:p>
    <w:p w14:paraId="5153F9BC">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2）若截止2026年3月13日17:00，有多家意向投资人提交投资方案，预重整管理人将依法对意向投资人进行评审，确定一名中选投资人和一名备选投资人。评审工作的具体流程及规则由预重整管理人根据意向投资人的实际参选情况依法确定并报告成都市新都区人民法院后实施。预重整管理人将及时与中选投资人签订</w:t>
      </w:r>
      <w:r>
        <w:rPr>
          <w:rFonts w:hint="default" w:ascii="仿宋" w:hAnsi="仿宋" w:eastAsia="仿宋" w:cs="仿宋"/>
          <w:b w:val="0"/>
          <w:bCs w:val="0"/>
          <w:snapToGrid w:val="0"/>
          <w:color w:val="000000"/>
          <w:spacing w:val="9"/>
          <w:kern w:val="0"/>
          <w:sz w:val="32"/>
          <w:szCs w:val="32"/>
          <w:lang w:val="en-US" w:eastAsia="zh-CN" w:bidi="ar-SA"/>
        </w:rPr>
        <w:t>《意向投资协议》</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其内容应</w:t>
      </w:r>
      <w:r>
        <w:rPr>
          <w:rFonts w:hint="eastAsia" w:ascii="仿宋" w:hAnsi="仿宋" w:eastAsia="仿宋" w:cs="仿宋"/>
          <w:b w:val="0"/>
          <w:bCs w:val="0"/>
          <w:snapToGrid w:val="0"/>
          <w:color w:val="000000"/>
          <w:spacing w:val="9"/>
          <w:kern w:val="0"/>
          <w:sz w:val="32"/>
          <w:szCs w:val="32"/>
          <w:lang w:val="en-US" w:eastAsia="zh-CN" w:bidi="ar-SA"/>
        </w:rPr>
        <w:t>尽量接近</w:t>
      </w:r>
      <w:r>
        <w:rPr>
          <w:rFonts w:hint="default" w:ascii="仿宋" w:hAnsi="仿宋" w:eastAsia="仿宋" w:cs="仿宋"/>
          <w:b w:val="0"/>
          <w:bCs w:val="0"/>
          <w:snapToGrid w:val="0"/>
          <w:color w:val="000000"/>
          <w:spacing w:val="9"/>
          <w:kern w:val="0"/>
          <w:sz w:val="32"/>
          <w:szCs w:val="32"/>
          <w:lang w:val="en-US" w:eastAsia="zh-CN" w:bidi="ar-SA"/>
        </w:rPr>
        <w:t>正式的《投资协议》。</w:t>
      </w:r>
    </w:p>
    <w:p w14:paraId="730B6BB5">
      <w:pPr>
        <w:pStyle w:val="2"/>
        <w:keepNext w:val="0"/>
        <w:keepLines w:val="0"/>
        <w:pageBreakBefore w:val="0"/>
        <w:widowControl/>
        <w:kinsoku/>
        <w:wordWrap/>
        <w:overflowPunct/>
        <w:topLinePunct w:val="0"/>
        <w:bidi w:val="0"/>
        <w:spacing w:after="0" w:line="560" w:lineRule="exact"/>
        <w:ind w:firstLine="676" w:firstLineChars="200"/>
        <w:rPr>
          <w:rFonts w:hint="eastAsia"/>
          <w:lang w:val="en-US" w:eastAsia="zh-CN"/>
        </w:rPr>
      </w:pPr>
      <w:r>
        <w:rPr>
          <w:rFonts w:hint="eastAsia" w:ascii="仿宋" w:hAnsi="仿宋" w:eastAsia="仿宋" w:cs="仿宋"/>
          <w:b w:val="0"/>
          <w:bCs w:val="0"/>
          <w:snapToGrid w:val="0"/>
          <w:color w:val="000000"/>
          <w:spacing w:val="9"/>
          <w:kern w:val="0"/>
          <w:sz w:val="32"/>
          <w:szCs w:val="32"/>
          <w:lang w:val="en-US" w:eastAsia="zh-CN" w:bidi="ar-SA"/>
        </w:rPr>
        <w:t>未中选的意向投资人的报名保证金由预重整管理人在十个工作日内无息退还。</w:t>
      </w:r>
    </w:p>
    <w:p w14:paraId="15C876E4">
      <w:pPr>
        <w:pStyle w:val="2"/>
        <w:keepNext w:val="0"/>
        <w:keepLines w:val="0"/>
        <w:pageBreakBefore w:val="0"/>
        <w:widowControl/>
        <w:kinsoku/>
        <w:wordWrap/>
        <w:overflowPunct/>
        <w:topLinePunct w:val="0"/>
        <w:bidi w:val="0"/>
        <w:spacing w:after="0" w:line="560" w:lineRule="exact"/>
        <w:ind w:firstLine="679" w:firstLineChars="200"/>
        <w:rPr>
          <w:rFonts w:hint="default" w:ascii="仿宋" w:hAnsi="仿宋" w:eastAsia="仿宋" w:cs="仿宋"/>
          <w:b/>
          <w:bCs/>
          <w:snapToGrid w:val="0"/>
          <w:color w:val="000000"/>
          <w:spacing w:val="9"/>
          <w:kern w:val="0"/>
          <w:sz w:val="32"/>
          <w:szCs w:val="32"/>
          <w:lang w:val="en-US" w:eastAsia="zh-CN" w:bidi="ar-SA"/>
        </w:rPr>
      </w:pPr>
      <w:r>
        <w:rPr>
          <w:rFonts w:hint="eastAsia" w:ascii="仿宋" w:hAnsi="仿宋" w:eastAsia="仿宋" w:cs="仿宋"/>
          <w:b/>
          <w:bCs/>
          <w:snapToGrid w:val="0"/>
          <w:color w:val="000000"/>
          <w:spacing w:val="9"/>
          <w:kern w:val="0"/>
          <w:sz w:val="32"/>
          <w:szCs w:val="32"/>
          <w:lang w:val="en-US" w:eastAsia="zh-CN" w:bidi="ar-SA"/>
        </w:rPr>
        <w:t>（四）缴纳履约保证金</w:t>
      </w:r>
    </w:p>
    <w:p w14:paraId="5895D331">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u w:val="none"/>
          <w:lang w:val="en-US" w:eastAsia="zh-CN" w:bidi="ar-SA"/>
        </w:rPr>
        <w:t>本项目履约保证金为</w:t>
      </w:r>
      <w:r>
        <w:rPr>
          <w:rFonts w:hint="eastAsia" w:ascii="仿宋" w:hAnsi="仿宋" w:eastAsia="仿宋" w:cs="仿宋"/>
          <w:b/>
          <w:bCs/>
          <w:snapToGrid w:val="0"/>
          <w:color w:val="000000"/>
          <w:spacing w:val="9"/>
          <w:kern w:val="0"/>
          <w:sz w:val="32"/>
          <w:szCs w:val="32"/>
          <w:u w:val="single"/>
          <w:lang w:val="en-US" w:eastAsia="zh-CN" w:bidi="ar-SA"/>
        </w:rPr>
        <w:t>人民币1000万元</w:t>
      </w:r>
      <w:r>
        <w:rPr>
          <w:rFonts w:hint="eastAsia" w:ascii="仿宋" w:hAnsi="仿宋" w:eastAsia="仿宋" w:cs="仿宋"/>
          <w:b w:val="0"/>
          <w:bCs w:val="0"/>
          <w:snapToGrid w:val="0"/>
          <w:color w:val="000000"/>
          <w:spacing w:val="9"/>
          <w:kern w:val="0"/>
          <w:sz w:val="32"/>
          <w:szCs w:val="32"/>
          <w:u w:val="none"/>
          <w:lang w:val="en-US" w:eastAsia="zh-CN" w:bidi="ar-SA"/>
        </w:rPr>
        <w:t>。</w:t>
      </w:r>
    </w:p>
    <w:p w14:paraId="30E0C286">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1.中选投资人应自</w:t>
      </w:r>
      <w:r>
        <w:rPr>
          <w:rFonts w:hint="default" w:ascii="仿宋" w:hAnsi="仿宋" w:eastAsia="仿宋" w:cs="仿宋"/>
          <w:b w:val="0"/>
          <w:bCs w:val="0"/>
          <w:snapToGrid w:val="0"/>
          <w:color w:val="000000"/>
          <w:spacing w:val="9"/>
          <w:kern w:val="0"/>
          <w:sz w:val="32"/>
          <w:szCs w:val="32"/>
          <w:lang w:val="en-US" w:eastAsia="zh-CN" w:bidi="ar-SA"/>
        </w:rPr>
        <w:t>《意向投资协议》</w:t>
      </w:r>
      <w:r>
        <w:rPr>
          <w:rFonts w:hint="eastAsia" w:ascii="仿宋" w:hAnsi="仿宋" w:eastAsia="仿宋" w:cs="仿宋"/>
          <w:b w:val="0"/>
          <w:bCs w:val="0"/>
          <w:snapToGrid w:val="0"/>
          <w:color w:val="000000"/>
          <w:spacing w:val="9"/>
          <w:kern w:val="0"/>
          <w:sz w:val="32"/>
          <w:szCs w:val="32"/>
          <w:lang w:val="en-US" w:eastAsia="zh-CN" w:bidi="ar-SA"/>
        </w:rPr>
        <w:t>签订之日起三个工作日内，通过意向投资人账户向预重整管理人指定银行账户缴纳履约保证金。履约保证金缴纳银行账户同前述报名保证金缴纳账户。若中选投资人未按时缴纳履约保证金，预重整管理人有权直接取消其重整投资资格并解除《意向投资协议》，相应后果由中选投资人承担。预重整管理人将及时与备选投资人重新签订《意向投资协议》。</w:t>
      </w:r>
    </w:p>
    <w:p w14:paraId="642A3ACA">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2.保证金是为保证投资人全面履行协议而采取的担保措施。中选的意向投资人的报名保证金自收到中选通知书之日起自动转为履约保证金（不计息）。待重整计划获得法院裁定批准后，重整投资人若拒绝按照重整投资协议的约定支付投资款或不履行重整投资人相关义务的，已缴纳的保证金不予退还。</w:t>
      </w:r>
    </w:p>
    <w:p w14:paraId="545C87EB">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3.若成都市新都区人民法院最终未受理四川云集公司破产重整，或者重整计划草案未获成都市新都区人民法院裁定批准的，由预重整管理人无息退还投资人缴纳的报名保证金及履约保证金。</w:t>
      </w:r>
    </w:p>
    <w:p w14:paraId="45DC48C1">
      <w:pPr>
        <w:pStyle w:val="2"/>
        <w:keepNext w:val="0"/>
        <w:keepLines w:val="0"/>
        <w:pageBreakBefore w:val="0"/>
        <w:widowControl/>
        <w:kinsoku/>
        <w:wordWrap/>
        <w:overflowPunct/>
        <w:topLinePunct w:val="0"/>
        <w:bidi w:val="0"/>
        <w:spacing w:after="0" w:line="560" w:lineRule="exact"/>
        <w:ind w:firstLine="679" w:firstLineChars="200"/>
        <w:rPr>
          <w:rFonts w:hint="default" w:ascii="仿宋" w:hAnsi="仿宋" w:eastAsia="仿宋" w:cs="仿宋"/>
          <w:b/>
          <w:bCs/>
          <w:snapToGrid w:val="0"/>
          <w:color w:val="000000"/>
          <w:spacing w:val="9"/>
          <w:kern w:val="0"/>
          <w:sz w:val="32"/>
          <w:szCs w:val="32"/>
          <w:lang w:val="en-US" w:eastAsia="zh-CN" w:bidi="ar-SA"/>
        </w:rPr>
      </w:pPr>
      <w:r>
        <w:rPr>
          <w:rFonts w:hint="eastAsia" w:ascii="仿宋" w:hAnsi="仿宋" w:eastAsia="仿宋" w:cs="仿宋"/>
          <w:b/>
          <w:bCs/>
          <w:snapToGrid w:val="0"/>
          <w:color w:val="000000"/>
          <w:spacing w:val="9"/>
          <w:kern w:val="0"/>
          <w:sz w:val="32"/>
          <w:szCs w:val="32"/>
          <w:lang w:val="en-US" w:eastAsia="zh-CN" w:bidi="ar-SA"/>
        </w:rPr>
        <w:t>五、特别说明</w:t>
      </w:r>
    </w:p>
    <w:p w14:paraId="0DAD6D67">
      <w:pPr>
        <w:pStyle w:val="2"/>
        <w:keepNext w:val="0"/>
        <w:keepLines w:val="0"/>
        <w:pageBreakBefore w:val="0"/>
        <w:widowControl/>
        <w:kinsoku/>
        <w:wordWrap/>
        <w:overflowPunct/>
        <w:topLinePunct w:val="0"/>
        <w:bidi w:val="0"/>
        <w:spacing w:after="0" w:line="560" w:lineRule="exact"/>
        <w:ind w:firstLine="676" w:firstLineChars="200"/>
        <w:rPr>
          <w:rFonts w:hint="default"/>
          <w:lang w:val="en-US" w:eastAsia="zh-CN"/>
        </w:rPr>
      </w:pPr>
      <w:r>
        <w:rPr>
          <w:rFonts w:hint="eastAsia" w:ascii="仿宋" w:hAnsi="仿宋" w:eastAsia="仿宋" w:cs="仿宋"/>
          <w:b w:val="0"/>
          <w:bCs w:val="0"/>
          <w:snapToGrid w:val="0"/>
          <w:color w:val="000000"/>
          <w:spacing w:val="9"/>
          <w:kern w:val="0"/>
          <w:sz w:val="32"/>
          <w:szCs w:val="32"/>
          <w:lang w:val="en-US" w:eastAsia="zh-CN" w:bidi="ar-SA"/>
        </w:rPr>
        <w:t>（一）本次招募以公平、公正、优先为原则，面向社会公开招募重整投资人，公开适用于全体意向投资人。</w:t>
      </w:r>
    </w:p>
    <w:p w14:paraId="4E5348ED">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二）本预招募公告由预重整管理人编制，解释权属于预重整管理人。预重整管理人可以根据本案实际情况随时决定终止或撤回本次预招募，或者修改本预招募公告，预重整管理人不承担任何法律责任，无需对意向投资人所投入的工作进行任何补偿。</w:t>
      </w:r>
    </w:p>
    <w:p w14:paraId="4CDE6AED">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三）本公告不构成要约，本招募公告中所披露的相关信息仅是预重整管理人为让各投资人初步了解四川云集公司基本情况，并不完整、准确和全面，预重整管理人不承担任何保证责任和瑕疵担保责任，意向投资人应以自行尽职调查结果作为投资决策的依据，同时应对知悉的四川云集公司相关信息保密。</w:t>
      </w:r>
    </w:p>
    <w:p w14:paraId="3C6E6438">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（四）意向投资人自缴纳履约保证金时起，视为同意按四川云集公司现状进行投资，相关投资风险自行承担。</w:t>
      </w:r>
    </w:p>
    <w:p w14:paraId="7BCE46EF">
      <w:pPr>
        <w:pStyle w:val="2"/>
        <w:keepNext w:val="0"/>
        <w:keepLines w:val="0"/>
        <w:pageBreakBefore w:val="0"/>
        <w:widowControl/>
        <w:kinsoku/>
        <w:wordWrap/>
        <w:overflowPunct/>
        <w:topLinePunct w:val="0"/>
        <w:bidi w:val="0"/>
        <w:spacing w:after="0" w:line="560" w:lineRule="exact"/>
        <w:ind w:firstLine="679" w:firstLineChars="200"/>
        <w:rPr>
          <w:rFonts w:hint="default" w:ascii="仿宋" w:hAnsi="仿宋" w:eastAsia="仿宋" w:cs="仿宋"/>
          <w:b/>
          <w:bCs/>
          <w:snapToGrid w:val="0"/>
          <w:color w:val="000000"/>
          <w:spacing w:val="9"/>
          <w:kern w:val="0"/>
          <w:sz w:val="32"/>
          <w:szCs w:val="32"/>
          <w:lang w:val="en-US" w:eastAsia="zh-CN" w:bidi="ar-SA"/>
        </w:rPr>
      </w:pPr>
      <w:r>
        <w:rPr>
          <w:rFonts w:hint="eastAsia" w:ascii="仿宋" w:hAnsi="仿宋" w:eastAsia="仿宋" w:cs="仿宋"/>
          <w:b/>
          <w:bCs/>
          <w:snapToGrid w:val="0"/>
          <w:color w:val="000000"/>
          <w:spacing w:val="9"/>
          <w:kern w:val="0"/>
          <w:sz w:val="32"/>
          <w:szCs w:val="32"/>
          <w:lang w:val="en-US" w:eastAsia="zh-CN" w:bidi="ar-SA"/>
        </w:rPr>
        <w:t>六、风险提示</w:t>
      </w:r>
    </w:p>
    <w:p w14:paraId="666E1AD0">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一）慧金港项目内部分核心设施设备（如冷库设备、空调设备、货架、温湿度系统、输送线等）的所有权归属于第三方公司。该等情况可能对资产的完整处置、未来运营的持续性或相关成本构成产生影响，请意向投资人予以重点关注并自行评估相关风险。</w:t>
      </w:r>
    </w:p>
    <w:p w14:paraId="086ED6BB">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（二）四川云集公司持有的《道路运输经营许可》于2026年3月17日到期，后续需审检或重新办理。</w:t>
      </w:r>
    </w:p>
    <w:p w14:paraId="1F44954E">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（三）若人民法院不予批准转入重整程序，或重整计划未通过债权人会议表决，或人民法院未予裁定批准等非预重整管理人原因导致无法重整的，投资人应自行承担相应风险。</w:t>
      </w:r>
    </w:p>
    <w:p w14:paraId="61F6E964">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诚邀各投资方前来考察洽谈，参与投资。</w:t>
      </w:r>
    </w:p>
    <w:p w14:paraId="2142493D">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p>
    <w:p w14:paraId="38C066E9">
      <w:pPr>
        <w:pStyle w:val="3"/>
        <w:keepNext w:val="0"/>
        <w:keepLines w:val="0"/>
        <w:pageBreakBefore w:val="0"/>
        <w:widowControl/>
        <w:wordWrap/>
        <w:topLinePunct w:val="0"/>
        <w:bidi w:val="0"/>
        <w:spacing w:after="0" w:line="560" w:lineRule="exact"/>
        <w:rPr>
          <w:rFonts w:hint="eastAsia" w:ascii="仿宋" w:hAnsi="仿宋" w:eastAsia="仿宋" w:cs="仿宋"/>
          <w:b w:val="0"/>
          <w:bCs w:val="0"/>
          <w:snapToGrid w:val="0"/>
          <w:color w:val="000000"/>
          <w:spacing w:val="9"/>
          <w:kern w:val="0"/>
          <w:sz w:val="32"/>
          <w:szCs w:val="32"/>
          <w:lang w:val="en-US" w:eastAsia="zh-CN" w:bidi="ar-SA"/>
        </w:rPr>
      </w:pPr>
    </w:p>
    <w:p w14:paraId="01E9F166">
      <w:pPr>
        <w:pStyle w:val="3"/>
        <w:keepNext w:val="0"/>
        <w:keepLines w:val="0"/>
        <w:pageBreakBefore w:val="0"/>
        <w:widowControl/>
        <w:wordWrap/>
        <w:topLinePunct w:val="0"/>
        <w:bidi w:val="0"/>
        <w:spacing w:after="0" w:line="560" w:lineRule="exact"/>
        <w:rPr>
          <w:rFonts w:hint="eastAsia" w:ascii="仿宋" w:hAnsi="仿宋" w:eastAsia="仿宋" w:cs="仿宋"/>
          <w:b w:val="0"/>
          <w:bCs w:val="0"/>
          <w:snapToGrid w:val="0"/>
          <w:color w:val="000000"/>
          <w:spacing w:val="9"/>
          <w:kern w:val="0"/>
          <w:sz w:val="32"/>
          <w:szCs w:val="32"/>
          <w:lang w:val="en-US" w:eastAsia="zh-CN" w:bidi="ar-SA"/>
        </w:rPr>
      </w:pPr>
    </w:p>
    <w:p w14:paraId="53D0EEA7">
      <w:pPr>
        <w:keepNext w:val="0"/>
        <w:keepLines w:val="0"/>
        <w:pageBreakBefore w:val="0"/>
        <w:widowControl/>
        <w:numPr>
          <w:ilvl w:val="0"/>
          <w:numId w:val="0"/>
        </w:numPr>
        <w:kinsoku/>
        <w:wordWrap/>
        <w:overflowPunct w:val="0"/>
        <w:topLinePunct w:val="0"/>
        <w:autoSpaceDE/>
        <w:autoSpaceDN/>
        <w:bidi w:val="0"/>
        <w:adjustRightInd/>
        <w:snapToGrid/>
        <w:spacing w:line="560" w:lineRule="exact"/>
        <w:ind w:left="0" w:firstLine="640" w:firstLineChars="20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四川云集医药供应链管理有限公司预重整管理人</w:t>
      </w:r>
    </w:p>
    <w:p w14:paraId="657473B9">
      <w:pPr>
        <w:keepNext w:val="0"/>
        <w:keepLines w:val="0"/>
        <w:pageBreakBefore w:val="0"/>
        <w:widowControl/>
        <w:numPr>
          <w:ilvl w:val="0"/>
          <w:numId w:val="0"/>
        </w:numPr>
        <w:kinsoku/>
        <w:wordWrap/>
        <w:overflowPunct w:val="0"/>
        <w:topLinePunct w:val="0"/>
        <w:autoSpaceDE/>
        <w:autoSpaceDN/>
        <w:bidi w:val="0"/>
        <w:adjustRightInd/>
        <w:snapToGrid/>
        <w:spacing w:line="560" w:lineRule="exact"/>
        <w:ind w:left="0" w:firstLine="640" w:firstLineChars="20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四川豪诚企业清算事务所有限公司（代章）</w:t>
      </w:r>
    </w:p>
    <w:p w14:paraId="11182B5C">
      <w:pPr>
        <w:keepNext w:val="0"/>
        <w:keepLines w:val="0"/>
        <w:pageBreakBefore w:val="0"/>
        <w:widowControl/>
        <w:suppressLineNumbers w:val="0"/>
        <w:kinsoku/>
        <w:wordWrap/>
        <w:overflowPunct w:val="0"/>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rPr>
      </w:pPr>
      <w:r>
        <w:rPr>
          <w:rFonts w:hint="eastAsia" w:ascii="仿宋" w:hAnsi="仿宋" w:eastAsia="仿宋" w:cs="仿宋"/>
          <w:sz w:val="32"/>
          <w:szCs w:val="32"/>
        </w:rPr>
        <w:t xml:space="preserve">                      </w:t>
      </w:r>
      <w:bookmarkStart w:id="0" w:name="_Hlk37164535"/>
      <w:r>
        <w:rPr>
          <w:rFonts w:hint="eastAsia" w:ascii="仿宋" w:hAnsi="仿宋" w:eastAsia="仿宋" w:cs="仿宋"/>
          <w:sz w:val="32"/>
          <w:szCs w:val="32"/>
        </w:rPr>
        <w:t>二〇</w:t>
      </w:r>
      <w:bookmarkEnd w:id="0"/>
      <w:r>
        <w:rPr>
          <w:rFonts w:hint="eastAsia" w:ascii="仿宋" w:hAnsi="仿宋" w:eastAsia="仿宋" w:cs="仿宋"/>
          <w:sz w:val="32"/>
          <w:szCs w:val="32"/>
        </w:rPr>
        <w:t>二</w:t>
      </w:r>
      <w:r>
        <w:rPr>
          <w:rFonts w:hint="eastAsia" w:ascii="仿宋" w:hAnsi="仿宋" w:eastAsia="仿宋" w:cs="仿宋"/>
          <w:sz w:val="32"/>
          <w:szCs w:val="32"/>
          <w:lang w:val="en-US" w:eastAsia="zh-CN"/>
        </w:rPr>
        <w:t>六</w:t>
      </w:r>
      <w:r>
        <w:rPr>
          <w:rFonts w:hint="eastAsia" w:ascii="仿宋" w:hAnsi="仿宋" w:eastAsia="仿宋" w:cs="仿宋"/>
          <w:sz w:val="32"/>
          <w:szCs w:val="32"/>
        </w:rPr>
        <w:t>年</w:t>
      </w:r>
      <w:r>
        <w:rPr>
          <w:rFonts w:hint="eastAsia" w:ascii="仿宋" w:hAnsi="仿宋" w:eastAsia="仿宋" w:cs="仿宋"/>
          <w:sz w:val="32"/>
          <w:szCs w:val="32"/>
          <w:lang w:val="en-US" w:eastAsia="zh-CN"/>
        </w:rPr>
        <w:t>二月二十三</w:t>
      </w:r>
      <w:r>
        <w:rPr>
          <w:rFonts w:hint="eastAsia" w:ascii="仿宋" w:hAnsi="仿宋" w:eastAsia="仿宋" w:cs="仿宋"/>
          <w:sz w:val="32"/>
          <w:szCs w:val="32"/>
        </w:rPr>
        <w:t>日</w:t>
      </w:r>
    </w:p>
    <w:p w14:paraId="24FEDD5F">
      <w:pPr>
        <w:keepNext w:val="0"/>
        <w:keepLines w:val="0"/>
        <w:pageBreakBefore w:val="0"/>
        <w:widowControl/>
        <w:wordWrap/>
        <w:topLinePunct w:val="0"/>
        <w:bidi w:val="0"/>
        <w:spacing w:line="560" w:lineRule="exact"/>
        <w:rPr>
          <w:rFonts w:hint="eastAsia" w:ascii="仿宋" w:hAnsi="仿宋" w:eastAsia="仿宋" w:cs="仿宋"/>
          <w:sz w:val="32"/>
          <w:szCs w:val="32"/>
        </w:rPr>
      </w:pPr>
    </w:p>
    <w:p w14:paraId="0844605E">
      <w:pPr>
        <w:keepNext w:val="0"/>
        <w:keepLines w:val="0"/>
        <w:pageBreakBefore w:val="0"/>
        <w:widowControl/>
        <w:wordWrap/>
        <w:topLinePunct w:val="0"/>
        <w:bidi w:val="0"/>
        <w:spacing w:line="560" w:lineRule="exact"/>
        <w:rPr>
          <w:rFonts w:hint="eastAsia" w:ascii="仿宋" w:hAnsi="仿宋" w:eastAsia="仿宋" w:cs="仿宋"/>
          <w:sz w:val="32"/>
          <w:szCs w:val="32"/>
        </w:rPr>
      </w:pPr>
    </w:p>
    <w:p w14:paraId="2B306E67">
      <w:pPr>
        <w:keepNext w:val="0"/>
        <w:keepLines w:val="0"/>
        <w:pageBreakBefore w:val="0"/>
        <w:widowControl/>
        <w:wordWrap/>
        <w:topLinePunct w:val="0"/>
        <w:bidi w:val="0"/>
        <w:spacing w:line="560" w:lineRule="exac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附：1.保密承诺函</w:t>
      </w:r>
    </w:p>
    <w:p w14:paraId="23C497BB">
      <w:pPr>
        <w:pStyle w:val="2"/>
        <w:keepNext w:val="0"/>
        <w:keepLines w:val="0"/>
        <w:pageBreakBefore w:val="0"/>
        <w:widowControl/>
        <w:kinsoku/>
        <w:wordWrap/>
        <w:overflowPunct/>
        <w:topLinePunct w:val="0"/>
        <w:bidi w:val="0"/>
        <w:spacing w:after="0" w:line="560" w:lineRule="exact"/>
        <w:ind w:firstLine="640" w:firstLineChars="200"/>
        <w:rPr>
          <w:rFonts w:hint="eastAsia" w:ascii="仿宋" w:hAnsi="仿宋" w:eastAsia="仿宋" w:cs="仿宋"/>
          <w:b w:val="0"/>
          <w:bCs w:val="0"/>
          <w:snapToGrid w:val="0"/>
          <w:color w:val="000000"/>
          <w:spacing w:val="9"/>
          <w:kern w:val="0"/>
          <w:sz w:val="32"/>
          <w:szCs w:val="32"/>
          <w:highlight w:val="none"/>
          <w:lang w:val="en-US" w:eastAsia="zh-CN" w:bidi="ar-SA"/>
        </w:rPr>
      </w:pPr>
      <w:r>
        <w:rPr>
          <w:rFonts w:hint="eastAsia" w:ascii="仿宋" w:hAnsi="仿宋" w:eastAsia="仿宋" w:cs="仿宋"/>
          <w:sz w:val="32"/>
          <w:szCs w:val="32"/>
          <w:highlight w:val="none"/>
          <w:lang w:val="en-US" w:eastAsia="zh-CN"/>
        </w:rPr>
        <w:t>2.</w:t>
      </w:r>
      <w:r>
        <w:rPr>
          <w:rFonts w:hint="eastAsia" w:ascii="仿宋" w:hAnsi="仿宋" w:eastAsia="仿宋" w:cs="仿宋"/>
          <w:b w:val="0"/>
          <w:bCs w:val="0"/>
          <w:snapToGrid w:val="0"/>
          <w:color w:val="000000"/>
          <w:spacing w:val="9"/>
          <w:kern w:val="0"/>
          <w:sz w:val="32"/>
          <w:szCs w:val="32"/>
          <w:highlight w:val="none"/>
          <w:lang w:val="en-US" w:eastAsia="zh-CN" w:bidi="ar-SA"/>
        </w:rPr>
        <w:t>预重整管理人收件地址：四川省成都市新都区兰溪路58号云集慧金港医药物流产业园综合办公楼。联系方式：李欣忆13684052645。</w:t>
      </w:r>
    </w:p>
    <w:p w14:paraId="215548AD">
      <w:pPr>
        <w:pStyle w:val="2"/>
        <w:keepNext w:val="0"/>
        <w:keepLines w:val="0"/>
        <w:pageBreakBefore w:val="0"/>
        <w:widowControl/>
        <w:kinsoku/>
        <w:wordWrap/>
        <w:overflowPunct/>
        <w:topLinePunct w:val="0"/>
        <w:bidi w:val="0"/>
        <w:spacing w:after="0" w:line="560" w:lineRule="exact"/>
        <w:ind w:firstLine="676" w:firstLineChars="200"/>
        <w:rPr>
          <w:rFonts w:hint="eastAsia" w:ascii="仿宋" w:hAnsi="仿宋" w:eastAsia="仿宋" w:cs="仿宋"/>
          <w:b w:val="0"/>
          <w:bCs w:val="0"/>
          <w:snapToGrid w:val="0"/>
          <w:color w:val="000000"/>
          <w:spacing w:val="9"/>
          <w:kern w:val="0"/>
          <w:sz w:val="32"/>
          <w:szCs w:val="32"/>
          <w:highlight w:val="none"/>
          <w:lang w:val="en-US" w:eastAsia="zh-CN" w:bidi="ar-SA"/>
        </w:rPr>
      </w:pPr>
      <w:r>
        <w:rPr>
          <w:rFonts w:hint="eastAsia" w:ascii="仿宋" w:hAnsi="仿宋" w:eastAsia="仿宋" w:cs="仿宋"/>
          <w:b w:val="0"/>
          <w:bCs w:val="0"/>
          <w:snapToGrid w:val="0"/>
          <w:color w:val="000000"/>
          <w:spacing w:val="9"/>
          <w:kern w:val="0"/>
          <w:sz w:val="32"/>
          <w:szCs w:val="32"/>
          <w:highlight w:val="none"/>
          <w:lang w:val="en-US" w:eastAsia="zh-CN" w:bidi="ar-SA"/>
        </w:rPr>
        <w:t>3.预重整管理人邮箱：李欣忆 674874517@qq.com。</w:t>
      </w:r>
    </w:p>
    <w:p w14:paraId="5609AA91">
      <w:pPr>
        <w:keepNext w:val="0"/>
        <w:keepLines w:val="0"/>
        <w:pageBreakBefore w:val="0"/>
        <w:widowControl/>
        <w:wordWrap/>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br w:type="page"/>
      </w:r>
    </w:p>
    <w:p w14:paraId="6A739AE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宋体" w:hAnsi="宋体" w:eastAsia="宋体" w:cs="宋体"/>
          <w:b/>
          <w:sz w:val="44"/>
          <w:szCs w:val="44"/>
          <w:lang w:val="en-US" w:eastAsia="zh-CN"/>
        </w:rPr>
      </w:pPr>
      <w:r>
        <w:rPr>
          <w:rFonts w:hint="default" w:ascii="宋体" w:hAnsi="宋体" w:eastAsia="宋体" w:cs="宋体"/>
          <w:b/>
          <w:sz w:val="44"/>
          <w:szCs w:val="44"/>
          <w:lang w:val="en-US" w:eastAsia="zh-CN"/>
        </w:rPr>
        <w:t>保密承诺函</w:t>
      </w:r>
    </w:p>
    <w:p w14:paraId="0DA7CB40">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p>
    <w:p w14:paraId="0E647255">
      <w:pPr>
        <w:pStyle w:val="2"/>
        <w:keepNext w:val="0"/>
        <w:keepLines w:val="0"/>
        <w:pageBreakBefore w:val="0"/>
        <w:widowControl/>
        <w:kinsoku/>
        <w:wordWrap/>
        <w:overflowPunct/>
        <w:topLinePunct w:val="0"/>
        <w:bidi w:val="0"/>
        <w:spacing w:after="0" w:line="560" w:lineRule="exact"/>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致</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四川云集医药供应链管理有限公司</w:t>
      </w:r>
      <w:r>
        <w:rPr>
          <w:rFonts w:hint="eastAsia" w:ascii="仿宋" w:hAnsi="仿宋" w:eastAsia="仿宋" w:cs="仿宋"/>
          <w:b w:val="0"/>
          <w:bCs w:val="0"/>
          <w:snapToGrid w:val="0"/>
          <w:color w:val="000000"/>
          <w:spacing w:val="9"/>
          <w:kern w:val="0"/>
          <w:sz w:val="32"/>
          <w:szCs w:val="32"/>
          <w:lang w:val="en-US" w:eastAsia="zh-CN" w:bidi="ar-SA"/>
        </w:rPr>
        <w:t>预重整</w:t>
      </w:r>
      <w:r>
        <w:rPr>
          <w:rFonts w:hint="default" w:ascii="仿宋" w:hAnsi="仿宋" w:eastAsia="仿宋" w:cs="仿宋"/>
          <w:b w:val="0"/>
          <w:bCs w:val="0"/>
          <w:snapToGrid w:val="0"/>
          <w:color w:val="000000"/>
          <w:spacing w:val="9"/>
          <w:kern w:val="0"/>
          <w:sz w:val="32"/>
          <w:szCs w:val="32"/>
          <w:lang w:val="en-US" w:eastAsia="zh-CN" w:bidi="ar-SA"/>
        </w:rPr>
        <w:t>管理人</w:t>
      </w:r>
    </w:p>
    <w:p w14:paraId="4E8D7F1D">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我</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单位</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承诺在参与</w:t>
      </w:r>
      <w:r>
        <w:rPr>
          <w:rFonts w:hint="eastAsia" w:ascii="仿宋" w:hAnsi="仿宋" w:eastAsia="仿宋" w:cs="仿宋"/>
          <w:b w:val="0"/>
          <w:bCs w:val="0"/>
          <w:snapToGrid w:val="0"/>
          <w:color w:val="000000"/>
          <w:spacing w:val="9"/>
          <w:kern w:val="0"/>
          <w:sz w:val="32"/>
          <w:szCs w:val="32"/>
          <w:lang w:val="en-US" w:eastAsia="zh-CN" w:bidi="ar-SA"/>
        </w:rPr>
        <w:t>四川云集医药供应链管理有限公司</w:t>
      </w:r>
      <w:r>
        <w:rPr>
          <w:rFonts w:hint="default" w:ascii="仿宋" w:hAnsi="仿宋" w:eastAsia="仿宋" w:cs="仿宋"/>
          <w:b w:val="0"/>
          <w:bCs w:val="0"/>
          <w:snapToGrid w:val="0"/>
          <w:color w:val="000000"/>
          <w:spacing w:val="9"/>
          <w:kern w:val="0"/>
          <w:sz w:val="32"/>
          <w:szCs w:val="32"/>
          <w:lang w:val="en-US" w:eastAsia="zh-CN" w:bidi="ar-SA"/>
        </w:rPr>
        <w:t>投资人招募过程中，严守商业秘密，承担保密义务</w:t>
      </w:r>
      <w:r>
        <w:rPr>
          <w:rFonts w:hint="eastAsia" w:ascii="仿宋" w:hAnsi="仿宋" w:eastAsia="仿宋" w:cs="仿宋"/>
          <w:b w:val="0"/>
          <w:bCs w:val="0"/>
          <w:snapToGrid w:val="0"/>
          <w:color w:val="000000"/>
          <w:spacing w:val="9"/>
          <w:kern w:val="0"/>
          <w:sz w:val="32"/>
          <w:szCs w:val="32"/>
          <w:lang w:val="en-US" w:eastAsia="zh-CN" w:bidi="ar-SA"/>
        </w:rPr>
        <w:t>：</w:t>
      </w:r>
    </w:p>
    <w:p w14:paraId="3AE8F003">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一、对在参与本次投资人招募活动，包括但不限于尽职调查、与债务人或者</w:t>
      </w:r>
      <w:r>
        <w:rPr>
          <w:rFonts w:hint="eastAsia" w:ascii="仿宋" w:hAnsi="仿宋" w:eastAsia="仿宋" w:cs="仿宋"/>
          <w:b w:val="0"/>
          <w:bCs w:val="0"/>
          <w:snapToGrid w:val="0"/>
          <w:color w:val="000000"/>
          <w:spacing w:val="9"/>
          <w:kern w:val="0"/>
          <w:sz w:val="32"/>
          <w:szCs w:val="32"/>
          <w:lang w:val="en-US" w:eastAsia="zh-CN" w:bidi="ar-SA"/>
        </w:rPr>
        <w:t>预重整</w:t>
      </w:r>
      <w:r>
        <w:rPr>
          <w:rFonts w:hint="default" w:ascii="仿宋" w:hAnsi="仿宋" w:eastAsia="仿宋" w:cs="仿宋"/>
          <w:b w:val="0"/>
          <w:bCs w:val="0"/>
          <w:snapToGrid w:val="0"/>
          <w:color w:val="000000"/>
          <w:spacing w:val="9"/>
          <w:kern w:val="0"/>
          <w:sz w:val="32"/>
          <w:szCs w:val="32"/>
          <w:lang w:val="en-US" w:eastAsia="zh-CN" w:bidi="ar-SA"/>
        </w:rPr>
        <w:t>管理人或者其他参与方进行接洽和交流等活动，获取的由</w:t>
      </w:r>
      <w:r>
        <w:rPr>
          <w:rFonts w:hint="eastAsia" w:ascii="仿宋" w:hAnsi="仿宋" w:eastAsia="仿宋" w:cs="仿宋"/>
          <w:b w:val="0"/>
          <w:bCs w:val="0"/>
          <w:snapToGrid w:val="0"/>
          <w:color w:val="000000"/>
          <w:spacing w:val="9"/>
          <w:kern w:val="0"/>
          <w:sz w:val="32"/>
          <w:szCs w:val="32"/>
          <w:lang w:val="en-US" w:eastAsia="zh-CN" w:bidi="ar-SA"/>
        </w:rPr>
        <w:t>预重整</w:t>
      </w:r>
      <w:r>
        <w:rPr>
          <w:rFonts w:hint="default" w:ascii="仿宋" w:hAnsi="仿宋" w:eastAsia="仿宋" w:cs="仿宋"/>
          <w:b w:val="0"/>
          <w:bCs w:val="0"/>
          <w:snapToGrid w:val="0"/>
          <w:color w:val="000000"/>
          <w:spacing w:val="9"/>
          <w:kern w:val="0"/>
          <w:sz w:val="32"/>
          <w:szCs w:val="32"/>
          <w:lang w:val="en-US" w:eastAsia="zh-CN" w:bidi="ar-SA"/>
        </w:rPr>
        <w:t>管理人或债务人提供的未公开披露的信息、数据、资料、凭证等内容，涉及债务人的商业秘密，我</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单位</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需要遵守保密义务</w:t>
      </w:r>
      <w:r>
        <w:rPr>
          <w:rFonts w:hint="eastAsia" w:ascii="仿宋" w:hAnsi="仿宋" w:eastAsia="仿宋" w:cs="仿宋"/>
          <w:b w:val="0"/>
          <w:bCs w:val="0"/>
          <w:snapToGrid w:val="0"/>
          <w:color w:val="000000"/>
          <w:spacing w:val="9"/>
          <w:kern w:val="0"/>
          <w:sz w:val="32"/>
          <w:szCs w:val="32"/>
          <w:lang w:val="en-US" w:eastAsia="zh-CN" w:bidi="ar-SA"/>
        </w:rPr>
        <w:t>；</w:t>
      </w:r>
    </w:p>
    <w:p w14:paraId="50742879">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二、我</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单位</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承诺善意使用</w:t>
      </w:r>
      <w:r>
        <w:rPr>
          <w:rFonts w:hint="eastAsia" w:ascii="仿宋" w:hAnsi="仿宋" w:eastAsia="仿宋" w:cs="仿宋"/>
          <w:b w:val="0"/>
          <w:bCs w:val="0"/>
          <w:snapToGrid w:val="0"/>
          <w:color w:val="000000"/>
          <w:spacing w:val="9"/>
          <w:kern w:val="0"/>
          <w:sz w:val="32"/>
          <w:szCs w:val="32"/>
          <w:lang w:val="en-US" w:eastAsia="zh-CN" w:bidi="ar-SA"/>
        </w:rPr>
        <w:t>预重整</w:t>
      </w:r>
      <w:r>
        <w:rPr>
          <w:rFonts w:hint="default" w:ascii="仿宋" w:hAnsi="仿宋" w:eastAsia="仿宋" w:cs="仿宋"/>
          <w:b w:val="0"/>
          <w:bCs w:val="0"/>
          <w:snapToGrid w:val="0"/>
          <w:color w:val="000000"/>
          <w:spacing w:val="9"/>
          <w:kern w:val="0"/>
          <w:sz w:val="32"/>
          <w:szCs w:val="32"/>
          <w:lang w:val="en-US" w:eastAsia="zh-CN" w:bidi="ar-SA"/>
        </w:rPr>
        <w:t>管理人提供的信息和资料，除用于内部投资分析和制定投资方的投资方案，或依法向有关公权力部门提供外，不得另作他用，不得泄露给除提供专业服务的机构以外的第三方</w:t>
      </w:r>
      <w:r>
        <w:rPr>
          <w:rFonts w:hint="eastAsia" w:ascii="仿宋" w:hAnsi="仿宋" w:eastAsia="仿宋" w:cs="仿宋"/>
          <w:b w:val="0"/>
          <w:bCs w:val="0"/>
          <w:snapToGrid w:val="0"/>
          <w:color w:val="000000"/>
          <w:spacing w:val="9"/>
          <w:kern w:val="0"/>
          <w:sz w:val="32"/>
          <w:szCs w:val="32"/>
          <w:lang w:val="en-US" w:eastAsia="zh-CN" w:bidi="ar-SA"/>
        </w:rPr>
        <w:t>；</w:t>
      </w:r>
    </w:p>
    <w:p w14:paraId="41F0F8C7">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三、我</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单位</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承诺如违反上述保密义务，自愿支付100万元违约金，违约金不足以弥补因此给债务人或</w:t>
      </w:r>
      <w:r>
        <w:rPr>
          <w:rFonts w:hint="eastAsia" w:ascii="仿宋" w:hAnsi="仿宋" w:eastAsia="仿宋" w:cs="仿宋"/>
          <w:b w:val="0"/>
          <w:bCs w:val="0"/>
          <w:snapToGrid w:val="0"/>
          <w:color w:val="000000"/>
          <w:spacing w:val="9"/>
          <w:kern w:val="0"/>
          <w:sz w:val="32"/>
          <w:szCs w:val="32"/>
          <w:lang w:val="en-US" w:eastAsia="zh-CN" w:bidi="ar-SA"/>
        </w:rPr>
        <w:t>预重整</w:t>
      </w:r>
      <w:r>
        <w:rPr>
          <w:rFonts w:hint="default" w:ascii="仿宋" w:hAnsi="仿宋" w:eastAsia="仿宋" w:cs="仿宋"/>
          <w:b w:val="0"/>
          <w:bCs w:val="0"/>
          <w:snapToGrid w:val="0"/>
          <w:color w:val="000000"/>
          <w:spacing w:val="9"/>
          <w:kern w:val="0"/>
          <w:sz w:val="32"/>
          <w:szCs w:val="32"/>
          <w:lang w:val="en-US" w:eastAsia="zh-CN" w:bidi="ar-SA"/>
        </w:rPr>
        <w:t>管理人造成的全部经济损失的，我</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单位</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将赔偿全部损失</w:t>
      </w:r>
      <w:r>
        <w:rPr>
          <w:rFonts w:hint="eastAsia" w:ascii="仿宋" w:hAnsi="仿宋" w:eastAsia="仿宋" w:cs="仿宋"/>
          <w:b w:val="0"/>
          <w:bCs w:val="0"/>
          <w:snapToGrid w:val="0"/>
          <w:color w:val="000000"/>
          <w:spacing w:val="9"/>
          <w:kern w:val="0"/>
          <w:sz w:val="32"/>
          <w:szCs w:val="32"/>
          <w:lang w:val="en-US" w:eastAsia="zh-CN" w:bidi="ar-SA"/>
        </w:rPr>
        <w:t>；</w:t>
      </w:r>
    </w:p>
    <w:p w14:paraId="011F82EA">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四、我</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单位</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承担保密义务的期限自获取相关信息、资料时起到信息进入公共领域，不再需要保密时止，不因我</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单位</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未被确定为投资人而免除保密义务。</w:t>
      </w:r>
    </w:p>
    <w:p w14:paraId="5FE53AA6">
      <w:pPr>
        <w:pStyle w:val="2"/>
        <w:keepNext w:val="0"/>
        <w:keepLines w:val="0"/>
        <w:pageBreakBefore w:val="0"/>
        <w:widowControl/>
        <w:kinsoku/>
        <w:wordWrap/>
        <w:overflowPunct/>
        <w:topLinePunct w:val="0"/>
        <w:bidi w:val="0"/>
        <w:spacing w:after="0" w:line="560" w:lineRule="exact"/>
        <w:ind w:firstLine="676" w:firstLineChars="200"/>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特此承诺。</w:t>
      </w:r>
    </w:p>
    <w:p w14:paraId="47A506F8">
      <w:pPr>
        <w:pStyle w:val="2"/>
        <w:keepNext w:val="0"/>
        <w:keepLines w:val="0"/>
        <w:pageBreakBefore w:val="0"/>
        <w:widowControl/>
        <w:kinsoku/>
        <w:wordWrap/>
        <w:overflowPunct/>
        <w:topLinePunct w:val="0"/>
        <w:bidi w:val="0"/>
        <w:spacing w:after="0" w:line="560" w:lineRule="exact"/>
        <w:ind w:firstLine="676" w:firstLineChars="200"/>
        <w:jc w:val="center"/>
        <w:rPr>
          <w:rFonts w:hint="default" w:ascii="仿宋" w:hAnsi="仿宋" w:eastAsia="仿宋" w:cs="仿宋"/>
          <w:b w:val="0"/>
          <w:bCs w:val="0"/>
          <w:snapToGrid w:val="0"/>
          <w:color w:val="000000"/>
          <w:spacing w:val="9"/>
          <w:kern w:val="0"/>
          <w:sz w:val="32"/>
          <w:szCs w:val="32"/>
          <w:lang w:val="en-US" w:eastAsia="zh-CN" w:bidi="ar-SA"/>
        </w:rPr>
      </w:pPr>
      <w:r>
        <w:rPr>
          <w:rFonts w:hint="default" w:ascii="仿宋" w:hAnsi="仿宋" w:eastAsia="仿宋" w:cs="仿宋"/>
          <w:b w:val="0"/>
          <w:bCs w:val="0"/>
          <w:snapToGrid w:val="0"/>
          <w:color w:val="000000"/>
          <w:spacing w:val="9"/>
          <w:kern w:val="0"/>
          <w:sz w:val="32"/>
          <w:szCs w:val="32"/>
          <w:lang w:val="en-US" w:eastAsia="zh-CN" w:bidi="ar-SA"/>
        </w:rPr>
        <w:t>承诺人</w:t>
      </w:r>
      <w:r>
        <w:rPr>
          <w:rFonts w:hint="eastAsia" w:ascii="仿宋" w:hAnsi="仿宋" w:eastAsia="仿宋" w:cs="仿宋"/>
          <w:b w:val="0"/>
          <w:bCs w:val="0"/>
          <w:snapToGrid w:val="0"/>
          <w:color w:val="000000"/>
          <w:spacing w:val="9"/>
          <w:kern w:val="0"/>
          <w:sz w:val="32"/>
          <w:szCs w:val="32"/>
          <w:lang w:val="en-US" w:eastAsia="zh-CN" w:bidi="ar-SA"/>
        </w:rPr>
        <w:t>（</w:t>
      </w:r>
      <w:r>
        <w:rPr>
          <w:rFonts w:hint="default" w:ascii="仿宋" w:hAnsi="仿宋" w:eastAsia="仿宋" w:cs="仿宋"/>
          <w:b w:val="0"/>
          <w:bCs w:val="0"/>
          <w:snapToGrid w:val="0"/>
          <w:color w:val="000000"/>
          <w:spacing w:val="9"/>
          <w:kern w:val="0"/>
          <w:sz w:val="32"/>
          <w:szCs w:val="32"/>
          <w:lang w:val="en-US" w:eastAsia="zh-CN" w:bidi="ar-SA"/>
        </w:rPr>
        <w:t>签字或盖章</w:t>
      </w:r>
      <w:r>
        <w:rPr>
          <w:rFonts w:hint="eastAsia" w:ascii="仿宋" w:hAnsi="仿宋" w:eastAsia="仿宋" w:cs="仿宋"/>
          <w:b w:val="0"/>
          <w:bCs w:val="0"/>
          <w:snapToGrid w:val="0"/>
          <w:color w:val="000000"/>
          <w:spacing w:val="9"/>
          <w:kern w:val="0"/>
          <w:sz w:val="32"/>
          <w:szCs w:val="32"/>
          <w:lang w:val="en-US" w:eastAsia="zh-CN" w:bidi="ar-SA"/>
        </w:rPr>
        <w:t>）：</w:t>
      </w:r>
    </w:p>
    <w:p w14:paraId="3C13ACDF">
      <w:pPr>
        <w:pStyle w:val="2"/>
        <w:keepNext w:val="0"/>
        <w:keepLines w:val="0"/>
        <w:pageBreakBefore w:val="0"/>
        <w:widowControl/>
        <w:kinsoku/>
        <w:wordWrap/>
        <w:overflowPunct/>
        <w:topLinePunct w:val="0"/>
        <w:bidi w:val="0"/>
        <w:spacing w:after="0" w:line="560" w:lineRule="exact"/>
        <w:jc w:val="right"/>
        <w:rPr>
          <w:rFonts w:hint="default" w:ascii="仿宋" w:hAnsi="仿宋" w:eastAsia="仿宋" w:cs="仿宋"/>
          <w:b w:val="0"/>
          <w:bCs w:val="0"/>
          <w:snapToGrid w:val="0"/>
          <w:color w:val="000000"/>
          <w:spacing w:val="9"/>
          <w:kern w:val="0"/>
          <w:sz w:val="32"/>
          <w:szCs w:val="32"/>
          <w:lang w:val="en-US" w:eastAsia="zh-CN" w:bidi="ar-SA"/>
        </w:rPr>
      </w:pPr>
      <w:r>
        <w:rPr>
          <w:rFonts w:hint="eastAsia" w:ascii="仿宋" w:hAnsi="仿宋" w:eastAsia="仿宋" w:cs="仿宋"/>
          <w:b w:val="0"/>
          <w:bCs w:val="0"/>
          <w:snapToGrid w:val="0"/>
          <w:color w:val="000000"/>
          <w:spacing w:val="9"/>
          <w:kern w:val="0"/>
          <w:sz w:val="32"/>
          <w:szCs w:val="32"/>
          <w:lang w:val="en-US" w:eastAsia="zh-CN" w:bidi="ar-SA"/>
        </w:rPr>
        <w:t>年    月    日</w:t>
      </w: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31436">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E287D6">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BE287D6">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656A32"/>
    <w:multiLevelType w:val="singleLevel"/>
    <w:tmpl w:val="16656A3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kNWJiODhmYWU4MDM5ODQ5YjRkMjFiZjI2YjA1OGQifQ=="/>
  </w:docVars>
  <w:rsids>
    <w:rsidRoot w:val="654E2322"/>
    <w:rsid w:val="00A45142"/>
    <w:rsid w:val="066F0F41"/>
    <w:rsid w:val="16865A79"/>
    <w:rsid w:val="1B9605A9"/>
    <w:rsid w:val="36FC5244"/>
    <w:rsid w:val="371A6C0B"/>
    <w:rsid w:val="47411B55"/>
    <w:rsid w:val="49E23372"/>
    <w:rsid w:val="4C5C2F8D"/>
    <w:rsid w:val="4D4D76A6"/>
    <w:rsid w:val="4E731264"/>
    <w:rsid w:val="5BE21776"/>
    <w:rsid w:val="619B42AF"/>
    <w:rsid w:val="64FF0C2E"/>
    <w:rsid w:val="654E2322"/>
    <w:rsid w:val="6CA777F4"/>
    <w:rsid w:val="7CB422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tabs>
        <w:tab w:val="left" w:pos="720"/>
        <w:tab w:val="left" w:pos="1440"/>
        <w:tab w:val="left" w:pos="2160"/>
        <w:tab w:val="left" w:pos="2880"/>
        <w:tab w:val="left" w:pos="3600"/>
        <w:tab w:val="left" w:pos="4321"/>
        <w:tab w:val="left" w:pos="5041"/>
        <w:tab w:val="left" w:pos="5761"/>
        <w:tab w:val="left" w:pos="6481"/>
        <w:tab w:val="left" w:pos="7201"/>
        <w:tab w:val="left" w:pos="7921"/>
      </w:tabs>
      <w:autoSpaceDE w:val="0"/>
      <w:autoSpaceDN w:val="0"/>
      <w:spacing w:after="120"/>
    </w:pPr>
    <w:rPr>
      <w:lang w:val="en-AU"/>
    </w:rPr>
  </w:style>
  <w:style w:type="paragraph" w:styleId="3">
    <w:name w:val="Body Text First Indent"/>
    <w:basedOn w:val="2"/>
    <w:qFormat/>
    <w:uiPriority w:val="0"/>
    <w:pPr>
      <w:tabs>
        <w:tab w:val="clear" w:pos="720"/>
        <w:tab w:val="clear" w:pos="1440"/>
        <w:tab w:val="clear" w:pos="2160"/>
        <w:tab w:val="clear" w:pos="2880"/>
        <w:tab w:val="clear" w:pos="3600"/>
        <w:tab w:val="clear" w:pos="4321"/>
        <w:tab w:val="clear" w:pos="5041"/>
        <w:tab w:val="clear" w:pos="5761"/>
        <w:tab w:val="clear" w:pos="6481"/>
        <w:tab w:val="clear" w:pos="7201"/>
        <w:tab w:val="clear" w:pos="7921"/>
      </w:tabs>
      <w:autoSpaceDE/>
      <w:autoSpaceDN/>
      <w:ind w:firstLine="420" w:firstLineChars="100"/>
    </w:pPr>
    <w:rPr>
      <w:lang w:val="en-US"/>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3d396a4d-b543-4ead-ae2c-bc9ffb1267de</errorID>
      <errorWord>门坎</errorWord>
      <group>L1_Word</group>
      <groupName>字词问题</groupName>
      <ability>L2_Variant</ability>
      <abilityName>异形词</abilityName>
      <candidateList>
        <item>门槛</item>
      </candidateList>
      <explain>词汇[门坎]的规范词形写作[门槛]。</explain>
      <paraID> B75B0F3</paraID>
      <start>26</start>
      <end>28</end>
      <status>ignored</status>
      <modifiedWord/>
      <trackRevisions>false</trackRevisions>
    </reviewItem>
    <reviewItem>
      <errorID>46d0385e-b44d-4b9b-898f-3a7f78755bff</errorID>
      <errorWord>截止2026</errorWord>
      <group>L1_Word</group>
      <groupName>字词问题</groupName>
      <ability>L2_Typo</ability>
      <abilityName>字词错误</abilityName>
      <candidateList>
        <item>截至2026</item>
      </candidateList>
      <explain/>
      <paraID>3E9391FD</paraID>
      <start>4</start>
      <end>10</end>
      <status>ignored</status>
      <modifiedWord/>
      <trackRevisions>false</trackRevisions>
    </reviewItem>
    <reviewItem>
      <errorID>69dc86b4-9aa2-4041-87af-9415916753e6</errorID>
      <errorWord>截止2026</errorWord>
      <group>L1_Word</group>
      <groupName>字词问题</groupName>
      <ability>L2_Typo</ability>
      <abilityName>字词错误</abilityName>
      <candidateList>
        <item>截至2026</item>
      </candidateList>
      <explain/>
      <paraID>5153F9BC</paraID>
      <start>4</start>
      <end>10</end>
      <status>ignored</status>
      <modifiedWord/>
      <trackRevisions>false</trackRevisions>
    </reviewItem>
    <reviewItem>
      <errorID>658a38ef-b9d7-4793-839f-439b1a26f064</errorID>
      <errorWord>本</errorWord>
      <group>L1_Word</group>
      <groupName>字词问题</groupName>
      <ability>L2_Typo</ability>
      <abilityName>字词错误</abilityName>
      <candidateList>
        <item>本次</item>
      </candidateList>
      <explain/>
      <paraID>4E5348ED</paraID>
      <start>66</start>
      <end>67</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3f7b08-6860-4205-a5f6-9769530c8e50}">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5018</Words>
  <Characters>5303</Characters>
  <Lines>0</Lines>
  <Paragraphs>0</Paragraphs>
  <TotalTime>8</TotalTime>
  <ScaleCrop>false</ScaleCrop>
  <LinksUpToDate>false</LinksUpToDate>
  <CharactersWithSpaces>5334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2026-02-04T02:12:00Z</dcterms:created>
  <dc:creator>You Are</dc:creator>
  <cp:lastModifiedBy>Lixy</cp:lastModifiedBy>
  <dcterms:modified xsi:type="dcterms:W3CDTF">2026-02-11T08:44:21Z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A491B50673164FF59A358FF2762E79E3_13</vt:lpwstr>
  </property>
  <property fmtid="{D5CDD505-2E9C-101B-9397-08002B2CF9AE}" pid="4" name="KSOTemplateDocerSaveRecord">
    <vt:lpwstr>eyJoZGlkIjoiMzExNDYyY2RmMDFlZTRjZjFiODQ5NWM4MGJmZWZlN2EiLCJ1c2VySWQiOiIxMTY3OTgyNTMyIn0=</vt:lpwstr>
  </property>
</Properties>
</file>