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2E010F">
      <w:pPr>
        <w:widowControl w:val="0"/>
        <w:kinsoku/>
        <w:autoSpaceDE/>
        <w:autoSpaceDN/>
        <w:adjustRightInd/>
        <w:snapToGrid/>
        <w:spacing w:line="240" w:lineRule="auto"/>
        <w:jc w:val="center"/>
        <w:textAlignment w:val="auto"/>
        <w:rPr>
          <w:rFonts w:hint="eastAsia" w:ascii="华文中宋" w:hAnsi="华文中宋" w:eastAsia="华文中宋" w:cs="华文中宋"/>
          <w:b/>
          <w:bCs/>
          <w:snapToGrid/>
          <w:kern w:val="2"/>
          <w:sz w:val="36"/>
          <w:szCs w:val="36"/>
          <w:lang w:val="en-US" w:eastAsia="zh-CN"/>
        </w:rPr>
      </w:pPr>
      <w:r>
        <w:rPr>
          <w:rFonts w:hint="default" w:ascii="华文中宋" w:hAnsi="华文中宋" w:eastAsia="华文中宋" w:cs="华文中宋"/>
          <w:b/>
          <w:bCs/>
          <w:snapToGrid/>
          <w:kern w:val="2"/>
          <w:sz w:val="36"/>
          <w:szCs w:val="36"/>
          <w:lang w:val="en-US" w:eastAsia="zh-CN"/>
        </w:rPr>
        <w:t>顺联房地产（武汉）开发有限公司</w:t>
      </w:r>
      <w:r>
        <w:rPr>
          <w:rFonts w:hint="default" w:ascii="华文中宋" w:hAnsi="华文中宋" w:eastAsia="华文中宋" w:cs="华文中宋"/>
          <w:b/>
          <w:bCs/>
          <w:snapToGrid/>
          <w:kern w:val="2"/>
          <w:sz w:val="36"/>
          <w:szCs w:val="36"/>
          <w:lang w:val="en-US"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135890</wp:posOffset>
                </wp:positionH>
                <wp:positionV relativeFrom="paragraph">
                  <wp:posOffset>351790</wp:posOffset>
                </wp:positionV>
                <wp:extent cx="5019675" cy="5080"/>
                <wp:effectExtent l="28575" t="28575" r="28575" b="3302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19675" cy="5080"/>
                        </a:xfrm>
                        <a:prstGeom prst="line">
                          <a:avLst/>
                        </a:prstGeom>
                        <a:ln w="57150" cap="sq" cmpd="dbl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.7pt;margin-top:27.7pt;height:0.4pt;width:395.25pt;z-index:251660288;mso-width-relative:page;mso-height-relative:page;" filled="f" stroked="t" coordsize="21600,21600" o:gfxdata="UEsDBAoAAAAAAIdO4kAAAAAAAAAAAAAAAAAEAAAAZHJzL1BLAwQUAAAACACHTuJAkLZ7zNcAAAAI&#10;AQAADwAAAGRycy9kb3ducmV2LnhtbE2PQU/DMAyF70j8h8hIXCaWtrBqK013AHFjQhtIu6aNaSsS&#10;p0qybvx7zAlOlv2enr9Xby/OihlDHD0pyJcZCKTOm5F6BR/vL3drEDFpMtp6QgXfGGHbXF/VujL+&#10;THucD6kXHEKx0gqGlKZKytgN6HRc+gmJtU8fnE68hl6aoM8c7qwssqyUTo/EHwY94dOA3dfh5BS8&#10;LY5dMb+Wu+fQLtw+3afW7oxStzd59ggi4SX9meEXn9GhYabWn8hEYRUU+QM7FaxWPFlf5/kGRMuH&#10;sgDZ1PJ/geYHUEsDBBQAAAAIAIdO4kCB7JAjAgIAAP4DAAAOAAAAZHJzL2Uyb0RvYy54bWytU81u&#10;EzEQviPxDpbvZDet0pZVNj00lAuCSMADTGxv1pL/8Dh/L8ELIHGDE0fufRvKYzD2hlDKJQf24B17&#10;Zr6Z7/N4er2zhm1URO1dy8ejmjPlhJfarVr+/t3tsyvOMIGTYLxTLd8r5Nezp0+m29CoM997I1Vk&#10;BOKw2YaW9ymFpqpQ9MoCjnxQjpydjxYSbeOqkhG2hG5NdVbXF9XWRxmiFwqRTueDkx8Q4ymAvuu0&#10;UHMv1la5NKBGZSARJex1QD4r3XadEulN16FKzLScmKayUhGyl3mtZlNoVhFCr8WhBTilhUecLGhH&#10;RY9Qc0jA1lH/A2W1iB59l0bC22ogUhQhFuP6kTZvewiqcCGpMRxFx/8HK15vFpFp2fJzzhxYuvD7&#10;T99/fPzy8+4zrfffvrLzLNI2YEOxN24RDzsMi5gZ77po85+4sF0Rdn8UVu0SE3Q4qcfPLy4nnAny&#10;Teqronv1JzdETC+VtywbLTfaZdrQwOYVJqpHob9D8rFxbEs4l+MJXaMAGkL8QIYNREMuTUlFb7S8&#10;1cbkBIyr5Y2JbAN5DMqXSRHsX2G5xhywH+KKaxiQ6NdOUgI0vQL5wkmW9oGkcvRCeO7FKsmZUfSg&#10;slUiE2hzSiQ1YVyGVmVcD4Sz3oPC2Vp6uadrWoeoVz0JNC7dZw+NReFxGOE8dw/3ZD98trN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kLZ7zNcAAAAIAQAADwAAAAAAAAABACAAAAAiAAAAZHJzL2Rv&#10;d25yZXYueG1sUEsBAhQAFAAAAAgAh07iQIHskCMCAgAA/gMAAA4AAAAAAAAAAQAgAAAAJgEAAGRy&#10;cy9lMm9Eb2MueG1sUEsFBgAAAAAGAAYAWQEAAJoFAAAAAA==&#10;">
                <v:fill on="f" focussize="0,0"/>
                <v:stroke weight="4.5pt" color="#000000" linestyle="thinThin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华文中宋" w:hAnsi="华文中宋" w:eastAsia="华文中宋" w:cs="华文中宋"/>
          <w:b/>
          <w:bCs/>
          <w:snapToGrid/>
          <w:kern w:val="2"/>
          <w:sz w:val="36"/>
          <w:szCs w:val="36"/>
          <w:lang w:val="en-US" w:eastAsia="zh-CN"/>
        </w:rPr>
        <w:t>临时管理人文件</w:t>
      </w:r>
    </w:p>
    <w:p w14:paraId="0086C4D1">
      <w:pPr>
        <w:spacing w:line="354" w:lineRule="auto"/>
        <w:rPr>
          <w:rFonts w:ascii="Arial"/>
          <w:sz w:val="21"/>
        </w:rPr>
      </w:pPr>
    </w:p>
    <w:p w14:paraId="09685609">
      <w:pPr>
        <w:spacing w:before="100" w:line="224" w:lineRule="auto"/>
        <w:ind w:left="2732"/>
        <w:outlineLvl w:val="2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6"/>
          <w:sz w:val="31"/>
          <w:szCs w:val="31"/>
        </w:rPr>
        <w:t>诚信申报债权承诺书</w:t>
      </w:r>
    </w:p>
    <w:p w14:paraId="7A97FEF8">
      <w:pPr>
        <w:spacing w:line="260" w:lineRule="auto"/>
        <w:rPr>
          <w:rFonts w:ascii="Arial"/>
          <w:sz w:val="21"/>
        </w:rPr>
      </w:pPr>
    </w:p>
    <w:p w14:paraId="5BE62C6F">
      <w:pPr>
        <w:spacing w:line="260" w:lineRule="auto"/>
        <w:rPr>
          <w:rFonts w:ascii="Arial"/>
          <w:sz w:val="21"/>
        </w:rPr>
      </w:pPr>
    </w:p>
    <w:p w14:paraId="580B8E48">
      <w:pPr>
        <w:pStyle w:val="2"/>
        <w:spacing w:before="91" w:line="368" w:lineRule="auto"/>
        <w:ind w:left="66" w:right="13" w:firstLine="526"/>
      </w:pPr>
      <w:r>
        <w:rPr>
          <w:spacing w:val="-9"/>
        </w:rPr>
        <w:t>本人/本单位已仔细阅读《诚信申报债权告知书》，清楚、理解其</w:t>
      </w:r>
      <w:r>
        <w:rPr>
          <w:spacing w:val="-3"/>
        </w:rPr>
        <w:t>内容并愿意严格遵守。在此，本人/本单位郑重承诺:</w:t>
      </w:r>
    </w:p>
    <w:p w14:paraId="09CFFD2C">
      <w:pPr>
        <w:pStyle w:val="2"/>
        <w:spacing w:line="333" w:lineRule="auto"/>
        <w:ind w:left="32" w:right="13" w:firstLine="571"/>
      </w:pPr>
      <w:r>
        <w:t>1.本人/本单位申报的债权均为真实、有效的债权，向临时管理</w:t>
      </w:r>
      <w:r>
        <w:rPr>
          <w:spacing w:val="-4"/>
        </w:rPr>
        <w:t>人提交的所有材料、作出的陈述均真实、完整，并自行承担因填报不实、虚假陈述提供虚假资料或资料不全等所引起的法律后果及刑事责</w:t>
      </w:r>
      <w:r>
        <w:rPr>
          <w:spacing w:val="-9"/>
        </w:rPr>
        <w:t>任。</w:t>
      </w:r>
    </w:p>
    <w:p w14:paraId="660A1EDF">
      <w:pPr>
        <w:pStyle w:val="2"/>
        <w:spacing w:before="221" w:line="320" w:lineRule="auto"/>
        <w:ind w:left="32" w:right="13" w:firstLine="553"/>
      </w:pPr>
      <w:r>
        <w:rPr>
          <w:spacing w:val="1"/>
        </w:rPr>
        <w:t>2.本人/本单位申报的债权均为未获清偿的债权，不存在隐瞒受</w:t>
      </w:r>
      <w:r>
        <w:rPr>
          <w:spacing w:val="-4"/>
        </w:rPr>
        <w:t>偿事实之情形（包括但不限于债务人的保证人或者其他连带债务人已</w:t>
      </w:r>
      <w:r>
        <w:rPr>
          <w:spacing w:val="-12"/>
        </w:rPr>
        <w:t>经清偿债务的情形）。</w:t>
      </w:r>
    </w:p>
    <w:p w14:paraId="5C8B1098">
      <w:pPr>
        <w:pStyle w:val="2"/>
        <w:spacing w:before="227" w:line="320" w:lineRule="auto"/>
        <w:ind w:left="38" w:right="13" w:firstLine="550"/>
      </w:pPr>
      <w:r>
        <w:rPr>
          <w:spacing w:val="1"/>
        </w:rPr>
        <w:t>3.债权申报后，本人/本单位申报的债权若有受偿（包括但不限</w:t>
      </w:r>
      <w:r>
        <w:t>于从债务人的保证人或者其他连带债务人处获得清偿</w:t>
      </w:r>
      <w:r>
        <w:rPr>
          <w:spacing w:val="-60"/>
        </w:rPr>
        <w:t>），</w:t>
      </w:r>
      <w:r>
        <w:t>将在一周内</w:t>
      </w:r>
      <w:r>
        <w:rPr>
          <w:spacing w:val="-3"/>
        </w:rPr>
        <w:t>主动书面告知临时管理人。</w:t>
      </w:r>
    </w:p>
    <w:p w14:paraId="16B0D068">
      <w:pPr>
        <w:pStyle w:val="2"/>
        <w:spacing w:before="222" w:line="221" w:lineRule="auto"/>
        <w:ind w:left="581"/>
      </w:pPr>
      <w:r>
        <w:t>4.本人/本单位承诺对临时管理人的调查如</w:t>
      </w:r>
      <w:r>
        <w:rPr>
          <w:spacing w:val="-1"/>
        </w:rPr>
        <w:t>实作答，不隐瞒。</w:t>
      </w:r>
    </w:p>
    <w:p w14:paraId="2571A5B0">
      <w:pPr>
        <w:pStyle w:val="2"/>
        <w:spacing w:before="225" w:line="321" w:lineRule="auto"/>
        <w:ind w:left="37" w:right="13" w:firstLine="551"/>
      </w:pPr>
      <w:r>
        <w:rPr>
          <w:spacing w:val="1"/>
        </w:rPr>
        <w:t>5.本人/本单位向临时管理人提供的信息发生变更的，债权申报</w:t>
      </w:r>
      <w:r>
        <w:rPr>
          <w:spacing w:val="-4"/>
        </w:rPr>
        <w:t>人将及时书面通知临时管理人，因未及时通知造成的后果由债权申报</w:t>
      </w:r>
      <w:r>
        <w:rPr>
          <w:spacing w:val="-6"/>
        </w:rPr>
        <w:t>人承担。</w:t>
      </w:r>
    </w:p>
    <w:p w14:paraId="7BE01A8D">
      <w:pPr>
        <w:pStyle w:val="2"/>
        <w:spacing w:before="218" w:line="296" w:lineRule="auto"/>
        <w:ind w:left="31" w:right="13" w:firstLine="553"/>
      </w:pPr>
      <w:r>
        <w:rPr>
          <w:spacing w:val="1"/>
        </w:rPr>
        <w:t>6.本人/本单位承诺诚信申报债权，清楚违反上述行为将有可能</w:t>
      </w:r>
      <w:r>
        <w:rPr>
          <w:spacing w:val="-3"/>
        </w:rPr>
        <w:t>构成刑事犯罪。</w:t>
      </w:r>
    </w:p>
    <w:p w14:paraId="67EFDBC4">
      <w:pPr>
        <w:spacing w:line="343" w:lineRule="auto"/>
        <w:rPr>
          <w:rFonts w:ascii="Arial"/>
          <w:sz w:val="21"/>
        </w:rPr>
      </w:pPr>
    </w:p>
    <w:p w14:paraId="586BED8D">
      <w:pPr>
        <w:spacing w:line="343" w:lineRule="auto"/>
        <w:rPr>
          <w:rFonts w:ascii="Arial"/>
          <w:sz w:val="21"/>
        </w:rPr>
      </w:pPr>
    </w:p>
    <w:p w14:paraId="26576606">
      <w:pPr>
        <w:pStyle w:val="2"/>
        <w:spacing w:before="92" w:line="222" w:lineRule="auto"/>
        <w:ind w:left="4419"/>
      </w:pPr>
      <w:r>
        <w:rPr>
          <w:spacing w:val="1"/>
        </w:rPr>
        <w:t>债权申报人（承诺人）:</w:t>
      </w:r>
    </w:p>
    <w:p w14:paraId="44CD5A48">
      <w:pPr>
        <w:pStyle w:val="2"/>
        <w:spacing w:before="223" w:line="223" w:lineRule="auto"/>
        <w:ind w:left="4533"/>
      </w:pPr>
      <w:r>
        <w:rPr>
          <w:spacing w:val="-16"/>
        </w:rPr>
        <w:t>时间:</w:t>
      </w:r>
      <w:r>
        <w:rPr>
          <w:spacing w:val="6"/>
        </w:rPr>
        <w:t xml:space="preserve">    </w:t>
      </w:r>
      <w:r>
        <w:rPr>
          <w:spacing w:val="-16"/>
        </w:rPr>
        <w:t>年</w:t>
      </w:r>
      <w:r>
        <w:rPr>
          <w:spacing w:val="8"/>
        </w:rPr>
        <w:t xml:space="preserve">    </w:t>
      </w:r>
      <w:r>
        <w:rPr>
          <w:spacing w:val="-16"/>
        </w:rPr>
        <w:t>月</w:t>
      </w:r>
      <w:r>
        <w:rPr>
          <w:spacing w:val="19"/>
        </w:rPr>
        <w:t xml:space="preserve">    </w:t>
      </w:r>
      <w:r>
        <w:rPr>
          <w:spacing w:val="-16"/>
        </w:rPr>
        <w:t>日</w:t>
      </w:r>
    </w:p>
    <w:p w14:paraId="3FB92DF5">
      <w:pPr>
        <w:spacing w:line="223" w:lineRule="auto"/>
        <w:sectPr>
          <w:pgSz w:w="11906" w:h="16839"/>
          <w:pgMar w:top="1389" w:right="1785" w:bottom="0" w:left="1785" w:header="0" w:footer="0" w:gutter="0"/>
          <w:cols w:space="720" w:num="1"/>
        </w:sectPr>
      </w:pPr>
    </w:p>
    <w:p w14:paraId="4DF38738">
      <w:pPr>
        <w:jc w:val="center"/>
        <w:rPr>
          <w:rFonts w:hint="eastAsia" w:ascii="Times New Roman" w:hAnsi="Times New Roman" w:eastAsia="仿宋" w:cs="华文中宋"/>
          <w:b/>
          <w:bCs/>
          <w:sz w:val="36"/>
          <w:szCs w:val="36"/>
          <w:lang w:val="en-US" w:eastAsia="zh-CN"/>
        </w:rPr>
      </w:pPr>
      <w:r>
        <w:rPr>
          <w:rFonts w:hint="default" w:ascii="华文中宋" w:hAnsi="华文中宋" w:eastAsia="华文中宋" w:cs="华文中宋"/>
          <w:b/>
          <w:bCs/>
          <w:sz w:val="36"/>
          <w:szCs w:val="36"/>
          <w:lang w:val="en-US"/>
        </w:rPr>
        <w:t>顺联</w:t>
      </w:r>
      <w:bookmarkStart w:id="0" w:name="_GoBack"/>
      <w:bookmarkEnd w:id="0"/>
      <w:r>
        <w:rPr>
          <w:rFonts w:hint="default" w:ascii="华文中宋" w:hAnsi="华文中宋" w:eastAsia="华文中宋" w:cs="华文中宋"/>
          <w:b/>
          <w:bCs/>
          <w:sz w:val="36"/>
          <w:szCs w:val="36"/>
          <w:lang w:val="en-US"/>
        </w:rPr>
        <w:t>房地产（武汉）开发有限公司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临时管理人文件</w:t>
      </w:r>
    </w:p>
    <w:p w14:paraId="52AC645E">
      <w:pPr>
        <w:spacing w:line="354" w:lineRule="auto"/>
        <w:rPr>
          <w:rFonts w:ascii="Arial"/>
          <w:sz w:val="21"/>
        </w:rPr>
      </w:pPr>
      <w:r>
        <w:rPr>
          <w:rFonts w:hint="default" w:ascii="华文中宋" w:hAnsi="华文中宋" w:eastAsia="华文中宋" w:cs="华文中宋"/>
          <w:b/>
          <w:bCs/>
          <w:sz w:val="36"/>
          <w:szCs w:val="36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209550</wp:posOffset>
                </wp:positionH>
                <wp:positionV relativeFrom="paragraph">
                  <wp:posOffset>635</wp:posOffset>
                </wp:positionV>
                <wp:extent cx="5019675" cy="5080"/>
                <wp:effectExtent l="28575" t="28575" r="28575" b="3302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19675" cy="5080"/>
                        </a:xfrm>
                        <a:prstGeom prst="line">
                          <a:avLst/>
                        </a:prstGeom>
                        <a:ln w="57150" cap="sq" cmpd="dbl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6.5pt;margin-top:0.05pt;height:0.4pt;width:395.25pt;z-index:251661312;mso-width-relative:page;mso-height-relative:page;" filled="f" stroked="t" coordsize="21600,21600" o:gfxdata="UEsDBAoAAAAAAIdO4kAAAAAAAAAAAAAAAAAEAAAAZHJzL1BLAwQUAAAACACHTuJAd+4CltQAAAAE&#10;AQAADwAAAGRycy9kb3ducmV2LnhtbE2PwU7DMBBE70j9B2srcamo00RUJcTpoRU3KtSCxNWJlyTC&#10;Xkf2Ni1/j3uC486MZt5W26uzYsIQB08KVssMBFLrzUCdgo/3l4cNiMiajLaeUMEPRtjWs7tKl8Zf&#10;6IjTiTuRSiiWWkHPPJZSxrZHp+PSj0jJ+/LBaU5n6KQJ+pLKnZV5lq2l0wOlhV6PuOux/T6dnYK3&#10;xWebT6/rwz40C3fkght7MErdz1fZMwjGK/+F4Yaf0KFOTI0/k4nCKiiK9ArfdJHcTV48gmgUPIGs&#10;K/kfvv4FUEsDBBQAAAAIAIdO4kBv+K/HAgIAAP4DAAAOAAAAZHJzL2Uyb0RvYy54bWytU81uEzEQ&#10;viPxDpbvZDeV0pZVNj00lAuCSMADTGxv1pL/8DjZ5CV4ASRucOLInbdpeQzG3hBKufTAHrxjz8w3&#10;830ez6/21rCdiqi9a/l0UnOmnPBSu03L37+7eXbJGSZwEox3quUHhfxq8fTJfAiNOvO9N1JFRiAO&#10;myG0vE8pNFWFolcWcOKDcuTsfLSQaBs3lYwwELo11Vldn1eDjzJELxQinS5HJz8ixscA+q7TQi29&#10;2Frl0ogalYFElLDXAfmidNt1SqQ3XYcqMdNyYprKSkXIXue1Wsyh2UQIvRbHFuAxLTzgZEE7KnqC&#10;WkICto36HyirRfTouzQR3lYjkaIIsZjWD7R520NQhQtJjeEkOv4/WPF6t4pMS5oEzhxYuvC7T99v&#10;P375+eMzrXffvrJpFmkI2FDstVvF4w7DKmbG+y7a/CcubF+EPZyEVfvEBB3O6unz84sZZ4J8s/qy&#10;6F79yQ0R00vlLctGy412mTY0sHuFiepR6O+QfGwcGwjnYjqjaxRAQ4gfyLCBaMi1KanojZY32pic&#10;gHGzvjaR7SCPQfkyKYL9KyzXWAL2Y1xxjQMS/dZJSoCmVyBfOMnSIZBUjl4Iz71YJTkzih5Utkpk&#10;Am0eE0lNGJehVRnXI+Gs96hwttZeHuiatiHqTU8ClSupsofGovA4jnCeu/t7su8/28U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d+4CltQAAAAEAQAADwAAAAAAAAABACAAAAAiAAAAZHJzL2Rvd25y&#10;ZXYueG1sUEsBAhQAFAAAAAgAh07iQG/4r8cCAgAA/gMAAA4AAAAAAAAAAQAgAAAAIwEAAGRycy9l&#10;Mm9Eb2MueG1sUEsFBgAAAAAGAAYAWQEAAJcFAAAAAA==&#10;">
                <v:fill on="f" focussize="0,0"/>
                <v:stroke weight="4.5pt" color="#000000" linestyle="thinThin" joinstyle="round" endcap="square"/>
                <v:imagedata o:title=""/>
                <o:lock v:ext="edit" aspectratio="f"/>
              </v:line>
            </w:pict>
          </mc:Fallback>
        </mc:AlternateContent>
      </w:r>
    </w:p>
    <w:p w14:paraId="77789115">
      <w:pPr>
        <w:spacing w:before="101" w:line="223" w:lineRule="auto"/>
        <w:ind w:left="2732"/>
        <w:outlineLvl w:val="2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6"/>
          <w:sz w:val="31"/>
          <w:szCs w:val="31"/>
        </w:rPr>
        <w:t>诚信申报债权告知书</w:t>
      </w:r>
    </w:p>
    <w:p w14:paraId="39DE0CDF">
      <w:pPr>
        <w:spacing w:line="349" w:lineRule="auto"/>
        <w:rPr>
          <w:rFonts w:ascii="Arial"/>
          <w:sz w:val="21"/>
        </w:rPr>
      </w:pPr>
    </w:p>
    <w:p w14:paraId="30BD1909">
      <w:pPr>
        <w:pStyle w:val="2"/>
        <w:spacing w:before="91" w:line="220" w:lineRule="auto"/>
        <w:jc w:val="right"/>
      </w:pPr>
      <w:r>
        <w:rPr>
          <w:spacing w:val="-7"/>
        </w:rPr>
        <w:t>申报债权是法律赋予公民、法人和其他组织在破产</w:t>
      </w:r>
      <w:r>
        <w:rPr>
          <w:spacing w:val="-8"/>
        </w:rPr>
        <w:t>程序中的权利，</w:t>
      </w:r>
    </w:p>
    <w:p w14:paraId="616441C6">
      <w:pPr>
        <w:pStyle w:val="2"/>
        <w:spacing w:before="206" w:line="356" w:lineRule="auto"/>
        <w:ind w:left="31" w:right="187" w:firstLine="1"/>
        <w:jc w:val="both"/>
      </w:pPr>
      <w:r>
        <w:rPr>
          <w:spacing w:val="-4"/>
        </w:rPr>
        <w:t>是维护公民、法人和其他组织合法权益和解决争议的重要手段，应当予以充分保障。同时，债权申报人应当依法、诚信地行使债权人的权</w:t>
      </w:r>
      <w:r>
        <w:rPr>
          <w:spacing w:val="-3"/>
        </w:rPr>
        <w:t>利、参与破产程序，共同维护良好的司法秩序，不应出现下列行为，</w:t>
      </w:r>
      <w:r>
        <w:rPr>
          <w:spacing w:val="-2"/>
        </w:rPr>
        <w:t>以免触犯法律，被追究法律责任：</w:t>
      </w:r>
    </w:p>
    <w:p w14:paraId="4B42D4A5">
      <w:pPr>
        <w:pStyle w:val="2"/>
        <w:spacing w:line="220" w:lineRule="auto"/>
        <w:ind w:left="603"/>
      </w:pPr>
      <w:r>
        <w:rPr>
          <w:spacing w:val="-1"/>
        </w:rPr>
        <w:t>1.与他人恶意串通，捏造债权债务关系或者以物抵</w:t>
      </w:r>
      <w:r>
        <w:rPr>
          <w:spacing w:val="-2"/>
        </w:rPr>
        <w:t>债协议；</w:t>
      </w:r>
    </w:p>
    <w:p w14:paraId="1E97D295">
      <w:pPr>
        <w:pStyle w:val="2"/>
        <w:spacing w:before="206" w:line="288" w:lineRule="auto"/>
        <w:ind w:left="32" w:right="222" w:firstLine="553"/>
      </w:pPr>
      <w:r>
        <w:rPr>
          <w:spacing w:val="-4"/>
        </w:rPr>
        <w:t>2.与公司、企业的法定代表人、董事、监事、经理或者其他预重</w:t>
      </w:r>
      <w:r>
        <w:rPr>
          <w:spacing w:val="-1"/>
        </w:rPr>
        <w:t>整管理人员恶意串通，捏造公司、企业债务或者担保义务；</w:t>
      </w:r>
    </w:p>
    <w:p w14:paraId="69B41703">
      <w:pPr>
        <w:pStyle w:val="2"/>
        <w:spacing w:before="206" w:line="223" w:lineRule="auto"/>
        <w:ind w:left="588"/>
      </w:pPr>
      <w:r>
        <w:rPr>
          <w:spacing w:val="-1"/>
        </w:rPr>
        <w:t>3.捏造知识产权侵权关系或者不正当竞争关系；</w:t>
      </w:r>
    </w:p>
    <w:p w14:paraId="314A25D9">
      <w:pPr>
        <w:pStyle w:val="2"/>
        <w:spacing w:before="202" w:line="220" w:lineRule="auto"/>
        <w:ind w:left="581"/>
      </w:pPr>
      <w:r>
        <w:rPr>
          <w:spacing w:val="-1"/>
        </w:rPr>
        <w:t>4.在破产案件审理过程中申报捏造的债权；</w:t>
      </w:r>
    </w:p>
    <w:p w14:paraId="0D64AF3B">
      <w:pPr>
        <w:pStyle w:val="2"/>
        <w:spacing w:before="205" w:line="289" w:lineRule="auto"/>
        <w:ind w:left="32" w:right="222" w:firstLine="556"/>
      </w:pPr>
      <w:r>
        <w:rPr>
          <w:spacing w:val="-4"/>
        </w:rPr>
        <w:t>5.单方或者与他人恶意串通，捏造身份、合同、侵权、继承等民</w:t>
      </w:r>
      <w:r>
        <w:rPr>
          <w:spacing w:val="-2"/>
        </w:rPr>
        <w:t>事法律关系的其他行为；</w:t>
      </w:r>
    </w:p>
    <w:p w14:paraId="4F9F754A">
      <w:pPr>
        <w:pStyle w:val="2"/>
        <w:spacing w:before="204" w:line="222" w:lineRule="auto"/>
        <w:ind w:left="585"/>
      </w:pPr>
      <w:r>
        <w:rPr>
          <w:spacing w:val="-1"/>
        </w:rPr>
        <w:t>6.隐瞒债务已经全部或者部分清偿的事实:</w:t>
      </w:r>
    </w:p>
    <w:p w14:paraId="5E5507C3">
      <w:pPr>
        <w:pStyle w:val="2"/>
        <w:spacing w:before="204" w:line="222" w:lineRule="auto"/>
        <w:ind w:left="589"/>
      </w:pPr>
      <w:r>
        <w:rPr>
          <w:spacing w:val="-2"/>
        </w:rPr>
        <w:t>7.毁灭、伪造证据；</w:t>
      </w:r>
    </w:p>
    <w:p w14:paraId="5D0843EA">
      <w:pPr>
        <w:pStyle w:val="2"/>
        <w:spacing w:before="205" w:line="311" w:lineRule="auto"/>
        <w:ind w:left="51" w:right="128" w:firstLine="532"/>
      </w:pPr>
      <w:r>
        <w:pict>
          <v:shape id="_x0000_s1026" o:spid="_x0000_s1026" style="position:absolute;left:0pt;margin-left:425pt;margin-top:81.65pt;height:27pt;width:0pt;z-index:251659264;mso-width-relative:page;mso-height-relative:page;" filled="f" stroked="t" coordsize="0,540" path="m0,0l0,540e">
            <v:fill on="f" focussize="0,0"/>
            <v:stroke weight="0pt" color="#000000" miterlimit="0" joinstyle="bevel" endcap="square"/>
            <v:imagedata o:title=""/>
            <o:lock v:ext="edit"/>
          </v:shape>
        </w:pict>
      </w:r>
      <w:r>
        <w:rPr>
          <w:spacing w:val="-4"/>
        </w:rPr>
        <w:t>8.故意拖延诉讼或者滥用诉讼权利阻挠、妨碍对方当事人进行正</w:t>
      </w:r>
      <w:r>
        <w:rPr>
          <w:spacing w:val="-10"/>
        </w:rPr>
        <w:t>当诉讼，故意躲避、拒绝签收法院传票、判决书等</w:t>
      </w:r>
      <w:r>
        <w:rPr>
          <w:spacing w:val="-11"/>
        </w:rPr>
        <w:t>法律文书，及妨碍、</w:t>
      </w:r>
      <w:r>
        <w:rPr>
          <w:spacing w:val="-4"/>
        </w:rPr>
        <w:t>阻挠法院调查取证；</w:t>
      </w:r>
    </w:p>
    <w:p w14:paraId="2518C0DB">
      <w:pPr>
        <w:pStyle w:val="2"/>
        <w:spacing w:before="201" w:line="290" w:lineRule="auto"/>
        <w:ind w:left="32" w:right="222" w:firstLine="551"/>
      </w:pPr>
      <w:r>
        <w:rPr>
          <w:spacing w:val="-4"/>
        </w:rPr>
        <w:t>9.捏造、散布虚假事实，诋毁法院、法官、预重整</w:t>
      </w:r>
      <w:r>
        <w:rPr>
          <w:color w:val="auto"/>
          <w:spacing w:val="-4"/>
          <w:u w:val="none" w:color="auto"/>
        </w:rPr>
        <w:t>临时管</w:t>
      </w:r>
      <w:r>
        <w:rPr>
          <w:spacing w:val="-4"/>
        </w:rPr>
        <w:t>理人声</w:t>
      </w:r>
      <w:r>
        <w:rPr>
          <w:spacing w:val="-9"/>
        </w:rPr>
        <w:t>誉；</w:t>
      </w:r>
    </w:p>
    <w:p w14:paraId="339EDA7F">
      <w:pPr>
        <w:pStyle w:val="2"/>
        <w:spacing w:before="203" w:line="288" w:lineRule="auto"/>
        <w:ind w:left="31" w:right="222" w:firstLine="572"/>
      </w:pPr>
      <w:r>
        <w:t>10.不服法院判决但不按法律途径寻求救济，而是通过扰乱社会</w:t>
      </w:r>
      <w:r>
        <w:rPr>
          <w:spacing w:val="-1"/>
        </w:rPr>
        <w:t>秩序等方式主张权利，影响社会稳定；</w:t>
      </w:r>
    </w:p>
    <w:p w14:paraId="06996EB1">
      <w:pPr>
        <w:pStyle w:val="2"/>
        <w:spacing w:before="205" w:line="222" w:lineRule="auto"/>
        <w:ind w:left="603"/>
      </w:pPr>
      <w:r>
        <w:rPr>
          <w:spacing w:val="-1"/>
        </w:rPr>
        <w:t>11. 其他捏造债权或不合法不合理主张权利</w:t>
      </w:r>
      <w:r>
        <w:rPr>
          <w:spacing w:val="-2"/>
        </w:rPr>
        <w:t>的行为。</w:t>
      </w:r>
    </w:p>
    <w:p w14:paraId="6CB1E259">
      <w:pPr>
        <w:spacing w:line="222" w:lineRule="auto"/>
        <w:sectPr>
          <w:pgSz w:w="11906" w:h="16839"/>
          <w:pgMar w:top="1389" w:right="1577" w:bottom="0" w:left="1785" w:header="0" w:footer="0" w:gutter="0"/>
          <w:cols w:space="720" w:num="1"/>
        </w:sectPr>
      </w:pPr>
    </w:p>
    <w:p w14:paraId="7E53137B">
      <w:pPr>
        <w:pStyle w:val="2"/>
        <w:spacing w:before="200" w:line="223" w:lineRule="auto"/>
        <w:ind w:left="603"/>
      </w:pPr>
      <w:r>
        <w:rPr>
          <w:spacing w:val="-4"/>
        </w:rPr>
        <w:t>附部分法律依据:</w:t>
      </w:r>
    </w:p>
    <w:p w14:paraId="3DF70268">
      <w:pPr>
        <w:pStyle w:val="2"/>
        <w:spacing w:before="201" w:line="356" w:lineRule="auto"/>
        <w:ind w:left="34" w:right="13" w:firstLine="550"/>
      </w:pPr>
      <w:r>
        <w:rPr>
          <w:spacing w:val="-9"/>
        </w:rPr>
        <w:t>《中华人民共和国刑法修正案（九）》 第三十五条规定，在刑法</w:t>
      </w:r>
      <w:r>
        <w:rPr>
          <w:spacing w:val="-4"/>
        </w:rPr>
        <w:t>第三百零七条后增加一条，作为第三百零七条之一，“以捏造的事实提起民事诉讼，妨害司法秩序或者严重侵害他人合法权益的，处三年以下有期徒刑拘役或者管制，并处或者单处罚金；情节严重的，处三</w:t>
      </w:r>
      <w:r>
        <w:rPr>
          <w:spacing w:val="-2"/>
        </w:rPr>
        <w:t>年以上七年以下有期徒刑，并处罚金。</w:t>
      </w:r>
    </w:p>
    <w:p w14:paraId="56C1022C">
      <w:pPr>
        <w:pStyle w:val="2"/>
        <w:spacing w:line="356" w:lineRule="auto"/>
        <w:ind w:left="54" w:right="13" w:firstLine="507"/>
      </w:pPr>
      <w:r>
        <w:rPr>
          <w:spacing w:val="-3"/>
        </w:rPr>
        <w:t>“单位犯前款罪的，对单位判处罚金，并对其直接负责的主管人</w:t>
      </w:r>
      <w:r>
        <w:rPr>
          <w:spacing w:val="-2"/>
        </w:rPr>
        <w:t>员和其他直接责任人员，依照前款的规定处罚。</w:t>
      </w:r>
    </w:p>
    <w:p w14:paraId="079D6845">
      <w:pPr>
        <w:pStyle w:val="2"/>
        <w:spacing w:line="356" w:lineRule="auto"/>
        <w:ind w:left="34" w:right="13" w:firstLine="527"/>
      </w:pPr>
      <w:r>
        <w:rPr>
          <w:spacing w:val="-3"/>
        </w:rPr>
        <w:t>“有第一款行为，非法占有他人财产或者逃避合法债务，又构成</w:t>
      </w:r>
      <w:r>
        <w:rPr>
          <w:spacing w:val="-1"/>
        </w:rPr>
        <w:t>其他犯罪的，依照处罚较重的规定定罪从重处罚。”</w:t>
      </w:r>
    </w:p>
    <w:p w14:paraId="1E8E05A0">
      <w:pPr>
        <w:pStyle w:val="2"/>
        <w:spacing w:line="356" w:lineRule="auto"/>
        <w:ind w:left="31" w:right="13" w:firstLine="554"/>
        <w:jc w:val="both"/>
      </w:pPr>
      <w:r>
        <w:rPr>
          <w:spacing w:val="-4"/>
        </w:rPr>
        <w:t>《最高人民法院、最高人民检察院关于办理虚假诉讼刑事案件适</w:t>
      </w:r>
      <w:r>
        <w:rPr>
          <w:spacing w:val="-6"/>
        </w:rPr>
        <w:t>用法律若干问题的解释》（法释〔2018〕17</w:t>
      </w:r>
      <w:r>
        <w:rPr>
          <w:spacing w:val="-47"/>
        </w:rPr>
        <w:t xml:space="preserve"> </w:t>
      </w:r>
      <w:r>
        <w:rPr>
          <w:spacing w:val="-6"/>
        </w:rPr>
        <w:t>号）第</w:t>
      </w:r>
      <w:r>
        <w:rPr>
          <w:spacing w:val="-7"/>
        </w:rPr>
        <w:t>一条第（五）项规</w:t>
      </w:r>
      <w:r>
        <w:rPr>
          <w:spacing w:val="-4"/>
        </w:rPr>
        <w:t>定，采取伪造证据、虚假陈述等手段，实施捏造债权债务关系和以物抵债协议；捏造公司、企业债务或者担保义务；在破产案件审理过程中申报捏造的债权等行为，捏造民事法律关系，虚构民事纠纷，向人民法院提起民事诉讼的，应当认定为刑法第三百零七条之一第一款规</w:t>
      </w:r>
      <w:r>
        <w:rPr>
          <w:spacing w:val="-6"/>
        </w:rPr>
        <w:t>定的“</w:t>
      </w:r>
      <w:r>
        <w:rPr>
          <w:spacing w:val="-93"/>
        </w:rPr>
        <w:t xml:space="preserve"> </w:t>
      </w:r>
      <w:r>
        <w:rPr>
          <w:spacing w:val="-6"/>
        </w:rPr>
        <w:t>以捏造的事实提起民事诉讼</w:t>
      </w:r>
      <w:r>
        <w:rPr>
          <w:spacing w:val="-103"/>
        </w:rPr>
        <w:t xml:space="preserve"> </w:t>
      </w:r>
      <w:r>
        <w:rPr>
          <w:spacing w:val="-6"/>
        </w:rPr>
        <w:t>”。</w:t>
      </w:r>
    </w:p>
    <w:p w14:paraId="02283158">
      <w:pPr>
        <w:pStyle w:val="2"/>
        <w:spacing w:before="1" w:line="223" w:lineRule="auto"/>
        <w:ind w:left="590"/>
      </w:pPr>
      <w:r>
        <w:rPr>
          <w:spacing w:val="-5"/>
        </w:rPr>
        <w:t>特此告知</w:t>
      </w:r>
    </w:p>
    <w:p w14:paraId="22294757">
      <w:pPr>
        <w:spacing w:line="355" w:lineRule="auto"/>
        <w:rPr>
          <w:rFonts w:ascii="Arial"/>
          <w:sz w:val="21"/>
        </w:rPr>
      </w:pPr>
    </w:p>
    <w:p w14:paraId="14C91EA2">
      <w:pPr>
        <w:spacing w:line="355" w:lineRule="auto"/>
        <w:rPr>
          <w:rFonts w:ascii="Arial"/>
          <w:sz w:val="21"/>
        </w:rPr>
      </w:pPr>
    </w:p>
    <w:p w14:paraId="122EEDAD">
      <w:pPr>
        <w:pStyle w:val="2"/>
        <w:spacing w:before="91" w:line="222" w:lineRule="auto"/>
        <w:ind w:right="11"/>
        <w:jc w:val="right"/>
      </w:pPr>
      <w:r>
        <w:rPr>
          <w:rFonts w:hint="eastAsia"/>
          <w:spacing w:val="-2"/>
          <w:lang w:eastAsia="zh-CN"/>
        </w:rPr>
        <w:t>顺联房地产（武汉）开发有限公司</w:t>
      </w:r>
      <w:r>
        <w:rPr>
          <w:spacing w:val="-2"/>
        </w:rPr>
        <w:t>临时管理人</w:t>
      </w:r>
    </w:p>
    <w:p w14:paraId="49F42D77">
      <w:pPr>
        <w:pStyle w:val="2"/>
        <w:spacing w:before="287" w:line="223" w:lineRule="auto"/>
        <w:ind w:left="5362"/>
      </w:pPr>
      <w:r>
        <w:rPr>
          <w:spacing w:val="-3"/>
        </w:rPr>
        <w:t>二〇二</w:t>
      </w:r>
      <w:r>
        <w:rPr>
          <w:rFonts w:hint="eastAsia"/>
          <w:spacing w:val="-3"/>
          <w:lang w:val="en-US" w:eastAsia="zh-CN"/>
        </w:rPr>
        <w:t>六</w:t>
      </w:r>
      <w:r>
        <w:rPr>
          <w:spacing w:val="-3"/>
        </w:rPr>
        <w:t>年</w:t>
      </w:r>
      <w:r>
        <w:rPr>
          <w:rFonts w:hint="eastAsia"/>
          <w:spacing w:val="-3"/>
          <w:lang w:val="en-US" w:eastAsia="zh-CN"/>
        </w:rPr>
        <w:t>二</w:t>
      </w:r>
      <w:r>
        <w:rPr>
          <w:spacing w:val="-3"/>
        </w:rPr>
        <w:t>月六日</w:t>
      </w:r>
    </w:p>
    <w:sectPr>
      <w:pgSz w:w="11906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44849E1"/>
    <w:rsid w:val="5DE674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1439</Words>
  <Characters>1462</Characters>
  <TotalTime>0</TotalTime>
  <ScaleCrop>false</ScaleCrop>
  <LinksUpToDate>false</LinksUpToDate>
  <CharactersWithSpaces>1479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2024-08-07T15:09:00Z</dcterms:created>
  <dc:creator>陈顿顿</dc:creator>
  <cp:lastModifiedBy>admin</cp:lastModifiedBy>
  <dcterms:modified xsi:type="dcterms:W3CDTF">2026-02-06T06:37:47Z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2026-02-06T13:56:18Z</vt:filetime>
  </property>
  <property fmtid="{D5CDD505-2E9C-101B-9397-08002B2CF9AE}" pid="4" name="KSOTemplateDocerSaveRecord">
    <vt:lpwstr>eyJoZGlkIjoiYjIyMDg0OGE5YjA0ZWMzMDMxZDM5NWVmZmM0OTg4NmEiLCJ1c2VySWQiOiI2MjY4OTM3NjAifQ==</vt:lpwstr>
  </property>
  <property fmtid="{D5CDD505-2E9C-101B-9397-08002B2CF9AE}" pid="5" name="KSOProductBuildVer">
    <vt:lpwstr>2052-12.1.0.24657</vt:lpwstr>
  </property>
  <property fmtid="{D5CDD505-2E9C-101B-9397-08002B2CF9AE}" pid="6" name="ICV">
    <vt:lpwstr>3B8F5A7F44574871A9764EF903D39F52_13</vt:lpwstr>
  </property>
</Properties>
</file>