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BBC590">
      <w:pPr>
        <w:spacing w:line="356" w:lineRule="auto"/>
        <w:rPr>
          <w:rFonts w:ascii="Arial"/>
          <w:sz w:val="21"/>
        </w:rPr>
      </w:pPr>
      <w:bookmarkStart w:id="0" w:name="_GoBack"/>
      <w:bookmarkEnd w:id="0"/>
    </w:p>
    <w:p w14:paraId="4AF81EE7">
      <w:pPr>
        <w:spacing w:before="113" w:line="224" w:lineRule="auto"/>
        <w:ind w:left="2785"/>
        <w:outlineLvl w:val="0"/>
        <w:rPr>
          <w:rFonts w:ascii="宋体" w:hAnsi="宋体" w:eastAsia="宋体" w:cs="宋体"/>
          <w:sz w:val="35"/>
          <w:szCs w:val="35"/>
        </w:rPr>
      </w:pPr>
      <w:r>
        <w:rPr>
          <w:rFonts w:ascii="宋体" w:hAnsi="宋体" w:eastAsia="宋体" w:cs="宋体"/>
          <w:b/>
          <w:bCs/>
          <w:spacing w:val="5"/>
          <w:sz w:val="35"/>
          <w:szCs w:val="35"/>
        </w:rPr>
        <w:t>债权人联系方式确认书</w:t>
      </w:r>
    </w:p>
    <w:p w14:paraId="670FF625">
      <w:pPr>
        <w:spacing w:line="141" w:lineRule="exact"/>
      </w:pPr>
    </w:p>
    <w:tbl>
      <w:tblPr>
        <w:tblStyle w:val="4"/>
        <w:tblW w:w="9150"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23"/>
        <w:gridCol w:w="1427"/>
        <w:gridCol w:w="2841"/>
        <w:gridCol w:w="1141"/>
        <w:gridCol w:w="2318"/>
      </w:tblGrid>
      <w:tr w14:paraId="4BB9CB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9" w:hRule="atLeast"/>
        </w:trPr>
        <w:tc>
          <w:tcPr>
            <w:tcW w:w="1423" w:type="dxa"/>
            <w:tcBorders>
              <w:top w:val="single" w:color="000000" w:sz="2" w:space="0"/>
              <w:left w:val="single" w:color="000000" w:sz="2" w:space="0"/>
            </w:tcBorders>
            <w:textDirection w:val="tbRlV"/>
            <w:vAlign w:val="top"/>
          </w:tcPr>
          <w:p w14:paraId="4B24AEDF">
            <w:pPr>
              <w:spacing w:line="413" w:lineRule="auto"/>
              <w:rPr>
                <w:rFonts w:ascii="Arial"/>
                <w:sz w:val="21"/>
              </w:rPr>
            </w:pPr>
          </w:p>
          <w:p w14:paraId="412DAD84">
            <w:pPr>
              <w:pStyle w:val="5"/>
              <w:spacing w:before="67" w:line="214" w:lineRule="auto"/>
              <w:ind w:left="2429"/>
            </w:pPr>
            <w:r>
              <w:rPr>
                <w:b/>
                <w:bCs/>
                <w:spacing w:val="6"/>
              </w:rPr>
              <w:t>告</w:t>
            </w:r>
            <w:r>
              <w:rPr>
                <w:spacing w:val="52"/>
              </w:rPr>
              <w:t xml:space="preserve"> </w:t>
            </w:r>
            <w:r>
              <w:rPr>
                <w:b/>
                <w:bCs/>
                <w:spacing w:val="6"/>
              </w:rPr>
              <w:t>知</w:t>
            </w:r>
            <w:r>
              <w:rPr>
                <w:spacing w:val="49"/>
              </w:rPr>
              <w:t xml:space="preserve"> </w:t>
            </w:r>
            <w:r>
              <w:rPr>
                <w:b/>
                <w:bCs/>
                <w:spacing w:val="6"/>
              </w:rPr>
              <w:t>事</w:t>
            </w:r>
            <w:r>
              <w:rPr>
                <w:spacing w:val="51"/>
              </w:rPr>
              <w:t xml:space="preserve"> </w:t>
            </w:r>
            <w:r>
              <w:rPr>
                <w:b/>
                <w:bCs/>
                <w:spacing w:val="6"/>
              </w:rPr>
              <w:t>项</w:t>
            </w:r>
          </w:p>
        </w:tc>
        <w:tc>
          <w:tcPr>
            <w:tcW w:w="7727" w:type="dxa"/>
            <w:gridSpan w:val="4"/>
            <w:tcBorders>
              <w:top w:val="single" w:color="000000" w:sz="2" w:space="0"/>
              <w:right w:val="single" w:color="000000" w:sz="2" w:space="0"/>
            </w:tcBorders>
            <w:vAlign w:val="top"/>
          </w:tcPr>
          <w:p w14:paraId="046A4313">
            <w:pPr>
              <w:pStyle w:val="5"/>
              <w:spacing w:before="97" w:line="297" w:lineRule="auto"/>
              <w:ind w:left="109" w:right="118" w:firstLine="423"/>
            </w:pPr>
            <w:r>
              <w:rPr>
                <w:spacing w:val="14"/>
              </w:rPr>
              <w:t>一、债权人申报债权时应当如实向临时管理人提供准确的联系方式及银行账</w:t>
            </w:r>
            <w:r>
              <w:rPr>
                <w:spacing w:val="8"/>
              </w:rPr>
              <w:t>户信息。联系方式用于临时管理人向债权人送达相关法律文书、通知等；银行账户信息为债权人指定的收款账户信息。</w:t>
            </w:r>
          </w:p>
          <w:p w14:paraId="41EC23A4">
            <w:pPr>
              <w:pStyle w:val="5"/>
              <w:spacing w:before="113" w:line="278" w:lineRule="auto"/>
              <w:ind w:left="109" w:right="118" w:firstLine="423"/>
            </w:pPr>
            <w:r>
              <w:rPr>
                <w:spacing w:val="8"/>
              </w:rPr>
              <w:t>二、债权人在</w:t>
            </w:r>
            <w:r>
              <w:rPr>
                <w:rFonts w:hint="eastAsia"/>
                <w:spacing w:val="8"/>
                <w:lang w:eastAsia="zh-CN"/>
              </w:rPr>
              <w:t>顺联房地产（武汉）开发有限公司</w:t>
            </w:r>
            <w:r>
              <w:rPr>
                <w:spacing w:val="8"/>
              </w:rPr>
              <w:t>预重整案终结前变更送达地址</w:t>
            </w:r>
            <w:r>
              <w:rPr>
                <w:spacing w:val="7"/>
              </w:rPr>
              <w:t>或银行账户</w:t>
            </w:r>
            <w:r>
              <w:rPr>
                <w:spacing w:val="9"/>
              </w:rPr>
              <w:t>信息的，应当及时以书面方式告知临时管理人。</w:t>
            </w:r>
          </w:p>
          <w:p w14:paraId="380528DA">
            <w:pPr>
              <w:pStyle w:val="5"/>
              <w:spacing w:before="113" w:line="296" w:lineRule="auto"/>
              <w:ind w:left="111" w:right="118" w:firstLine="418"/>
            </w:pPr>
            <w:r>
              <w:rPr>
                <w:spacing w:val="8"/>
              </w:rPr>
              <w:t>三、债权人拒绝提供自己的送达地址，经临时管理人告知后仍不提供的：自然人以其户籍登记中的住所地或者经常居住地为送达地址；法人或者其他组织以其工</w:t>
            </w:r>
            <w:r>
              <w:rPr>
                <w:spacing w:val="9"/>
              </w:rPr>
              <w:t>商登记或者其他依法登记、备案中的住所地为送达地址。</w:t>
            </w:r>
          </w:p>
          <w:p w14:paraId="4582F062">
            <w:pPr>
              <w:pStyle w:val="5"/>
              <w:spacing w:before="113" w:line="280" w:lineRule="auto"/>
              <w:ind w:left="118" w:right="118" w:firstLine="430"/>
            </w:pPr>
            <w:r>
              <w:rPr>
                <w:spacing w:val="7"/>
              </w:rPr>
              <w:t>四、为提高工作效率，并降低文件传送的成本，临时管理人对本案中的部分信</w:t>
            </w:r>
            <w:r>
              <w:rPr>
                <w:spacing w:val="9"/>
              </w:rPr>
              <w:t>息将酌情采用电子邮件、短信、微信平台等电子送达方式送达债权人。</w:t>
            </w:r>
          </w:p>
          <w:p w14:paraId="3D952228">
            <w:pPr>
              <w:pStyle w:val="5"/>
              <w:spacing w:before="111" w:line="306" w:lineRule="auto"/>
              <w:ind w:left="108" w:right="111" w:firstLine="424"/>
            </w:pPr>
            <w:r>
              <w:rPr>
                <w:spacing w:val="8"/>
              </w:rPr>
              <w:t>五、因债权人拒不提供送达地址、提供或确认的送达地址不准确、</w:t>
            </w:r>
            <w:r>
              <w:rPr>
                <w:spacing w:val="7"/>
              </w:rPr>
              <w:t>送达地址变</w:t>
            </w:r>
            <w:r>
              <w:rPr>
                <w:spacing w:val="8"/>
              </w:rPr>
              <w:t>更未及时告知临时管理人、债权人本人或者债权人指定的代收人拒绝签收等情形，导致相关文书未能被债权人实际接收的，文书寄出之日视为送达之日。采取电子送</w:t>
            </w:r>
            <w:r>
              <w:rPr>
                <w:spacing w:val="9"/>
              </w:rPr>
              <w:t>达方式的，以发送人系统显示发送成功的日期为送达之日。</w:t>
            </w:r>
          </w:p>
          <w:p w14:paraId="155CCDF5">
            <w:pPr>
              <w:pStyle w:val="5"/>
              <w:spacing w:before="109" w:line="297" w:lineRule="auto"/>
              <w:ind w:left="110" w:right="118" w:firstLine="420"/>
            </w:pPr>
            <w:r>
              <w:rPr>
                <w:spacing w:val="8"/>
              </w:rPr>
              <w:t>六、因债权人拒不提供银行账户信息，提供或确认的银行账户信息不准</w:t>
            </w:r>
            <w:r>
              <w:rPr>
                <w:spacing w:val="7"/>
              </w:rPr>
              <w:t>确、银</w:t>
            </w:r>
            <w:r>
              <w:rPr>
                <w:spacing w:val="8"/>
              </w:rPr>
              <w:t>行账户信息变更未及时告知临时管理人导致的无法汇款、错误汇款等法律后果均由</w:t>
            </w:r>
            <w:r>
              <w:rPr>
                <w:spacing w:val="7"/>
              </w:rPr>
              <w:t>债权人自行承担。</w:t>
            </w:r>
          </w:p>
        </w:tc>
      </w:tr>
      <w:tr w14:paraId="47CBF9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1423" w:type="dxa"/>
            <w:vMerge w:val="restart"/>
            <w:tcBorders>
              <w:left w:val="single" w:color="000000" w:sz="2" w:space="0"/>
              <w:bottom w:val="nil"/>
            </w:tcBorders>
            <w:vAlign w:val="top"/>
          </w:tcPr>
          <w:p w14:paraId="595ABE5B">
            <w:pPr>
              <w:spacing w:line="286" w:lineRule="auto"/>
              <w:rPr>
                <w:rFonts w:ascii="Arial"/>
                <w:sz w:val="21"/>
              </w:rPr>
            </w:pPr>
          </w:p>
          <w:p w14:paraId="1BA7036C">
            <w:pPr>
              <w:spacing w:line="287" w:lineRule="auto"/>
              <w:rPr>
                <w:rFonts w:ascii="Arial"/>
                <w:sz w:val="21"/>
              </w:rPr>
            </w:pPr>
          </w:p>
          <w:p w14:paraId="7BCD55BB">
            <w:pPr>
              <w:pStyle w:val="5"/>
              <w:spacing w:before="65" w:line="332" w:lineRule="auto"/>
              <w:ind w:left="302" w:right="279" w:firstLine="103"/>
            </w:pPr>
            <w:r>
              <w:rPr>
                <w:b/>
                <w:bCs/>
                <w:spacing w:val="5"/>
              </w:rPr>
              <w:t>债权人</w:t>
            </w:r>
            <w:r>
              <w:rPr>
                <w:b/>
                <w:bCs/>
                <w:spacing w:val="6"/>
              </w:rPr>
              <w:t>联系方式</w:t>
            </w:r>
          </w:p>
        </w:tc>
        <w:tc>
          <w:tcPr>
            <w:tcW w:w="1427" w:type="dxa"/>
            <w:vAlign w:val="top"/>
          </w:tcPr>
          <w:p w14:paraId="1D9A5C66">
            <w:pPr>
              <w:pStyle w:val="5"/>
              <w:spacing w:before="74" w:line="228" w:lineRule="auto"/>
              <w:ind w:left="292"/>
            </w:pPr>
            <w:r>
              <w:rPr>
                <w:b/>
                <w:bCs/>
                <w:spacing w:val="-2"/>
              </w:rPr>
              <w:t>债</w:t>
            </w:r>
            <w:r>
              <w:rPr>
                <w:spacing w:val="15"/>
              </w:rPr>
              <w:t xml:space="preserve"> </w:t>
            </w:r>
            <w:r>
              <w:rPr>
                <w:b/>
                <w:bCs/>
                <w:spacing w:val="-2"/>
              </w:rPr>
              <w:t>权</w:t>
            </w:r>
            <w:r>
              <w:rPr>
                <w:spacing w:val="18"/>
              </w:rPr>
              <w:t xml:space="preserve"> </w:t>
            </w:r>
            <w:r>
              <w:rPr>
                <w:b/>
                <w:bCs/>
                <w:spacing w:val="-2"/>
              </w:rPr>
              <w:t>人</w:t>
            </w:r>
          </w:p>
        </w:tc>
        <w:tc>
          <w:tcPr>
            <w:tcW w:w="6300" w:type="dxa"/>
            <w:gridSpan w:val="3"/>
            <w:tcBorders>
              <w:right w:val="single" w:color="000000" w:sz="2" w:space="0"/>
            </w:tcBorders>
            <w:vAlign w:val="top"/>
          </w:tcPr>
          <w:p w14:paraId="61AB1190">
            <w:pPr>
              <w:rPr>
                <w:rFonts w:ascii="Arial"/>
                <w:sz w:val="21"/>
              </w:rPr>
            </w:pPr>
          </w:p>
        </w:tc>
      </w:tr>
      <w:tr w14:paraId="0076DE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1423" w:type="dxa"/>
            <w:vMerge w:val="continue"/>
            <w:tcBorders>
              <w:top w:val="nil"/>
              <w:left w:val="single" w:color="000000" w:sz="2" w:space="0"/>
              <w:bottom w:val="nil"/>
            </w:tcBorders>
            <w:vAlign w:val="top"/>
          </w:tcPr>
          <w:p w14:paraId="22BF13A3">
            <w:pPr>
              <w:rPr>
                <w:rFonts w:ascii="Arial"/>
                <w:sz w:val="21"/>
              </w:rPr>
            </w:pPr>
          </w:p>
        </w:tc>
        <w:tc>
          <w:tcPr>
            <w:tcW w:w="1427" w:type="dxa"/>
            <w:vAlign w:val="top"/>
          </w:tcPr>
          <w:p w14:paraId="4495DBAD">
            <w:pPr>
              <w:pStyle w:val="5"/>
              <w:spacing w:before="76" w:line="228" w:lineRule="auto"/>
              <w:ind w:left="299"/>
            </w:pPr>
            <w:r>
              <w:rPr>
                <w:b/>
                <w:bCs/>
                <w:spacing w:val="-4"/>
              </w:rPr>
              <w:t>收</w:t>
            </w:r>
            <w:r>
              <w:rPr>
                <w:spacing w:val="15"/>
              </w:rPr>
              <w:t xml:space="preserve"> </w:t>
            </w:r>
            <w:r>
              <w:rPr>
                <w:b/>
                <w:bCs/>
                <w:spacing w:val="-4"/>
              </w:rPr>
              <w:t>件</w:t>
            </w:r>
            <w:r>
              <w:rPr>
                <w:spacing w:val="17"/>
              </w:rPr>
              <w:t xml:space="preserve"> </w:t>
            </w:r>
            <w:r>
              <w:rPr>
                <w:b/>
                <w:bCs/>
                <w:spacing w:val="-4"/>
              </w:rPr>
              <w:t>人</w:t>
            </w:r>
          </w:p>
        </w:tc>
        <w:tc>
          <w:tcPr>
            <w:tcW w:w="2841" w:type="dxa"/>
            <w:tcBorders>
              <w:right w:val="single" w:color="000000" w:sz="2" w:space="0"/>
            </w:tcBorders>
            <w:vAlign w:val="top"/>
          </w:tcPr>
          <w:p w14:paraId="79444F03">
            <w:pPr>
              <w:rPr>
                <w:rFonts w:ascii="Arial"/>
                <w:sz w:val="21"/>
              </w:rPr>
            </w:pPr>
          </w:p>
        </w:tc>
        <w:tc>
          <w:tcPr>
            <w:tcW w:w="1141" w:type="dxa"/>
            <w:tcBorders>
              <w:left w:val="single" w:color="000000" w:sz="2" w:space="0"/>
              <w:right w:val="single" w:color="000000" w:sz="2" w:space="0"/>
            </w:tcBorders>
            <w:vAlign w:val="top"/>
          </w:tcPr>
          <w:p w14:paraId="4170350D">
            <w:pPr>
              <w:pStyle w:val="5"/>
              <w:spacing w:before="76" w:line="227" w:lineRule="auto"/>
              <w:ind w:left="262"/>
            </w:pPr>
            <w:r>
              <w:rPr>
                <w:b/>
                <w:bCs/>
                <w:spacing w:val="-1"/>
              </w:rPr>
              <w:t>手</w:t>
            </w:r>
            <w:r>
              <w:rPr>
                <w:spacing w:val="9"/>
              </w:rPr>
              <w:t xml:space="preserve">  </w:t>
            </w:r>
            <w:r>
              <w:rPr>
                <w:b/>
                <w:bCs/>
                <w:spacing w:val="-1"/>
              </w:rPr>
              <w:t>机</w:t>
            </w:r>
          </w:p>
        </w:tc>
        <w:tc>
          <w:tcPr>
            <w:tcW w:w="2318" w:type="dxa"/>
            <w:tcBorders>
              <w:left w:val="single" w:color="000000" w:sz="2" w:space="0"/>
              <w:right w:val="single" w:color="000000" w:sz="2" w:space="0"/>
            </w:tcBorders>
            <w:vAlign w:val="top"/>
          </w:tcPr>
          <w:p w14:paraId="7936E623">
            <w:pPr>
              <w:rPr>
                <w:rFonts w:ascii="Arial"/>
                <w:sz w:val="21"/>
              </w:rPr>
            </w:pPr>
          </w:p>
        </w:tc>
      </w:tr>
      <w:tr w14:paraId="5B5307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423" w:type="dxa"/>
            <w:vMerge w:val="continue"/>
            <w:tcBorders>
              <w:top w:val="nil"/>
              <w:left w:val="single" w:color="000000" w:sz="2" w:space="0"/>
              <w:bottom w:val="nil"/>
            </w:tcBorders>
            <w:vAlign w:val="top"/>
          </w:tcPr>
          <w:p w14:paraId="61576EC1">
            <w:pPr>
              <w:rPr>
                <w:rFonts w:ascii="Arial"/>
                <w:sz w:val="21"/>
              </w:rPr>
            </w:pPr>
          </w:p>
        </w:tc>
        <w:tc>
          <w:tcPr>
            <w:tcW w:w="1427" w:type="dxa"/>
            <w:vAlign w:val="top"/>
          </w:tcPr>
          <w:p w14:paraId="3636859A">
            <w:pPr>
              <w:pStyle w:val="5"/>
              <w:spacing w:before="75" w:line="228" w:lineRule="auto"/>
              <w:ind w:left="309"/>
            </w:pPr>
            <w:r>
              <w:rPr>
                <w:b/>
                <w:bCs/>
                <w:spacing w:val="2"/>
              </w:rPr>
              <w:t>固定电话</w:t>
            </w:r>
          </w:p>
        </w:tc>
        <w:tc>
          <w:tcPr>
            <w:tcW w:w="2841" w:type="dxa"/>
            <w:tcBorders>
              <w:right w:val="single" w:color="000000" w:sz="2" w:space="0"/>
            </w:tcBorders>
            <w:vAlign w:val="top"/>
          </w:tcPr>
          <w:p w14:paraId="5D112B48">
            <w:pPr>
              <w:rPr>
                <w:rFonts w:ascii="Arial"/>
                <w:sz w:val="21"/>
              </w:rPr>
            </w:pPr>
          </w:p>
        </w:tc>
        <w:tc>
          <w:tcPr>
            <w:tcW w:w="1141" w:type="dxa"/>
            <w:tcBorders>
              <w:left w:val="single" w:color="000000" w:sz="2" w:space="0"/>
              <w:right w:val="single" w:color="000000" w:sz="2" w:space="0"/>
            </w:tcBorders>
            <w:vAlign w:val="top"/>
          </w:tcPr>
          <w:p w14:paraId="3E31E0A3">
            <w:pPr>
              <w:pStyle w:val="5"/>
              <w:spacing w:before="75" w:line="228" w:lineRule="auto"/>
              <w:ind w:left="262"/>
            </w:pPr>
            <w:r>
              <w:rPr>
                <w:b/>
                <w:bCs/>
                <w:spacing w:val="5"/>
              </w:rPr>
              <w:t>微信号</w:t>
            </w:r>
          </w:p>
        </w:tc>
        <w:tc>
          <w:tcPr>
            <w:tcW w:w="2318" w:type="dxa"/>
            <w:tcBorders>
              <w:left w:val="single" w:color="000000" w:sz="2" w:space="0"/>
              <w:right w:val="single" w:color="000000" w:sz="2" w:space="0"/>
            </w:tcBorders>
            <w:vAlign w:val="top"/>
          </w:tcPr>
          <w:p w14:paraId="3C2DD0EA">
            <w:pPr>
              <w:rPr>
                <w:rFonts w:ascii="Arial"/>
                <w:sz w:val="21"/>
              </w:rPr>
            </w:pPr>
          </w:p>
        </w:tc>
      </w:tr>
      <w:tr w14:paraId="3419B0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423" w:type="dxa"/>
            <w:vMerge w:val="continue"/>
            <w:tcBorders>
              <w:top w:val="nil"/>
              <w:left w:val="single" w:color="000000" w:sz="2" w:space="0"/>
              <w:bottom w:val="nil"/>
            </w:tcBorders>
            <w:vAlign w:val="top"/>
          </w:tcPr>
          <w:p w14:paraId="56997F1F">
            <w:pPr>
              <w:rPr>
                <w:rFonts w:ascii="Arial"/>
                <w:sz w:val="21"/>
              </w:rPr>
            </w:pPr>
          </w:p>
        </w:tc>
        <w:tc>
          <w:tcPr>
            <w:tcW w:w="1427" w:type="dxa"/>
            <w:vAlign w:val="top"/>
          </w:tcPr>
          <w:p w14:paraId="23840EC9">
            <w:pPr>
              <w:pStyle w:val="5"/>
              <w:spacing w:before="76" w:line="228" w:lineRule="auto"/>
              <w:ind w:left="316"/>
            </w:pPr>
            <w:r>
              <w:rPr>
                <w:b/>
                <w:bCs/>
              </w:rPr>
              <w:t>电子邮箱</w:t>
            </w:r>
          </w:p>
        </w:tc>
        <w:tc>
          <w:tcPr>
            <w:tcW w:w="2841" w:type="dxa"/>
            <w:tcBorders>
              <w:right w:val="single" w:color="000000" w:sz="2" w:space="0"/>
            </w:tcBorders>
            <w:vAlign w:val="top"/>
          </w:tcPr>
          <w:p w14:paraId="2C7E0AC2">
            <w:pPr>
              <w:rPr>
                <w:rFonts w:ascii="Arial"/>
                <w:sz w:val="21"/>
              </w:rPr>
            </w:pPr>
          </w:p>
        </w:tc>
        <w:tc>
          <w:tcPr>
            <w:tcW w:w="1141" w:type="dxa"/>
            <w:tcBorders>
              <w:left w:val="single" w:color="000000" w:sz="2" w:space="0"/>
              <w:right w:val="single" w:color="000000" w:sz="2" w:space="0"/>
            </w:tcBorders>
            <w:vAlign w:val="top"/>
          </w:tcPr>
          <w:p w14:paraId="254084EA">
            <w:pPr>
              <w:pStyle w:val="5"/>
              <w:spacing w:before="75" w:line="228" w:lineRule="auto"/>
              <w:ind w:left="277"/>
            </w:pPr>
            <w:r>
              <w:rPr>
                <w:b/>
                <w:bCs/>
                <w:spacing w:val="-10"/>
              </w:rPr>
              <w:t>邮</w:t>
            </w:r>
            <w:r>
              <w:rPr>
                <w:spacing w:val="10"/>
              </w:rPr>
              <w:t xml:space="preserve">  </w:t>
            </w:r>
            <w:r>
              <w:rPr>
                <w:b/>
                <w:bCs/>
                <w:spacing w:val="-10"/>
              </w:rPr>
              <w:t>编</w:t>
            </w:r>
          </w:p>
        </w:tc>
        <w:tc>
          <w:tcPr>
            <w:tcW w:w="2318" w:type="dxa"/>
            <w:tcBorders>
              <w:left w:val="single" w:color="000000" w:sz="2" w:space="0"/>
              <w:right w:val="single" w:color="000000" w:sz="2" w:space="0"/>
            </w:tcBorders>
            <w:vAlign w:val="top"/>
          </w:tcPr>
          <w:p w14:paraId="4FFD90EA">
            <w:pPr>
              <w:rPr>
                <w:rFonts w:ascii="Arial"/>
                <w:sz w:val="21"/>
              </w:rPr>
            </w:pPr>
          </w:p>
        </w:tc>
      </w:tr>
      <w:tr w14:paraId="7482C3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423" w:type="dxa"/>
            <w:vMerge w:val="continue"/>
            <w:tcBorders>
              <w:top w:val="nil"/>
              <w:left w:val="single" w:color="000000" w:sz="2" w:space="0"/>
            </w:tcBorders>
            <w:vAlign w:val="top"/>
          </w:tcPr>
          <w:p w14:paraId="797C06C1">
            <w:pPr>
              <w:rPr>
                <w:rFonts w:ascii="Arial"/>
                <w:sz w:val="21"/>
              </w:rPr>
            </w:pPr>
          </w:p>
        </w:tc>
        <w:tc>
          <w:tcPr>
            <w:tcW w:w="1427" w:type="dxa"/>
            <w:tcBorders>
              <w:right w:val="single" w:color="000000" w:sz="2" w:space="0"/>
            </w:tcBorders>
            <w:vAlign w:val="top"/>
          </w:tcPr>
          <w:p w14:paraId="40DAFC23">
            <w:pPr>
              <w:pStyle w:val="5"/>
              <w:spacing w:before="75" w:line="228" w:lineRule="auto"/>
              <w:ind w:left="299"/>
            </w:pPr>
            <w:r>
              <w:rPr>
                <w:b/>
                <w:bCs/>
                <w:spacing w:val="4"/>
              </w:rPr>
              <w:t>收件地址</w:t>
            </w:r>
          </w:p>
        </w:tc>
        <w:tc>
          <w:tcPr>
            <w:tcW w:w="6300" w:type="dxa"/>
            <w:gridSpan w:val="3"/>
            <w:tcBorders>
              <w:left w:val="single" w:color="000000" w:sz="2" w:space="0"/>
              <w:right w:val="single" w:color="000000" w:sz="2" w:space="0"/>
            </w:tcBorders>
            <w:vAlign w:val="top"/>
          </w:tcPr>
          <w:p w14:paraId="1161FA46">
            <w:pPr>
              <w:rPr>
                <w:rFonts w:ascii="Arial"/>
                <w:sz w:val="21"/>
              </w:rPr>
            </w:pPr>
          </w:p>
        </w:tc>
      </w:tr>
      <w:tr w14:paraId="779B2B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9" w:hRule="atLeast"/>
        </w:trPr>
        <w:tc>
          <w:tcPr>
            <w:tcW w:w="1423" w:type="dxa"/>
            <w:tcBorders>
              <w:left w:val="single" w:color="000000" w:sz="2" w:space="0"/>
              <w:bottom w:val="single" w:color="000000" w:sz="2" w:space="0"/>
            </w:tcBorders>
            <w:vAlign w:val="top"/>
          </w:tcPr>
          <w:p w14:paraId="7F34D2D5">
            <w:pPr>
              <w:spacing w:line="251" w:lineRule="auto"/>
              <w:rPr>
                <w:rFonts w:ascii="Arial"/>
                <w:sz w:val="21"/>
              </w:rPr>
            </w:pPr>
          </w:p>
          <w:p w14:paraId="0B3978B7">
            <w:pPr>
              <w:spacing w:line="251" w:lineRule="auto"/>
              <w:rPr>
                <w:rFonts w:ascii="Arial"/>
                <w:sz w:val="21"/>
              </w:rPr>
            </w:pPr>
          </w:p>
          <w:p w14:paraId="7CB54CA0">
            <w:pPr>
              <w:spacing w:line="252" w:lineRule="auto"/>
              <w:rPr>
                <w:rFonts w:ascii="Arial"/>
                <w:sz w:val="21"/>
              </w:rPr>
            </w:pPr>
          </w:p>
          <w:p w14:paraId="0BE5D659">
            <w:pPr>
              <w:spacing w:line="252" w:lineRule="auto"/>
              <w:rPr>
                <w:rFonts w:ascii="Arial"/>
                <w:sz w:val="21"/>
              </w:rPr>
            </w:pPr>
          </w:p>
          <w:p w14:paraId="0C054A2E">
            <w:pPr>
              <w:spacing w:line="252" w:lineRule="auto"/>
              <w:rPr>
                <w:rFonts w:ascii="Arial"/>
                <w:sz w:val="21"/>
              </w:rPr>
            </w:pPr>
          </w:p>
          <w:p w14:paraId="27CE9F64">
            <w:pPr>
              <w:spacing w:line="252" w:lineRule="auto"/>
              <w:rPr>
                <w:rFonts w:ascii="Arial"/>
                <w:sz w:val="21"/>
              </w:rPr>
            </w:pPr>
          </w:p>
          <w:p w14:paraId="16487663">
            <w:pPr>
              <w:spacing w:line="252" w:lineRule="auto"/>
              <w:rPr>
                <w:rFonts w:ascii="Arial"/>
                <w:sz w:val="21"/>
              </w:rPr>
            </w:pPr>
          </w:p>
          <w:p w14:paraId="7E220CFE">
            <w:pPr>
              <w:pStyle w:val="5"/>
              <w:spacing w:before="65" w:line="332" w:lineRule="auto"/>
              <w:ind w:left="509" w:right="387" w:hanging="104"/>
            </w:pPr>
            <w:r>
              <w:rPr>
                <w:b/>
                <w:bCs/>
                <w:spacing w:val="5"/>
              </w:rPr>
              <w:t>债权人</w:t>
            </w:r>
            <w:r>
              <w:rPr>
                <w:b/>
                <w:bCs/>
                <w:spacing w:val="3"/>
              </w:rPr>
              <w:t>确认</w:t>
            </w:r>
          </w:p>
        </w:tc>
        <w:tc>
          <w:tcPr>
            <w:tcW w:w="7727" w:type="dxa"/>
            <w:gridSpan w:val="4"/>
            <w:tcBorders>
              <w:bottom w:val="single" w:color="000000" w:sz="2" w:space="0"/>
              <w:right w:val="single" w:color="000000" w:sz="2" w:space="0"/>
            </w:tcBorders>
            <w:vAlign w:val="top"/>
          </w:tcPr>
          <w:p w14:paraId="0B21F6C9">
            <w:pPr>
              <w:spacing w:line="243" w:lineRule="auto"/>
              <w:rPr>
                <w:rFonts w:ascii="Arial"/>
                <w:sz w:val="21"/>
              </w:rPr>
            </w:pPr>
          </w:p>
          <w:p w14:paraId="74C86906">
            <w:pPr>
              <w:spacing w:line="243" w:lineRule="auto"/>
              <w:rPr>
                <w:rFonts w:ascii="Arial"/>
                <w:sz w:val="21"/>
              </w:rPr>
            </w:pPr>
          </w:p>
          <w:p w14:paraId="6E776D1E">
            <w:pPr>
              <w:spacing w:line="243" w:lineRule="auto"/>
              <w:rPr>
                <w:rFonts w:ascii="Arial"/>
                <w:sz w:val="21"/>
              </w:rPr>
            </w:pPr>
          </w:p>
          <w:p w14:paraId="22F30821">
            <w:pPr>
              <w:pStyle w:val="5"/>
              <w:spacing w:before="65" w:line="332" w:lineRule="auto"/>
              <w:ind w:left="109" w:right="118" w:firstLine="480"/>
              <w:jc w:val="both"/>
            </w:pPr>
            <w:r>
              <w:rPr>
                <w:b/>
                <w:bCs/>
                <w:spacing w:val="8"/>
              </w:rPr>
              <w:t>债权人确认本人已经详细阅读了告知事项，并同意临时管理人采取邮寄、短</w:t>
            </w:r>
            <w:r>
              <w:rPr>
                <w:b/>
                <w:bCs/>
                <w:spacing w:val="6"/>
              </w:rPr>
              <w:t>信、微信或电子邮件等方式送达文件。本人保证上栏所提供的联系方式各</w:t>
            </w:r>
            <w:r>
              <w:rPr>
                <w:b/>
                <w:bCs/>
                <w:spacing w:val="5"/>
              </w:rPr>
              <w:t>项内容正</w:t>
            </w:r>
            <w:r>
              <w:rPr>
                <w:b/>
                <w:bCs/>
                <w:spacing w:val="6"/>
              </w:rPr>
              <w:t>确、有效。若变更联系方式，将及时以书面方式告知临时管理人，未及时告知临时管理人导致相关文书不能送达或未及时送达的，自文书、材料、债权人会议通知等</w:t>
            </w:r>
            <w:r>
              <w:rPr>
                <w:b/>
                <w:bCs/>
                <w:spacing w:val="7"/>
              </w:rPr>
              <w:t>退回之日视为送达之日，一切法律后果由本人承担。</w:t>
            </w:r>
          </w:p>
          <w:p w14:paraId="2E75ED21">
            <w:pPr>
              <w:pStyle w:val="5"/>
              <w:spacing w:before="277" w:line="227" w:lineRule="auto"/>
              <w:ind w:left="590"/>
            </w:pPr>
            <w:r>
              <w:rPr>
                <w:spacing w:val="8"/>
              </w:rPr>
              <w:t>债权人（签名/盖章</w:t>
            </w:r>
            <w:r>
              <w:rPr>
                <w:spacing w:val="5"/>
              </w:rPr>
              <w:t>）：</w:t>
            </w:r>
            <w:r>
              <w:rPr>
                <w:spacing w:val="6"/>
              </w:rPr>
              <w:t xml:space="preserve">              </w:t>
            </w:r>
            <w:r>
              <w:rPr>
                <w:spacing w:val="8"/>
              </w:rPr>
              <w:t>委托代理人（签名</w:t>
            </w:r>
            <w:r>
              <w:rPr>
                <w:spacing w:val="5"/>
              </w:rPr>
              <w:t>）：</w:t>
            </w:r>
          </w:p>
          <w:p w14:paraId="4D08AAE1">
            <w:pPr>
              <w:pStyle w:val="5"/>
              <w:spacing w:before="111" w:line="228" w:lineRule="auto"/>
              <w:ind w:left="4519"/>
            </w:pPr>
            <w:r>
              <w:rPr>
                <w:spacing w:val="-2"/>
              </w:rPr>
              <w:t>年</w:t>
            </w:r>
            <w:r>
              <w:rPr>
                <w:spacing w:val="9"/>
              </w:rPr>
              <w:t xml:space="preserve">    </w:t>
            </w:r>
            <w:r>
              <w:rPr>
                <w:spacing w:val="-2"/>
              </w:rPr>
              <w:t>月</w:t>
            </w:r>
            <w:r>
              <w:rPr>
                <w:spacing w:val="16"/>
              </w:rPr>
              <w:t xml:space="preserve">    </w:t>
            </w:r>
            <w:r>
              <w:rPr>
                <w:spacing w:val="-2"/>
              </w:rPr>
              <w:t>日</w:t>
            </w:r>
          </w:p>
        </w:tc>
      </w:tr>
    </w:tbl>
    <w:p w14:paraId="2E4D270C">
      <w:pPr>
        <w:rPr>
          <w:rFonts w:ascii="Arial"/>
          <w:sz w:val="21"/>
        </w:rPr>
      </w:pPr>
    </w:p>
    <w:sectPr>
      <w:headerReference r:id="rId5" w:type="default"/>
      <w:footerReference r:id="rId6" w:type="default"/>
      <w:pgSz w:w="11906" w:h="16839"/>
      <w:pgMar w:top="1213" w:right="1375" w:bottom="1483" w:left="1374" w:header="825" w:footer="1198"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E24E60">
    <w:pPr>
      <w:spacing w:line="274" w:lineRule="exact"/>
      <w:ind w:left="4453"/>
      <w:rPr>
        <w:rFonts w:ascii="等线" w:hAnsi="等线" w:eastAsia="等线" w:cs="等线"/>
        <w:sz w:val="18"/>
        <w:szCs w:val="18"/>
      </w:rPr>
    </w:pPr>
    <w:r>
      <w:rPr>
        <w:rFonts w:ascii="等线" w:hAnsi="等线" w:eastAsia="等线" w:cs="等线"/>
        <w:b/>
        <w:bCs/>
        <w:spacing w:val="-4"/>
        <w:position w:val="3"/>
        <w:sz w:val="18"/>
        <w:szCs w:val="18"/>
      </w:rPr>
      <w:t xml:space="preserve">1 </w:t>
    </w:r>
    <w:r>
      <w:rPr>
        <w:rFonts w:ascii="等线" w:hAnsi="等线" w:eastAsia="等线" w:cs="等线"/>
        <w:spacing w:val="-4"/>
        <w:position w:val="3"/>
        <w:sz w:val="18"/>
        <w:szCs w:val="18"/>
      </w:rPr>
      <w:t>/</w:t>
    </w:r>
    <w:r>
      <w:rPr>
        <w:rFonts w:ascii="等线" w:hAnsi="等线" w:eastAsia="等线" w:cs="等线"/>
        <w:spacing w:val="12"/>
        <w:position w:val="3"/>
        <w:sz w:val="18"/>
        <w:szCs w:val="18"/>
      </w:rPr>
      <w:t xml:space="preserve"> </w:t>
    </w:r>
    <w:r>
      <w:rPr>
        <w:rFonts w:ascii="等线" w:hAnsi="等线" w:eastAsia="等线" w:cs="等线"/>
        <w:b/>
        <w:bCs/>
        <w:spacing w:val="-4"/>
        <w:position w:val="3"/>
        <w:sz w:val="18"/>
        <w:szCs w:val="18"/>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02B5E6">
    <w:pPr>
      <w:spacing w:before="55" w:line="228" w:lineRule="auto"/>
      <w:jc w:val="right"/>
      <w:rPr>
        <w:rFonts w:ascii="宋体" w:hAnsi="宋体" w:eastAsia="宋体" w:cs="宋体"/>
        <w:sz w:val="20"/>
        <w:szCs w:val="20"/>
      </w:rPr>
    </w:pPr>
    <w:r>
      <w:pict>
        <v:shape id="_x0000_s4097" o:spid="_x0000_s4097" style="position:absolute;left:0pt;margin-left:90pt;margin-top:57.15pt;height:0.75pt;width:415.3pt;mso-position-horizontal-relative:page;mso-position-vertical-relative:page;z-index:251659264;mso-width-relative:page;mso-height-relative:page;" fillcolor="#000000" filled="t" stroked="f" coordsize="8305,15" o:allowincell="f" path="m0,0l8305,0,8305,14,0,14,0,0xe">
          <v:path/>
          <v:fill on="t" focussize="0,0"/>
          <v:stroke on="f"/>
          <v:imagedata o:title=""/>
          <o:lock v:ext="edit"/>
        </v:shape>
      </w:pict>
    </w:r>
    <w:r>
      <w:rPr>
        <w:rFonts w:hint="eastAsia" w:eastAsia="宋体"/>
        <w:lang w:val="en-US" w:eastAsia="zh-CN"/>
      </w:rPr>
      <w:t>顺联房地产（武汉）开发</w:t>
    </w:r>
    <w:r>
      <w:rPr>
        <w:rFonts w:ascii="宋体" w:hAnsi="宋体" w:eastAsia="宋体" w:cs="宋体"/>
        <w:spacing w:val="9"/>
        <w:sz w:val="20"/>
        <w:szCs w:val="20"/>
      </w:rPr>
      <w:t>有限公司预重整案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documentProtection w:enforcement="0"/>
  <w:characterSpacingControl w:val="doNotCompress"/>
  <w:hdrShapeDefaults>
    <o:shapelayout v:ext="edit">
      <o:idmap v:ext="edit" data="3,4"/>
    </o:shapelayout>
  </w:hdrShapeDefault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4CE757A1"/>
    <w:rsid w:val="732E1FA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customStyle="1" w:styleId="4">
    <w:name w:val="Table Normal"/>
    <w:semiHidden/>
    <w:unhideWhenUsed/>
    <w:qFormat/>
    <w:uiPriority w:val="0"/>
    <w:tblPr>
      <w:tblCellMar>
        <w:top w:w="0" w:type="dxa"/>
        <w:left w:w="0" w:type="dxa"/>
        <w:bottom w:w="0" w:type="dxa"/>
        <w:right w:w="0" w:type="dxa"/>
      </w:tblCellMar>
    </w:tblPr>
  </w:style>
  <w:style w:type="paragraph" w:customStyle="1" w:styleId="5">
    <w:name w:val="Table Text"/>
    <w:basedOn w:val="1"/>
    <w:semiHidden/>
    <w:qFormat/>
    <w:uiPriority w:val="0"/>
    <w:rPr>
      <w:rFonts w:ascii="宋体" w:hAnsi="宋体" w:eastAsia="宋体" w:cs="宋体"/>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754</Words>
  <Characters>754</Characters>
  <TotalTime>1</TotalTime>
  <ScaleCrop>false</ScaleCrop>
  <LinksUpToDate>false</LinksUpToDate>
  <CharactersWithSpaces>787</CharactersWithSpaces>
  <Application>WPS Office_12.1.0.24657_F1E327BC-269C-435d-A152-05C5408002CA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2024-08-07T15:10:00Z</dcterms:created>
  <dc:creator>大成吕涛律师</dc:creator>
  <cp:lastModifiedBy>admin</cp:lastModifiedBy>
  <dcterms:modified xsi:type="dcterms:W3CDTF">2026-02-06T06:38:55Z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2026-02-06T13:56:18Z</vt:filetime>
  </property>
  <property fmtid="{D5CDD505-2E9C-101B-9397-08002B2CF9AE}" pid="4" name="KSOTemplateDocerSaveRecord">
    <vt:lpwstr>eyJoZGlkIjoiYjk5ODM0YmMxOWJiYWQyNDU4MGIzYWRmYTA0ZmI5NDciLCJ1c2VySWQiOiI5OTUxMTM4NjAifQ==</vt:lpwstr>
  </property>
  <property fmtid="{D5CDD505-2E9C-101B-9397-08002B2CF9AE}" pid="5" name="KSOProductBuildVer">
    <vt:lpwstr>2052-12.1.0.24657</vt:lpwstr>
  </property>
  <property fmtid="{D5CDD505-2E9C-101B-9397-08002B2CF9AE}" pid="6" name="ICV">
    <vt:lpwstr>A6E36CE4CBFC4A83A8F4F16E82C22438_13</vt:lpwstr>
  </property>
</Properties>
</file>