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3446C">
      <w:pPr>
        <w:jc w:val="center"/>
        <w:rPr>
          <w:rFonts w:ascii="宋体" w:hAnsi="宋体" w:eastAsia="宋体"/>
          <w:sz w:val="36"/>
          <w:szCs w:val="36"/>
        </w:rPr>
      </w:pPr>
      <w:r>
        <w:rPr>
          <w:rFonts w:hint="eastAsia" w:ascii="宋体" w:hAnsi="宋体" w:eastAsia="宋体"/>
          <w:sz w:val="36"/>
          <w:szCs w:val="36"/>
          <w:lang w:eastAsia="zh-CN"/>
        </w:rPr>
        <w:t>湖南</w:t>
      </w:r>
      <w:bookmarkStart w:id="0" w:name="_GoBack"/>
      <w:bookmarkEnd w:id="0"/>
      <w:r>
        <w:rPr>
          <w:rFonts w:hint="eastAsia" w:ascii="宋体" w:hAnsi="宋体" w:eastAsia="宋体"/>
          <w:sz w:val="36"/>
          <w:szCs w:val="36"/>
          <w:lang w:val="en-US" w:eastAsia="zh-CN"/>
        </w:rPr>
        <w:t>绿蔓薯业有限公司</w:t>
      </w:r>
      <w:r>
        <w:rPr>
          <w:rFonts w:hint="eastAsia" w:ascii="宋体" w:hAnsi="宋体" w:eastAsia="宋体"/>
          <w:sz w:val="36"/>
          <w:szCs w:val="36"/>
        </w:rPr>
        <w:t>破产清算案</w:t>
      </w:r>
    </w:p>
    <w:p w14:paraId="5EB00B53">
      <w:pPr>
        <w:jc w:val="center"/>
        <w:rPr>
          <w:rFonts w:hint="eastAsia" w:ascii="宋体" w:hAnsi="宋体" w:eastAsia="宋体"/>
          <w:sz w:val="36"/>
          <w:szCs w:val="36"/>
        </w:rPr>
      </w:pPr>
      <w:r>
        <w:rPr>
          <w:rFonts w:hint="eastAsia" w:ascii="宋体" w:hAnsi="宋体" w:eastAsia="宋体"/>
          <w:sz w:val="36"/>
          <w:szCs w:val="36"/>
          <w:lang w:val="en-US" w:eastAsia="zh-CN"/>
        </w:rPr>
        <w:t>债权申请报、一债会</w:t>
      </w:r>
      <w:r>
        <w:rPr>
          <w:rFonts w:hint="eastAsia" w:ascii="宋体" w:hAnsi="宋体" w:eastAsia="宋体"/>
          <w:sz w:val="36"/>
          <w:szCs w:val="36"/>
        </w:rPr>
        <w:t>公告</w:t>
      </w:r>
    </w:p>
    <w:p w14:paraId="12C065B7">
      <w:pPr>
        <w:spacing w:line="560" w:lineRule="exact"/>
        <w:ind w:firstLine="420" w:firstLineChars="200"/>
        <w:jc w:val="right"/>
        <w:rPr>
          <w:rFonts w:ascii="仿宋" w:hAnsi="仿宋" w:eastAsia="仿宋"/>
          <w:sz w:val="21"/>
          <w:szCs w:val="21"/>
        </w:rPr>
      </w:pPr>
      <w:r>
        <w:rPr>
          <w:rFonts w:hint="eastAsia" w:ascii="仿宋" w:hAnsi="仿宋" w:eastAsia="仿宋"/>
          <w:sz w:val="21"/>
          <w:szCs w:val="21"/>
        </w:rPr>
        <w:t>（</w:t>
      </w:r>
      <w:r>
        <w:rPr>
          <w:rFonts w:ascii="仿宋" w:hAnsi="仿宋" w:eastAsia="仿宋"/>
          <w:sz w:val="21"/>
          <w:szCs w:val="21"/>
        </w:rPr>
        <w:t>202</w:t>
      </w:r>
      <w:r>
        <w:rPr>
          <w:rFonts w:hint="eastAsia" w:ascii="仿宋" w:hAnsi="仿宋" w:eastAsia="仿宋"/>
          <w:sz w:val="21"/>
          <w:szCs w:val="21"/>
          <w:lang w:val="en-US" w:eastAsia="zh-CN"/>
        </w:rPr>
        <w:t>6</w:t>
      </w:r>
      <w:r>
        <w:rPr>
          <w:rFonts w:ascii="仿宋" w:hAnsi="仿宋" w:eastAsia="仿宋"/>
          <w:sz w:val="21"/>
          <w:szCs w:val="21"/>
        </w:rPr>
        <w:t>）</w:t>
      </w:r>
      <w:r>
        <w:rPr>
          <w:rFonts w:hint="eastAsia" w:ascii="仿宋" w:hAnsi="仿宋" w:eastAsia="仿宋"/>
          <w:sz w:val="21"/>
          <w:szCs w:val="21"/>
          <w:lang w:val="en-US" w:eastAsia="zh-CN"/>
        </w:rPr>
        <w:t>芙蓉（怀化）绿蔓薯业</w:t>
      </w:r>
      <w:r>
        <w:rPr>
          <w:rFonts w:ascii="仿宋" w:hAnsi="仿宋" w:eastAsia="仿宋"/>
          <w:sz w:val="21"/>
          <w:szCs w:val="21"/>
        </w:rPr>
        <w:t>破管1号</w:t>
      </w:r>
    </w:p>
    <w:p w14:paraId="6512F90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仿宋" w:hAnsi="仿宋" w:eastAsia="仿宋"/>
          <w:sz w:val="30"/>
          <w:szCs w:val="30"/>
        </w:rPr>
      </w:pPr>
      <w:r>
        <w:rPr>
          <w:rFonts w:hint="eastAsia" w:ascii="仿宋" w:hAnsi="仿宋" w:eastAsia="仿宋" w:cs="仿宋"/>
          <w:sz w:val="32"/>
          <w:szCs w:val="32"/>
          <w:lang w:val="en-US" w:eastAsia="zh-CN"/>
        </w:rPr>
        <w:t>湖南省靖州苗族侗族自治县人民法院根据靖州苗族侗族自治县太阳坪原种场</w:t>
      </w:r>
      <w:r>
        <w:rPr>
          <w:rFonts w:hint="eastAsia" w:ascii="仿宋" w:hAnsi="仿宋" w:eastAsia="仿宋" w:cs="仿宋"/>
          <w:sz w:val="32"/>
          <w:szCs w:val="32"/>
        </w:rPr>
        <w:t>的申请，于202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日作出</w:t>
      </w:r>
      <w:r>
        <w:rPr>
          <w:rFonts w:hint="eastAsia" w:ascii="仿宋" w:hAnsi="仿宋" w:eastAsia="仿宋" w:cs="仿宋"/>
          <w:sz w:val="32"/>
          <w:szCs w:val="32"/>
          <w:lang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湘</w:t>
      </w:r>
      <w:r>
        <w:rPr>
          <w:rFonts w:hint="eastAsia" w:ascii="仿宋" w:hAnsi="仿宋" w:eastAsia="仿宋" w:cs="仿宋"/>
          <w:sz w:val="32"/>
          <w:szCs w:val="32"/>
        </w:rPr>
        <w:t>1</w:t>
      </w:r>
      <w:r>
        <w:rPr>
          <w:rFonts w:hint="eastAsia" w:ascii="仿宋" w:hAnsi="仿宋" w:eastAsia="仿宋" w:cs="仿宋"/>
          <w:sz w:val="32"/>
          <w:szCs w:val="32"/>
          <w:lang w:val="en-US" w:eastAsia="zh-CN"/>
        </w:rPr>
        <w:t>229</w:t>
      </w:r>
      <w:r>
        <w:rPr>
          <w:rFonts w:hint="eastAsia" w:ascii="仿宋" w:hAnsi="仿宋" w:eastAsia="仿宋" w:cs="仿宋"/>
          <w:sz w:val="32"/>
          <w:szCs w:val="32"/>
        </w:rPr>
        <w:t>破</w:t>
      </w:r>
      <w:r>
        <w:rPr>
          <w:rFonts w:hint="eastAsia" w:ascii="仿宋" w:hAnsi="仿宋" w:eastAsia="仿宋" w:cs="仿宋"/>
          <w:sz w:val="32"/>
          <w:szCs w:val="32"/>
          <w:lang w:val="en-US" w:eastAsia="zh-CN"/>
        </w:rPr>
        <w:t>申1号裁定书，</w:t>
      </w:r>
      <w:r>
        <w:rPr>
          <w:rFonts w:hint="eastAsia" w:ascii="仿宋" w:hAnsi="仿宋" w:eastAsia="仿宋" w:cs="仿宋"/>
          <w:sz w:val="32"/>
          <w:szCs w:val="32"/>
        </w:rPr>
        <w:t>裁定受理</w:t>
      </w:r>
      <w:r>
        <w:rPr>
          <w:rFonts w:hint="eastAsia" w:ascii="仿宋" w:hAnsi="仿宋" w:eastAsia="仿宋" w:cs="仿宋"/>
          <w:sz w:val="32"/>
          <w:szCs w:val="32"/>
          <w:lang w:val="en-US" w:eastAsia="zh-CN"/>
        </w:rPr>
        <w:t>对湖南绿蔓薯业有限公司</w:t>
      </w:r>
      <w:r>
        <w:rPr>
          <w:rFonts w:hint="eastAsia" w:ascii="仿宋" w:hAnsi="仿宋" w:eastAsia="仿宋" w:cs="仿宋"/>
          <w:sz w:val="32"/>
          <w:szCs w:val="32"/>
        </w:rPr>
        <w:t>的破产清算申请，并</w:t>
      </w:r>
      <w:r>
        <w:rPr>
          <w:rFonts w:hint="eastAsia" w:ascii="仿宋" w:hAnsi="仿宋" w:eastAsia="仿宋" w:cs="仿宋"/>
          <w:sz w:val="32"/>
          <w:szCs w:val="32"/>
          <w:lang w:val="en-US" w:eastAsia="zh-CN"/>
        </w:rPr>
        <w:t>于2026年1月8</w:t>
      </w:r>
      <w:r>
        <w:rPr>
          <w:rFonts w:hint="eastAsia" w:ascii="仿宋" w:hAnsi="仿宋" w:eastAsia="仿宋" w:cs="仿宋"/>
          <w:sz w:val="32"/>
          <w:szCs w:val="32"/>
        </w:rPr>
        <w:t>日作出</w:t>
      </w:r>
      <w:r>
        <w:rPr>
          <w:rFonts w:hint="eastAsia" w:ascii="仿宋" w:hAnsi="仿宋" w:eastAsia="仿宋" w:cs="仿宋"/>
          <w:sz w:val="32"/>
          <w:szCs w:val="32"/>
          <w:lang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湘</w:t>
      </w:r>
      <w:r>
        <w:rPr>
          <w:rFonts w:hint="eastAsia" w:ascii="仿宋" w:hAnsi="仿宋" w:eastAsia="仿宋" w:cs="仿宋"/>
          <w:sz w:val="32"/>
          <w:szCs w:val="32"/>
        </w:rPr>
        <w:t>12</w:t>
      </w:r>
      <w:r>
        <w:rPr>
          <w:rFonts w:hint="eastAsia" w:ascii="仿宋" w:hAnsi="仿宋" w:eastAsia="仿宋" w:cs="仿宋"/>
          <w:sz w:val="32"/>
          <w:szCs w:val="32"/>
          <w:lang w:val="en-US" w:eastAsia="zh-CN"/>
        </w:rPr>
        <w:t>29</w:t>
      </w:r>
      <w:r>
        <w:rPr>
          <w:rFonts w:hint="eastAsia" w:ascii="仿宋" w:hAnsi="仿宋" w:eastAsia="仿宋" w:cs="仿宋"/>
          <w:sz w:val="32"/>
          <w:szCs w:val="32"/>
        </w:rPr>
        <w:t>破</w:t>
      </w:r>
      <w:r>
        <w:rPr>
          <w:rFonts w:hint="eastAsia" w:ascii="仿宋" w:hAnsi="仿宋" w:eastAsia="仿宋" w:cs="仿宋"/>
          <w:sz w:val="32"/>
          <w:szCs w:val="32"/>
          <w:lang w:val="en-US" w:eastAsia="zh-CN"/>
        </w:rPr>
        <w:t>1</w:t>
      </w:r>
      <w:r>
        <w:rPr>
          <w:rFonts w:hint="eastAsia" w:ascii="仿宋" w:hAnsi="仿宋" w:eastAsia="仿宋" w:cs="仿宋"/>
          <w:sz w:val="32"/>
          <w:szCs w:val="32"/>
        </w:rPr>
        <w:t>号决定书，指定</w:t>
      </w:r>
      <w:r>
        <w:rPr>
          <w:rFonts w:hint="eastAsia" w:ascii="仿宋" w:hAnsi="仿宋" w:eastAsia="仿宋" w:cs="仿宋"/>
          <w:sz w:val="32"/>
          <w:szCs w:val="32"/>
          <w:lang w:val="en-US" w:eastAsia="zh-CN"/>
        </w:rPr>
        <w:t>湖南芙蓉（怀化）律师</w:t>
      </w:r>
      <w:r>
        <w:rPr>
          <w:rFonts w:hint="eastAsia" w:ascii="仿宋" w:hAnsi="仿宋" w:eastAsia="仿宋" w:cs="仿宋"/>
          <w:sz w:val="32"/>
          <w:szCs w:val="32"/>
        </w:rPr>
        <w:t>事务所担任</w:t>
      </w:r>
      <w:r>
        <w:rPr>
          <w:rFonts w:hint="eastAsia" w:ascii="仿宋" w:hAnsi="仿宋" w:eastAsia="仿宋" w:cs="仿宋"/>
          <w:sz w:val="32"/>
          <w:szCs w:val="32"/>
          <w:lang w:val="en-US" w:eastAsia="zh-CN"/>
        </w:rPr>
        <w:t>湖南绿蔓薯业有限公司</w:t>
      </w:r>
      <w:r>
        <w:rPr>
          <w:rFonts w:hint="eastAsia" w:ascii="仿宋" w:hAnsi="仿宋" w:eastAsia="仿宋" w:cs="仿宋"/>
          <w:sz w:val="32"/>
          <w:szCs w:val="32"/>
        </w:rPr>
        <w:t>管理人。</w:t>
      </w:r>
      <w:r>
        <w:rPr>
          <w:rFonts w:ascii="仿宋" w:hAnsi="仿宋" w:eastAsia="仿宋"/>
          <w:sz w:val="30"/>
          <w:szCs w:val="30"/>
        </w:rPr>
        <w:t xml:space="preserve">  </w:t>
      </w:r>
    </w:p>
    <w:p w14:paraId="327BCB97">
      <w:pPr>
        <w:spacing w:line="560" w:lineRule="exact"/>
        <w:ind w:firstLine="600" w:firstLineChars="200"/>
        <w:rPr>
          <w:rFonts w:ascii="仿宋" w:hAnsi="仿宋" w:eastAsia="仿宋"/>
          <w:sz w:val="30"/>
          <w:szCs w:val="30"/>
        </w:rPr>
      </w:pPr>
      <w:r>
        <w:rPr>
          <w:rFonts w:hint="eastAsia" w:ascii="仿宋" w:hAnsi="仿宋" w:eastAsia="仿宋"/>
          <w:sz w:val="30"/>
          <w:szCs w:val="30"/>
        </w:rPr>
        <w:t>管理人依据《中华人民共和国企业破产法》（以下简称《企业破产法》）及相关法律法规的规定，现就债权人债权申报事宜，告知如下：</w:t>
      </w:r>
    </w:p>
    <w:p w14:paraId="1075EDBC">
      <w:pPr>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rPr>
        <w:t>一、债权人应当在</w:t>
      </w:r>
      <w:r>
        <w:rPr>
          <w:rFonts w:hint="eastAsia" w:ascii="仿宋" w:hAnsi="仿宋" w:eastAsia="仿宋"/>
          <w:sz w:val="30"/>
          <w:szCs w:val="30"/>
          <w:lang w:eastAsia="zh-CN"/>
        </w:rPr>
        <w:t>湖南省靖州苗族侗族自治县人民法院</w:t>
      </w:r>
      <w:r>
        <w:rPr>
          <w:rFonts w:hint="eastAsia" w:ascii="仿宋" w:hAnsi="仿宋" w:eastAsia="仿宋"/>
          <w:sz w:val="30"/>
          <w:szCs w:val="30"/>
        </w:rPr>
        <w:t>公告确定的期限内</w:t>
      </w:r>
      <w:r>
        <w:rPr>
          <w:rFonts w:hint="eastAsia" w:ascii="仿宋" w:hAnsi="仿宋" w:eastAsia="仿宋"/>
          <w:color w:val="0000FF"/>
          <w:sz w:val="30"/>
          <w:szCs w:val="30"/>
        </w:rPr>
        <w:t>（2</w:t>
      </w:r>
      <w:r>
        <w:rPr>
          <w:rFonts w:ascii="仿宋" w:hAnsi="仿宋" w:eastAsia="仿宋"/>
          <w:color w:val="0000FF"/>
          <w:sz w:val="30"/>
          <w:szCs w:val="30"/>
        </w:rPr>
        <w:t>02</w:t>
      </w:r>
      <w:r>
        <w:rPr>
          <w:rFonts w:hint="eastAsia" w:ascii="仿宋" w:hAnsi="仿宋" w:eastAsia="仿宋"/>
          <w:color w:val="0000FF"/>
          <w:sz w:val="30"/>
          <w:szCs w:val="30"/>
          <w:lang w:val="en-US" w:eastAsia="zh-CN"/>
        </w:rPr>
        <w:t>6</w:t>
      </w:r>
      <w:r>
        <w:rPr>
          <w:rFonts w:hint="eastAsia" w:ascii="仿宋" w:hAnsi="仿宋" w:eastAsia="仿宋"/>
          <w:color w:val="0000FF"/>
          <w:sz w:val="30"/>
          <w:szCs w:val="30"/>
        </w:rPr>
        <w:t>年</w:t>
      </w:r>
      <w:r>
        <w:rPr>
          <w:rFonts w:hint="eastAsia" w:ascii="仿宋" w:hAnsi="仿宋" w:eastAsia="仿宋"/>
          <w:color w:val="0000FF"/>
          <w:sz w:val="30"/>
          <w:szCs w:val="30"/>
          <w:lang w:val="en-US" w:eastAsia="zh-CN"/>
        </w:rPr>
        <w:t>3</w:t>
      </w:r>
      <w:r>
        <w:rPr>
          <w:rFonts w:hint="eastAsia" w:ascii="仿宋" w:hAnsi="仿宋" w:eastAsia="仿宋"/>
          <w:color w:val="0000FF"/>
          <w:sz w:val="30"/>
          <w:szCs w:val="30"/>
        </w:rPr>
        <w:t>月</w:t>
      </w:r>
      <w:r>
        <w:rPr>
          <w:rFonts w:hint="eastAsia" w:ascii="仿宋" w:hAnsi="仿宋" w:eastAsia="仿宋"/>
          <w:color w:val="0000FF"/>
          <w:sz w:val="30"/>
          <w:szCs w:val="30"/>
          <w:lang w:val="en-US" w:eastAsia="zh-CN"/>
        </w:rPr>
        <w:t>25</w:t>
      </w:r>
      <w:r>
        <w:rPr>
          <w:rFonts w:hint="eastAsia" w:ascii="仿宋" w:hAnsi="仿宋" w:eastAsia="仿宋"/>
          <w:color w:val="0000FF"/>
          <w:sz w:val="30"/>
          <w:szCs w:val="30"/>
        </w:rPr>
        <w:t>日之前</w:t>
      </w:r>
      <w:r>
        <w:rPr>
          <w:rFonts w:hint="eastAsia" w:ascii="仿宋" w:hAnsi="仿宋" w:eastAsia="仿宋"/>
          <w:sz w:val="30"/>
          <w:szCs w:val="30"/>
        </w:rPr>
        <w:t>）向管理人申报债权，以充分保障自身权益。</w:t>
      </w:r>
    </w:p>
    <w:p w14:paraId="2C5EB833">
      <w:pPr>
        <w:spacing w:line="560" w:lineRule="exact"/>
        <w:ind w:firstLine="600" w:firstLineChars="200"/>
        <w:rPr>
          <w:rFonts w:ascii="仿宋" w:hAnsi="仿宋" w:eastAsia="仿宋"/>
          <w:sz w:val="30"/>
          <w:szCs w:val="30"/>
        </w:rPr>
      </w:pPr>
      <w:r>
        <w:rPr>
          <w:rFonts w:hint="eastAsia" w:ascii="仿宋" w:hAnsi="仿宋" w:eastAsia="仿宋"/>
          <w:sz w:val="30"/>
          <w:szCs w:val="30"/>
        </w:rPr>
        <w:t>二、申报债权应提供如下材料：</w:t>
      </w:r>
    </w:p>
    <w:p w14:paraId="72D0CDDC">
      <w:pPr>
        <w:spacing w:line="560" w:lineRule="exact"/>
        <w:ind w:firstLine="600" w:firstLineChars="200"/>
        <w:rPr>
          <w:rFonts w:ascii="仿宋" w:hAnsi="仿宋" w:eastAsia="仿宋"/>
          <w:sz w:val="30"/>
          <w:szCs w:val="30"/>
        </w:rPr>
      </w:pPr>
      <w:r>
        <w:rPr>
          <w:rFonts w:hint="eastAsia" w:ascii="仿宋" w:hAnsi="仿宋" w:eastAsia="仿宋"/>
          <w:sz w:val="30"/>
          <w:szCs w:val="30"/>
        </w:rPr>
        <w:t>（一）申报材料</w:t>
      </w:r>
    </w:p>
    <w:p w14:paraId="5F66A42C">
      <w:pPr>
        <w:spacing w:line="560" w:lineRule="exact"/>
        <w:ind w:firstLine="600" w:firstLineChars="200"/>
        <w:rPr>
          <w:rFonts w:ascii="仿宋" w:hAnsi="仿宋" w:eastAsia="仿宋"/>
          <w:sz w:val="30"/>
          <w:szCs w:val="30"/>
        </w:rPr>
      </w:pPr>
      <w:r>
        <w:rPr>
          <w:rFonts w:hint="eastAsia" w:ascii="仿宋" w:hAnsi="仿宋" w:eastAsia="仿宋"/>
          <w:sz w:val="30"/>
          <w:szCs w:val="30"/>
        </w:rPr>
        <w:t>包括《债权申报登记表》《债权计算清单》《债权申报证据清单》《送达地址及联系方式确认书》、证据材料等。</w:t>
      </w:r>
    </w:p>
    <w:p w14:paraId="52A27E48">
      <w:pPr>
        <w:spacing w:line="560" w:lineRule="exact"/>
        <w:ind w:firstLine="600" w:firstLineChars="200"/>
        <w:rPr>
          <w:rFonts w:ascii="仿宋" w:hAnsi="仿宋" w:eastAsia="仿宋"/>
          <w:sz w:val="30"/>
          <w:szCs w:val="30"/>
        </w:rPr>
      </w:pPr>
      <w:r>
        <w:rPr>
          <w:rFonts w:hint="eastAsia" w:ascii="仿宋" w:hAnsi="仿宋" w:eastAsia="仿宋"/>
          <w:sz w:val="30"/>
          <w:szCs w:val="30"/>
        </w:rPr>
        <w:t>（二）主体资格证明材料</w:t>
      </w:r>
    </w:p>
    <w:p w14:paraId="2637DFF1">
      <w:pPr>
        <w:spacing w:line="560" w:lineRule="exact"/>
        <w:ind w:firstLine="600" w:firstLineChars="200"/>
        <w:rPr>
          <w:rFonts w:ascii="仿宋" w:hAnsi="仿宋" w:eastAsia="仿宋"/>
          <w:sz w:val="30"/>
          <w:szCs w:val="30"/>
        </w:rPr>
      </w:pPr>
      <w:r>
        <w:rPr>
          <w:rFonts w:hint="eastAsia" w:ascii="仿宋" w:hAnsi="仿宋" w:eastAsia="仿宋"/>
          <w:sz w:val="30"/>
          <w:szCs w:val="30"/>
        </w:rPr>
        <w:t>债权人为法人或其他组织的，应提供企业法人营业执照复印件（加盖公章）、法定代表人（负责人）身份证明（原件）、法定代表人身份证复印件（签字确认）或能够证明主体资格的其他文件；债权人为自然人的，应提供个人身份证件（复印件签字确认）；</w:t>
      </w:r>
    </w:p>
    <w:p w14:paraId="5E75DB3B">
      <w:pPr>
        <w:spacing w:line="560" w:lineRule="exact"/>
        <w:rPr>
          <w:rFonts w:ascii="仿宋" w:hAnsi="仿宋" w:eastAsia="仿宋"/>
          <w:sz w:val="30"/>
          <w:szCs w:val="30"/>
        </w:rPr>
      </w:pPr>
      <w:r>
        <w:rPr>
          <w:rFonts w:hint="eastAsia" w:ascii="仿宋" w:hAnsi="仿宋" w:eastAsia="仿宋"/>
          <w:sz w:val="30"/>
          <w:szCs w:val="30"/>
        </w:rPr>
        <w:t>委托代理人申报的，需提交代理人授权委托书（原件）及代理人身份证复印件（签字确认），委托代理人是律师的还应提交律师事务所的指派函及律师执业证复印件。</w:t>
      </w:r>
    </w:p>
    <w:p w14:paraId="2C10A7EF">
      <w:pPr>
        <w:spacing w:line="560" w:lineRule="exact"/>
        <w:ind w:firstLine="600" w:firstLineChars="200"/>
        <w:rPr>
          <w:rFonts w:ascii="仿宋" w:hAnsi="仿宋" w:eastAsia="仿宋"/>
          <w:sz w:val="30"/>
          <w:szCs w:val="30"/>
        </w:rPr>
      </w:pPr>
      <w:r>
        <w:rPr>
          <w:rFonts w:hint="eastAsia" w:ascii="仿宋" w:hAnsi="仿宋" w:eastAsia="仿宋"/>
          <w:sz w:val="30"/>
          <w:szCs w:val="30"/>
        </w:rPr>
        <w:t>（三）证据材料</w:t>
      </w:r>
    </w:p>
    <w:p w14:paraId="67C03A39">
      <w:pPr>
        <w:spacing w:line="560" w:lineRule="exact"/>
        <w:ind w:firstLine="600" w:firstLineChars="200"/>
        <w:rPr>
          <w:rFonts w:ascii="仿宋" w:hAnsi="仿宋" w:eastAsia="仿宋"/>
          <w:sz w:val="30"/>
          <w:szCs w:val="30"/>
        </w:rPr>
      </w:pPr>
      <w:r>
        <w:rPr>
          <w:rFonts w:hint="eastAsia" w:ascii="仿宋" w:hAnsi="仿宋" w:eastAsia="仿宋"/>
          <w:sz w:val="30"/>
          <w:szCs w:val="30"/>
        </w:rPr>
        <w:t>债权人应提供真实、合法及有效的证据，举证的范围包括但不限于：</w:t>
      </w:r>
    </w:p>
    <w:p w14:paraId="191DCE0E">
      <w:pPr>
        <w:spacing w:line="560" w:lineRule="exact"/>
        <w:ind w:firstLine="600" w:firstLineChars="200"/>
        <w:rPr>
          <w:rFonts w:ascii="仿宋" w:hAnsi="仿宋" w:eastAsia="仿宋"/>
          <w:sz w:val="30"/>
          <w:szCs w:val="30"/>
        </w:rPr>
      </w:pPr>
      <w:r>
        <w:rPr>
          <w:rFonts w:ascii="仿宋" w:hAnsi="仿宋" w:eastAsia="仿宋"/>
          <w:sz w:val="30"/>
          <w:szCs w:val="30"/>
        </w:rPr>
        <w:t>1、证明债权成立的合同、协议、对账单及承诺函等；</w:t>
      </w:r>
    </w:p>
    <w:p w14:paraId="0978C1F3">
      <w:pPr>
        <w:spacing w:line="560" w:lineRule="exact"/>
        <w:ind w:firstLine="600" w:firstLineChars="200"/>
        <w:rPr>
          <w:rFonts w:ascii="仿宋" w:hAnsi="仿宋" w:eastAsia="仿宋"/>
          <w:sz w:val="30"/>
          <w:szCs w:val="30"/>
        </w:rPr>
      </w:pPr>
      <w:r>
        <w:rPr>
          <w:rFonts w:ascii="仿宋" w:hAnsi="仿宋" w:eastAsia="仿宋"/>
          <w:sz w:val="30"/>
          <w:szCs w:val="30"/>
        </w:rPr>
        <w:t>2、收条、领条、银行流水、转账凭证、交接单等交付或支付凭证；</w:t>
      </w:r>
    </w:p>
    <w:p w14:paraId="3C1E9CEC">
      <w:pPr>
        <w:spacing w:line="560" w:lineRule="exact"/>
        <w:ind w:firstLine="600" w:firstLineChars="200"/>
        <w:rPr>
          <w:rFonts w:ascii="仿宋" w:hAnsi="仿宋" w:eastAsia="仿宋"/>
          <w:sz w:val="30"/>
          <w:szCs w:val="30"/>
        </w:rPr>
      </w:pPr>
      <w:r>
        <w:rPr>
          <w:rFonts w:ascii="仿宋" w:hAnsi="仿宋" w:eastAsia="仿宋"/>
          <w:sz w:val="30"/>
          <w:szCs w:val="30"/>
        </w:rPr>
        <w:t>3、往来函件、公告、法律文书等证明债权仍在诉讼、仲裁时效、担保期间、执行期限内的文件；</w:t>
      </w:r>
    </w:p>
    <w:p w14:paraId="7E60E9D6">
      <w:pPr>
        <w:spacing w:line="560" w:lineRule="exact"/>
        <w:ind w:firstLine="600" w:firstLineChars="200"/>
        <w:rPr>
          <w:rFonts w:ascii="仿宋" w:hAnsi="仿宋" w:eastAsia="仿宋"/>
          <w:sz w:val="30"/>
          <w:szCs w:val="30"/>
        </w:rPr>
      </w:pPr>
      <w:r>
        <w:rPr>
          <w:rFonts w:ascii="仿宋" w:hAnsi="仿宋" w:eastAsia="仿宋"/>
          <w:sz w:val="30"/>
          <w:szCs w:val="30"/>
        </w:rPr>
        <w:t>4、如申报的债权涉及诉讼、仲裁程序，须提交判决书、调解书、裁决书、执行立案通知书、中止执行裁定书、终结本次执行裁定书、保全裁定书等法律文书；涉及执行程序，应当提交法院出具的执行情况证明文件：</w:t>
      </w:r>
    </w:p>
    <w:p w14:paraId="130E48AD">
      <w:pPr>
        <w:spacing w:line="560" w:lineRule="exact"/>
        <w:ind w:firstLine="600" w:firstLineChars="200"/>
        <w:rPr>
          <w:rFonts w:ascii="仿宋" w:hAnsi="仿宋" w:eastAsia="仿宋"/>
          <w:sz w:val="30"/>
          <w:szCs w:val="30"/>
        </w:rPr>
      </w:pPr>
      <w:r>
        <w:rPr>
          <w:rFonts w:ascii="仿宋" w:hAnsi="仿宋" w:eastAsia="仿宋"/>
          <w:sz w:val="30"/>
          <w:szCs w:val="30"/>
        </w:rPr>
        <w:t>5、有担保物权的，应当提供担保合同、担保物凭证复印件、他项权证书或其他已办理相关登记的证明；</w:t>
      </w:r>
    </w:p>
    <w:p w14:paraId="1175706A">
      <w:pPr>
        <w:spacing w:line="560" w:lineRule="exact"/>
        <w:ind w:firstLine="600" w:firstLineChars="200"/>
        <w:rPr>
          <w:rFonts w:ascii="仿宋" w:hAnsi="仿宋" w:eastAsia="仿宋"/>
          <w:sz w:val="30"/>
          <w:szCs w:val="30"/>
        </w:rPr>
      </w:pPr>
      <w:r>
        <w:rPr>
          <w:rFonts w:ascii="仿宋" w:hAnsi="仿宋" w:eastAsia="仿宋"/>
          <w:sz w:val="30"/>
          <w:szCs w:val="30"/>
        </w:rPr>
        <w:t>6、债权如有部分清偿的，须提交银行流水、转账凭证、协议等清偿材料。</w:t>
      </w:r>
    </w:p>
    <w:p w14:paraId="47026451">
      <w:pPr>
        <w:spacing w:line="560" w:lineRule="exact"/>
        <w:ind w:firstLine="600" w:firstLineChars="200"/>
        <w:rPr>
          <w:rFonts w:ascii="仿宋" w:hAnsi="仿宋" w:eastAsia="仿宋"/>
          <w:sz w:val="30"/>
          <w:szCs w:val="30"/>
        </w:rPr>
      </w:pPr>
      <w:r>
        <w:rPr>
          <w:rFonts w:hint="eastAsia" w:ascii="仿宋" w:hAnsi="仿宋" w:eastAsia="仿宋"/>
          <w:sz w:val="30"/>
          <w:szCs w:val="30"/>
        </w:rPr>
        <w:t>三、债权申报需注意的问题</w:t>
      </w:r>
    </w:p>
    <w:p w14:paraId="1CC6D39E">
      <w:pPr>
        <w:spacing w:line="560" w:lineRule="exact"/>
        <w:ind w:firstLine="600" w:firstLineChars="200"/>
        <w:rPr>
          <w:rFonts w:ascii="仿宋" w:hAnsi="仿宋" w:eastAsia="仿宋"/>
          <w:sz w:val="30"/>
          <w:szCs w:val="30"/>
        </w:rPr>
      </w:pPr>
      <w:r>
        <w:rPr>
          <w:rFonts w:hint="eastAsia" w:ascii="仿宋" w:hAnsi="仿宋" w:eastAsia="仿宋"/>
          <w:sz w:val="30"/>
          <w:szCs w:val="30"/>
        </w:rPr>
        <w:t>（一）债权申报基本要求</w:t>
      </w:r>
    </w:p>
    <w:p w14:paraId="6BE77DD2">
      <w:pPr>
        <w:spacing w:line="560" w:lineRule="exact"/>
        <w:ind w:firstLine="600" w:firstLineChars="200"/>
        <w:rPr>
          <w:rFonts w:ascii="仿宋" w:hAnsi="仿宋" w:eastAsia="仿宋"/>
          <w:sz w:val="30"/>
          <w:szCs w:val="30"/>
        </w:rPr>
      </w:pPr>
      <w:r>
        <w:rPr>
          <w:rFonts w:ascii="仿宋" w:hAnsi="仿宋" w:eastAsia="仿宋"/>
          <w:sz w:val="30"/>
          <w:szCs w:val="30"/>
        </w:rPr>
        <w:t>1、如实申报。债权人应当如实申报债权，因不实申报所产生的民事、刑事责任由债权人自行承担。</w:t>
      </w:r>
    </w:p>
    <w:p w14:paraId="742A3725">
      <w:pPr>
        <w:spacing w:line="560" w:lineRule="exact"/>
        <w:ind w:firstLine="600" w:firstLineChars="200"/>
        <w:rPr>
          <w:rFonts w:ascii="仿宋" w:hAnsi="仿宋" w:eastAsia="仿宋"/>
          <w:sz w:val="30"/>
          <w:szCs w:val="30"/>
        </w:rPr>
      </w:pPr>
      <w:r>
        <w:rPr>
          <w:rFonts w:ascii="仿宋" w:hAnsi="仿宋" w:eastAsia="仿宋"/>
          <w:sz w:val="30"/>
          <w:szCs w:val="30"/>
        </w:rPr>
        <w:t>2、完整申报。债权人应严格遵守申报规则，服从管理人工作人员的安排，在申报时一并提供主体资格证明文件原件和证据原件，以便管理人核对。管理人如认为债权人提交文件材料不完整，有权要求其补充提交文件材料。</w:t>
      </w:r>
    </w:p>
    <w:p w14:paraId="3C06027E">
      <w:pPr>
        <w:spacing w:line="560" w:lineRule="exact"/>
        <w:ind w:firstLine="600" w:firstLineChars="200"/>
        <w:rPr>
          <w:rFonts w:ascii="仿宋" w:hAnsi="仿宋" w:eastAsia="仿宋"/>
          <w:sz w:val="30"/>
          <w:szCs w:val="30"/>
        </w:rPr>
      </w:pPr>
      <w:r>
        <w:rPr>
          <w:rFonts w:ascii="仿宋" w:hAnsi="仿宋" w:eastAsia="仿宋"/>
          <w:sz w:val="30"/>
          <w:szCs w:val="30"/>
        </w:rPr>
        <w:t>3、提供原件。申报债权时应按要求提供相关原件。</w:t>
      </w:r>
    </w:p>
    <w:p w14:paraId="0D8FEE04">
      <w:pPr>
        <w:spacing w:line="560" w:lineRule="exact"/>
        <w:ind w:firstLine="600" w:firstLineChars="200"/>
        <w:rPr>
          <w:rFonts w:ascii="仿宋" w:hAnsi="仿宋" w:eastAsia="仿宋"/>
          <w:sz w:val="30"/>
          <w:szCs w:val="30"/>
        </w:rPr>
      </w:pPr>
      <w:r>
        <w:rPr>
          <w:rFonts w:hint="eastAsia" w:ascii="仿宋" w:hAnsi="仿宋" w:eastAsia="仿宋"/>
          <w:sz w:val="30"/>
          <w:szCs w:val="30"/>
        </w:rPr>
        <w:t>申报材料原件的核对仅为形式核对，并不作为债权审核时确认该债权真实性、合法性、关联性的依据；原件经管理人核对后由债权人自行保管，如管理人、债务人、其他债权人对债权持有异议，需核对原件的，债权人应及时提供。</w:t>
      </w:r>
    </w:p>
    <w:p w14:paraId="45575AD4">
      <w:pPr>
        <w:spacing w:line="560" w:lineRule="exact"/>
        <w:ind w:firstLine="600" w:firstLineChars="200"/>
        <w:rPr>
          <w:rFonts w:ascii="仿宋" w:hAnsi="仿宋" w:eastAsia="仿宋"/>
          <w:sz w:val="30"/>
          <w:szCs w:val="30"/>
        </w:rPr>
      </w:pPr>
      <w:r>
        <w:rPr>
          <w:rFonts w:hint="eastAsia" w:ascii="仿宋" w:hAnsi="仿宋" w:eastAsia="仿宋"/>
          <w:sz w:val="30"/>
          <w:szCs w:val="30"/>
        </w:rPr>
        <w:t>无论以何种方式申报，如债权人未能按管理人的要求提供申报材料原件的，其所申报的债权管理人有权不予确认。</w:t>
      </w:r>
      <w:r>
        <w:rPr>
          <w:rFonts w:ascii="仿宋" w:hAnsi="仿宋" w:eastAsia="仿宋"/>
          <w:sz w:val="30"/>
          <w:szCs w:val="30"/>
        </w:rPr>
        <w:t xml:space="preserve"> </w:t>
      </w:r>
    </w:p>
    <w:p w14:paraId="4FF2DD65">
      <w:pPr>
        <w:spacing w:line="560" w:lineRule="exact"/>
        <w:ind w:firstLine="600" w:firstLineChars="200"/>
        <w:rPr>
          <w:rFonts w:ascii="仿宋" w:hAnsi="仿宋" w:eastAsia="仿宋"/>
          <w:sz w:val="30"/>
          <w:szCs w:val="30"/>
        </w:rPr>
      </w:pPr>
      <w:r>
        <w:rPr>
          <w:rFonts w:hint="eastAsia" w:ascii="仿宋" w:hAnsi="仿宋" w:eastAsia="仿宋"/>
          <w:sz w:val="30"/>
          <w:szCs w:val="30"/>
        </w:rPr>
        <w:t>（二）债权申报材料填写要求</w:t>
      </w:r>
    </w:p>
    <w:p w14:paraId="1450F534">
      <w:pPr>
        <w:spacing w:line="560" w:lineRule="exact"/>
        <w:ind w:firstLine="600" w:firstLineChars="200"/>
        <w:rPr>
          <w:rFonts w:ascii="仿宋" w:hAnsi="仿宋" w:eastAsia="仿宋"/>
          <w:sz w:val="30"/>
          <w:szCs w:val="30"/>
        </w:rPr>
      </w:pPr>
      <w:r>
        <w:rPr>
          <w:rFonts w:ascii="仿宋" w:hAnsi="仿宋" w:eastAsia="仿宋"/>
          <w:sz w:val="30"/>
          <w:szCs w:val="30"/>
        </w:rPr>
        <w:t>1、申报债权的金额：申报的债权金额必须确定（同一法人、组织或个人只能申报一个债权总额）；如债权系以外币进行结算\交易的，应以破产受理日中国人民银行公布的市场交易中间价换算成人民币后进行申报\计算。</w:t>
      </w:r>
    </w:p>
    <w:p w14:paraId="23FB18FA">
      <w:pPr>
        <w:spacing w:line="560" w:lineRule="exact"/>
        <w:ind w:firstLine="600" w:firstLineChars="200"/>
        <w:rPr>
          <w:rFonts w:ascii="仿宋" w:hAnsi="仿宋" w:eastAsia="仿宋"/>
          <w:sz w:val="30"/>
          <w:szCs w:val="30"/>
        </w:rPr>
      </w:pPr>
      <w:r>
        <w:rPr>
          <w:rFonts w:ascii="仿宋" w:hAnsi="仿宋" w:eastAsia="仿宋"/>
          <w:sz w:val="30"/>
          <w:szCs w:val="30"/>
        </w:rPr>
        <w:t>2、孳息债权：利息等孳息债权暂计算至人民法院裁定受理案件之日（即202</w:t>
      </w:r>
      <w:r>
        <w:rPr>
          <w:rFonts w:hint="eastAsia" w:ascii="仿宋" w:hAnsi="仿宋" w:eastAsia="仿宋"/>
          <w:sz w:val="30"/>
          <w:szCs w:val="30"/>
          <w:lang w:val="en-US" w:eastAsia="zh-CN"/>
        </w:rPr>
        <w:t>5</w:t>
      </w:r>
      <w:r>
        <w:rPr>
          <w:rFonts w:ascii="仿宋" w:hAnsi="仿宋" w:eastAsia="仿宋"/>
          <w:sz w:val="30"/>
          <w:szCs w:val="30"/>
        </w:rPr>
        <w:t>年</w:t>
      </w:r>
      <w:r>
        <w:rPr>
          <w:rFonts w:hint="eastAsia" w:ascii="仿宋" w:hAnsi="仿宋" w:eastAsia="仿宋"/>
          <w:sz w:val="30"/>
          <w:szCs w:val="30"/>
        </w:rPr>
        <w:t>10</w:t>
      </w:r>
      <w:r>
        <w:rPr>
          <w:rFonts w:ascii="仿宋" w:hAnsi="仿宋" w:eastAsia="仿宋"/>
          <w:sz w:val="30"/>
          <w:szCs w:val="30"/>
        </w:rPr>
        <w:t>月</w:t>
      </w:r>
      <w:r>
        <w:rPr>
          <w:rFonts w:hint="eastAsia" w:ascii="仿宋" w:hAnsi="仿宋" w:eastAsia="仿宋"/>
          <w:sz w:val="30"/>
          <w:szCs w:val="30"/>
          <w:lang w:val="en-US" w:eastAsia="zh-CN"/>
        </w:rPr>
        <w:t>29</w:t>
      </w:r>
      <w:r>
        <w:rPr>
          <w:rFonts w:ascii="仿宋" w:hAnsi="仿宋" w:eastAsia="仿宋"/>
          <w:sz w:val="30"/>
          <w:szCs w:val="30"/>
        </w:rPr>
        <w:t>日），债权区应按照《债权计算清单》的内容和要求进行填写，涉及多笔债权的，根据债权性质分别计算和填写。</w:t>
      </w:r>
    </w:p>
    <w:p w14:paraId="050A634C">
      <w:pPr>
        <w:spacing w:line="560" w:lineRule="exact"/>
        <w:ind w:firstLine="600" w:firstLineChars="200"/>
        <w:rPr>
          <w:rFonts w:ascii="仿宋" w:hAnsi="仿宋" w:eastAsia="仿宋"/>
          <w:sz w:val="30"/>
          <w:szCs w:val="30"/>
        </w:rPr>
      </w:pPr>
      <w:r>
        <w:rPr>
          <w:rFonts w:ascii="仿宋" w:hAnsi="仿宋" w:eastAsia="仿宋"/>
          <w:sz w:val="30"/>
          <w:szCs w:val="30"/>
        </w:rPr>
        <w:t>3、基本事实：简要陈述该债权的形成经过；若涉及合同关系则该合同是否已经履行完毕要填写清楚。</w:t>
      </w:r>
    </w:p>
    <w:p w14:paraId="7050A560">
      <w:pPr>
        <w:spacing w:line="560" w:lineRule="exact"/>
        <w:ind w:firstLine="600" w:firstLineChars="200"/>
        <w:rPr>
          <w:rFonts w:ascii="仿宋" w:hAnsi="仿宋" w:eastAsia="仿宋"/>
          <w:sz w:val="30"/>
          <w:szCs w:val="30"/>
        </w:rPr>
      </w:pPr>
      <w:r>
        <w:rPr>
          <w:rFonts w:ascii="仿宋" w:hAnsi="仿宋" w:eastAsia="仿宋"/>
          <w:sz w:val="30"/>
          <w:szCs w:val="30"/>
        </w:rPr>
        <w:t>4、送达地址：债权人申报债权时，应在《送达地址及联系方式确认书》中明确申报人的联系地址、邮编、电话、联系人等。</w:t>
      </w:r>
    </w:p>
    <w:p w14:paraId="0C40C335">
      <w:pPr>
        <w:spacing w:line="560" w:lineRule="exact"/>
        <w:ind w:firstLine="600" w:firstLineChars="200"/>
        <w:rPr>
          <w:rFonts w:ascii="仿宋" w:hAnsi="仿宋" w:eastAsia="仿宋"/>
          <w:sz w:val="30"/>
          <w:szCs w:val="30"/>
        </w:rPr>
      </w:pPr>
      <w:r>
        <w:rPr>
          <w:rFonts w:ascii="仿宋" w:hAnsi="仿宋" w:eastAsia="仿宋"/>
          <w:sz w:val="30"/>
          <w:szCs w:val="30"/>
        </w:rPr>
        <w:t>5、填写方式：申报文件必须用正楷字认真填写或提交打印件，提交的复印件应当清晰，字迹不清或复印件模糊导致的不利法律后果由债权人自行承担。</w:t>
      </w:r>
    </w:p>
    <w:p w14:paraId="5D4B029F">
      <w:pPr>
        <w:spacing w:line="560" w:lineRule="exact"/>
        <w:ind w:firstLine="600" w:firstLineChars="200"/>
        <w:rPr>
          <w:rFonts w:ascii="仿宋" w:hAnsi="仿宋" w:eastAsia="仿宋"/>
          <w:sz w:val="30"/>
          <w:szCs w:val="30"/>
        </w:rPr>
      </w:pPr>
      <w:r>
        <w:rPr>
          <w:rFonts w:hint="eastAsia" w:ascii="仿宋" w:hAnsi="仿宋" w:eastAsia="仿宋"/>
          <w:sz w:val="30"/>
          <w:szCs w:val="30"/>
        </w:rPr>
        <w:t>（三）其他注意事项</w:t>
      </w:r>
    </w:p>
    <w:p w14:paraId="52E0A48A">
      <w:pPr>
        <w:spacing w:line="560" w:lineRule="exact"/>
        <w:ind w:firstLine="600" w:firstLineChars="200"/>
        <w:rPr>
          <w:rFonts w:ascii="仿宋" w:hAnsi="仿宋" w:eastAsia="仿宋"/>
          <w:sz w:val="30"/>
          <w:szCs w:val="30"/>
        </w:rPr>
      </w:pPr>
      <w:r>
        <w:rPr>
          <w:rFonts w:hint="eastAsia" w:ascii="仿宋" w:hAnsi="仿宋" w:eastAsia="仿宋"/>
          <w:sz w:val="30"/>
          <w:szCs w:val="30"/>
        </w:rPr>
        <w:t>根据《企业破产法》的规定，债权人在申报债权时还应当注意以下几点：</w:t>
      </w:r>
    </w:p>
    <w:p w14:paraId="73061CC9">
      <w:pPr>
        <w:spacing w:line="560" w:lineRule="exact"/>
        <w:ind w:firstLine="600" w:firstLineChars="200"/>
        <w:rPr>
          <w:rFonts w:ascii="仿宋" w:hAnsi="仿宋" w:eastAsia="仿宋"/>
          <w:sz w:val="30"/>
          <w:szCs w:val="30"/>
        </w:rPr>
      </w:pPr>
      <w:r>
        <w:rPr>
          <w:rFonts w:ascii="仿宋" w:hAnsi="仿宋" w:eastAsia="仿宋"/>
          <w:sz w:val="30"/>
          <w:szCs w:val="30"/>
        </w:rPr>
        <w:t>1、未到期的债权，在破产申请受理时视为到期；</w:t>
      </w:r>
    </w:p>
    <w:p w14:paraId="0B7AEF17">
      <w:pPr>
        <w:spacing w:line="560" w:lineRule="exact"/>
        <w:ind w:firstLine="600" w:firstLineChars="200"/>
        <w:rPr>
          <w:rFonts w:ascii="仿宋" w:hAnsi="仿宋" w:eastAsia="仿宋"/>
          <w:sz w:val="30"/>
          <w:szCs w:val="30"/>
        </w:rPr>
      </w:pPr>
      <w:r>
        <w:rPr>
          <w:rFonts w:ascii="仿宋" w:hAnsi="仿宋" w:eastAsia="仿宋"/>
          <w:sz w:val="30"/>
          <w:szCs w:val="30"/>
        </w:rPr>
        <w:t>2、附条件、附期限的债权和诉讼、仲裁未决的债权，债权人可以申报；</w:t>
      </w:r>
    </w:p>
    <w:p w14:paraId="6155C25A">
      <w:pPr>
        <w:spacing w:line="560" w:lineRule="exact"/>
        <w:ind w:firstLine="600" w:firstLineChars="200"/>
        <w:rPr>
          <w:rFonts w:ascii="仿宋" w:hAnsi="仿宋" w:eastAsia="仿宋"/>
          <w:sz w:val="30"/>
          <w:szCs w:val="30"/>
        </w:rPr>
      </w:pPr>
      <w:r>
        <w:rPr>
          <w:rFonts w:ascii="仿宋" w:hAnsi="仿宋" w:eastAsia="仿宋"/>
          <w:sz w:val="30"/>
          <w:szCs w:val="30"/>
        </w:rPr>
        <w:t>3、债权人申报债权时，应当书面说明债权的数额、性质和有无财产担保情况；</w:t>
      </w:r>
    </w:p>
    <w:p w14:paraId="72E37ACE">
      <w:pPr>
        <w:spacing w:line="560" w:lineRule="exact"/>
        <w:ind w:firstLine="600" w:firstLineChars="200"/>
        <w:rPr>
          <w:rFonts w:ascii="仿宋" w:hAnsi="仿宋" w:eastAsia="仿宋"/>
          <w:sz w:val="30"/>
          <w:szCs w:val="30"/>
        </w:rPr>
      </w:pPr>
      <w:r>
        <w:rPr>
          <w:rFonts w:ascii="仿宋" w:hAnsi="仿宋" w:eastAsia="仿宋"/>
          <w:sz w:val="30"/>
          <w:szCs w:val="30"/>
        </w:rPr>
        <w:t>4、连带债权人可以由其中一人代表全体连带债权人申报债权，也可以共同申报债权；</w:t>
      </w:r>
    </w:p>
    <w:p w14:paraId="45DF535E">
      <w:pPr>
        <w:spacing w:line="560" w:lineRule="exact"/>
        <w:ind w:firstLine="600" w:firstLineChars="200"/>
        <w:rPr>
          <w:rFonts w:ascii="仿宋" w:hAnsi="仿宋" w:eastAsia="仿宋"/>
          <w:sz w:val="30"/>
          <w:szCs w:val="30"/>
        </w:rPr>
      </w:pPr>
      <w:r>
        <w:rPr>
          <w:rFonts w:ascii="仿宋" w:hAnsi="仿宋" w:eastAsia="仿宋"/>
          <w:sz w:val="30"/>
          <w:szCs w:val="30"/>
        </w:rPr>
        <w:t>5、债务人的保证人或者其他连带债务人已经代替债务人清偿债务的，可就其对债务人的求偿权申报债权；</w:t>
      </w:r>
    </w:p>
    <w:p w14:paraId="1DF47704">
      <w:pPr>
        <w:spacing w:line="560" w:lineRule="exact"/>
        <w:ind w:firstLine="600" w:firstLineChars="200"/>
        <w:rPr>
          <w:rFonts w:ascii="仿宋" w:hAnsi="仿宋" w:eastAsia="仿宋"/>
          <w:sz w:val="30"/>
          <w:szCs w:val="30"/>
        </w:rPr>
      </w:pPr>
      <w:r>
        <w:rPr>
          <w:rFonts w:ascii="仿宋" w:hAnsi="仿宋" w:eastAsia="仿宋"/>
          <w:sz w:val="30"/>
          <w:szCs w:val="30"/>
        </w:rPr>
        <w:t>6、债务人的保证人或者其他连带债务人尚未代替债务人清偿债务的，以其对债务人的将来求偿权申报债权，但债权人已经向管理人申报全部债权的除外；</w:t>
      </w:r>
    </w:p>
    <w:p w14:paraId="35A92987">
      <w:pPr>
        <w:spacing w:line="560" w:lineRule="exact"/>
        <w:ind w:firstLine="600" w:firstLineChars="200"/>
        <w:rPr>
          <w:rFonts w:ascii="仿宋" w:hAnsi="仿宋" w:eastAsia="仿宋"/>
          <w:sz w:val="30"/>
          <w:szCs w:val="30"/>
        </w:rPr>
      </w:pPr>
      <w:r>
        <w:rPr>
          <w:rFonts w:ascii="仿宋" w:hAnsi="仿宋" w:eastAsia="仿宋"/>
          <w:sz w:val="30"/>
          <w:szCs w:val="30"/>
        </w:rPr>
        <w:t>7、债务人或者管理人解除合同的，对方当事人以因合同解除所产生的损害赔偿请求权申报债权；</w:t>
      </w:r>
    </w:p>
    <w:p w14:paraId="0584D5C5">
      <w:pPr>
        <w:spacing w:line="560" w:lineRule="exact"/>
        <w:ind w:firstLine="600" w:firstLineChars="200"/>
        <w:rPr>
          <w:rFonts w:ascii="仿宋" w:hAnsi="仿宋" w:eastAsia="仿宋"/>
          <w:sz w:val="30"/>
          <w:szCs w:val="30"/>
        </w:rPr>
      </w:pPr>
      <w:r>
        <w:rPr>
          <w:rFonts w:ascii="仿宋" w:hAnsi="仿宋" w:eastAsia="仿宋"/>
          <w:sz w:val="30"/>
          <w:szCs w:val="30"/>
        </w:rPr>
        <w:t>8、债务人是委托合同的委托人，被裁定适用《企业破产法》规定的程序，受托人不知该事实，继续处理委托事务的，受托人以由此产生的请求权申报债权；</w:t>
      </w:r>
    </w:p>
    <w:p w14:paraId="2901BF06">
      <w:pPr>
        <w:spacing w:line="560" w:lineRule="exact"/>
        <w:ind w:firstLine="600" w:firstLineChars="200"/>
        <w:rPr>
          <w:rFonts w:ascii="仿宋" w:hAnsi="仿宋" w:eastAsia="仿宋"/>
          <w:sz w:val="30"/>
          <w:szCs w:val="30"/>
        </w:rPr>
      </w:pPr>
      <w:r>
        <w:rPr>
          <w:rFonts w:ascii="仿宋" w:hAnsi="仿宋" w:eastAsia="仿宋"/>
          <w:sz w:val="30"/>
          <w:szCs w:val="30"/>
        </w:rPr>
        <w:t>9、债务人是票据的出票人，被裁定适用《企业破产法》规定的程序，该票据的付款人继续付款或者承兑的，付款人以由此产生的请求权申报债权；</w:t>
      </w:r>
    </w:p>
    <w:p w14:paraId="75C1FF16">
      <w:pPr>
        <w:spacing w:line="560" w:lineRule="exact"/>
        <w:ind w:firstLine="600" w:firstLineChars="200"/>
        <w:rPr>
          <w:rFonts w:ascii="仿宋" w:hAnsi="仿宋" w:eastAsia="仿宋"/>
          <w:sz w:val="30"/>
          <w:szCs w:val="30"/>
        </w:rPr>
      </w:pPr>
      <w:r>
        <w:rPr>
          <w:rFonts w:ascii="仿宋" w:hAnsi="仿宋" w:eastAsia="仿宋"/>
          <w:sz w:val="30"/>
          <w:szCs w:val="30"/>
        </w:rPr>
        <w:t>10、法律规定其他可以申报的债权，债权人有权予以申报。</w:t>
      </w:r>
    </w:p>
    <w:p w14:paraId="6986DF22">
      <w:pPr>
        <w:spacing w:line="560" w:lineRule="exact"/>
        <w:ind w:firstLine="600" w:firstLineChars="200"/>
        <w:rPr>
          <w:rFonts w:ascii="仿宋" w:hAnsi="仿宋" w:eastAsia="仿宋"/>
          <w:sz w:val="30"/>
          <w:szCs w:val="30"/>
        </w:rPr>
      </w:pPr>
      <w:r>
        <w:rPr>
          <w:rFonts w:hint="eastAsia" w:ascii="仿宋" w:hAnsi="仿宋" w:eastAsia="仿宋"/>
          <w:sz w:val="30"/>
          <w:szCs w:val="30"/>
        </w:rPr>
        <w:t>四、未申报或未按期申报债权的法律后果</w:t>
      </w:r>
    </w:p>
    <w:p w14:paraId="29E2F555">
      <w:pPr>
        <w:spacing w:line="560" w:lineRule="exact"/>
        <w:ind w:firstLine="600" w:firstLineChars="200"/>
        <w:rPr>
          <w:rFonts w:ascii="仿宋" w:hAnsi="仿宋" w:eastAsia="仿宋"/>
          <w:sz w:val="30"/>
          <w:szCs w:val="30"/>
        </w:rPr>
      </w:pPr>
      <w:r>
        <w:rPr>
          <w:rFonts w:hint="eastAsia" w:ascii="仿宋" w:hAnsi="仿宋" w:eastAsia="仿宋"/>
          <w:sz w:val="30"/>
          <w:szCs w:val="30"/>
        </w:rPr>
        <w:t>（一）债权人未申报债权，将丧失《企业破产法》规定的债权人的相关权利，包括参加债权人会议权利、表决权、异议权、接受分配财产权利等。</w:t>
      </w:r>
    </w:p>
    <w:p w14:paraId="2B570981">
      <w:pPr>
        <w:spacing w:line="560" w:lineRule="exact"/>
        <w:ind w:firstLine="600" w:firstLineChars="200"/>
        <w:rPr>
          <w:rFonts w:ascii="仿宋" w:hAnsi="仿宋" w:eastAsia="仿宋"/>
          <w:sz w:val="30"/>
          <w:szCs w:val="30"/>
        </w:rPr>
      </w:pPr>
      <w:r>
        <w:rPr>
          <w:rFonts w:hint="eastAsia" w:ascii="仿宋" w:hAnsi="仿宋" w:eastAsia="仿宋"/>
          <w:sz w:val="30"/>
          <w:szCs w:val="30"/>
        </w:rPr>
        <w:t>（二）债权人未按期申报债权，可以在破产财产分配方案提交债权人会议讨论前补充申报，但对此前已进行的分配无权要求补充分配，同时要承担为审查和确认补充申报债权所产生的费用。</w:t>
      </w:r>
    </w:p>
    <w:p w14:paraId="0A259951">
      <w:pPr>
        <w:spacing w:line="560" w:lineRule="exact"/>
        <w:ind w:firstLine="600" w:firstLineChars="200"/>
        <w:rPr>
          <w:rFonts w:ascii="仿宋" w:hAnsi="仿宋" w:eastAsia="仿宋"/>
          <w:sz w:val="30"/>
          <w:szCs w:val="30"/>
        </w:rPr>
      </w:pPr>
      <w:r>
        <w:rPr>
          <w:rFonts w:hint="eastAsia" w:ascii="仿宋" w:hAnsi="仿宋" w:eastAsia="仿宋"/>
          <w:sz w:val="30"/>
          <w:szCs w:val="30"/>
        </w:rPr>
        <w:t>五、债权申报方式和期限</w:t>
      </w:r>
    </w:p>
    <w:p w14:paraId="184D30A4">
      <w:pPr>
        <w:spacing w:line="560" w:lineRule="exact"/>
        <w:ind w:firstLine="600" w:firstLineChars="200"/>
        <w:rPr>
          <w:rFonts w:ascii="仿宋" w:hAnsi="仿宋" w:eastAsia="仿宋"/>
          <w:sz w:val="30"/>
          <w:szCs w:val="30"/>
        </w:rPr>
      </w:pPr>
      <w:r>
        <w:rPr>
          <w:rFonts w:hint="eastAsia" w:ascii="仿宋" w:hAnsi="仿宋" w:eastAsia="仿宋"/>
          <w:sz w:val="30"/>
          <w:szCs w:val="30"/>
          <w:lang w:eastAsia="zh-CN"/>
        </w:rPr>
        <w:t>湖南省星空娱乐有限公司</w:t>
      </w:r>
      <w:r>
        <w:rPr>
          <w:rFonts w:hint="eastAsia" w:ascii="仿宋" w:hAnsi="仿宋" w:eastAsia="仿宋"/>
          <w:sz w:val="30"/>
          <w:szCs w:val="30"/>
        </w:rPr>
        <w:t>债权人应在</w:t>
      </w:r>
      <w:r>
        <w:rPr>
          <w:rFonts w:ascii="仿宋" w:hAnsi="仿宋" w:eastAsia="仿宋"/>
          <w:sz w:val="30"/>
          <w:szCs w:val="30"/>
        </w:rPr>
        <w:t>202</w:t>
      </w:r>
      <w:r>
        <w:rPr>
          <w:rFonts w:hint="eastAsia" w:ascii="仿宋" w:hAnsi="仿宋" w:eastAsia="仿宋"/>
          <w:sz w:val="30"/>
          <w:szCs w:val="30"/>
          <w:lang w:val="en-US" w:eastAsia="zh-CN"/>
        </w:rPr>
        <w:t>6</w:t>
      </w:r>
      <w:r>
        <w:rPr>
          <w:rFonts w:ascii="仿宋" w:hAnsi="仿宋" w:eastAsia="仿宋"/>
          <w:sz w:val="30"/>
          <w:szCs w:val="30"/>
        </w:rPr>
        <w:t>年</w:t>
      </w:r>
      <w:r>
        <w:rPr>
          <w:rFonts w:hint="eastAsia" w:ascii="仿宋" w:hAnsi="仿宋" w:eastAsia="仿宋"/>
          <w:sz w:val="30"/>
          <w:szCs w:val="30"/>
          <w:lang w:val="en-US" w:eastAsia="zh-CN"/>
        </w:rPr>
        <w:t>3</w:t>
      </w:r>
      <w:r>
        <w:rPr>
          <w:rFonts w:ascii="仿宋" w:hAnsi="仿宋" w:eastAsia="仿宋"/>
          <w:sz w:val="30"/>
          <w:szCs w:val="30"/>
        </w:rPr>
        <w:t>月</w:t>
      </w:r>
      <w:r>
        <w:rPr>
          <w:rFonts w:hint="eastAsia" w:ascii="仿宋" w:hAnsi="仿宋" w:eastAsia="仿宋"/>
          <w:sz w:val="30"/>
          <w:szCs w:val="30"/>
          <w:lang w:val="en-US" w:eastAsia="zh-CN"/>
        </w:rPr>
        <w:t>25</w:t>
      </w:r>
      <w:r>
        <w:rPr>
          <w:rFonts w:ascii="仿宋" w:hAnsi="仿宋" w:eastAsia="仿宋"/>
          <w:sz w:val="30"/>
          <w:szCs w:val="30"/>
        </w:rPr>
        <w:t>日前，向</w:t>
      </w:r>
      <w:r>
        <w:rPr>
          <w:rFonts w:hint="eastAsia" w:ascii="仿宋" w:hAnsi="仿宋" w:eastAsia="仿宋"/>
          <w:sz w:val="30"/>
          <w:szCs w:val="30"/>
          <w:lang w:eastAsia="zh-CN"/>
        </w:rPr>
        <w:t>湖南</w:t>
      </w:r>
      <w:r>
        <w:rPr>
          <w:rFonts w:hint="eastAsia" w:ascii="仿宋" w:hAnsi="仿宋" w:eastAsia="仿宋"/>
          <w:sz w:val="30"/>
          <w:szCs w:val="30"/>
          <w:lang w:val="en-US" w:eastAsia="zh-CN"/>
        </w:rPr>
        <w:t>绿蔓薯业有限公司</w:t>
      </w:r>
      <w:r>
        <w:rPr>
          <w:rFonts w:ascii="仿宋" w:hAnsi="仿宋" w:eastAsia="仿宋"/>
          <w:sz w:val="30"/>
          <w:szCs w:val="30"/>
        </w:rPr>
        <w:t>管理人申报债权。申报的地址和联系方式：</w:t>
      </w:r>
    </w:p>
    <w:p w14:paraId="6A4494C3">
      <w:pPr>
        <w:spacing w:line="560" w:lineRule="exact"/>
        <w:ind w:firstLine="600" w:firstLineChars="200"/>
        <w:rPr>
          <w:rFonts w:ascii="仿宋" w:hAnsi="仿宋" w:eastAsia="仿宋"/>
          <w:sz w:val="30"/>
          <w:szCs w:val="30"/>
        </w:rPr>
      </w:pPr>
      <w:r>
        <w:rPr>
          <w:rFonts w:hint="eastAsia" w:ascii="仿宋" w:hAnsi="仿宋" w:eastAsia="仿宋"/>
          <w:sz w:val="30"/>
          <w:szCs w:val="30"/>
        </w:rPr>
        <w:t>地址：湖南</w:t>
      </w:r>
      <w:r>
        <w:rPr>
          <w:rFonts w:hint="eastAsia" w:ascii="仿宋" w:hAnsi="仿宋" w:eastAsia="仿宋"/>
          <w:sz w:val="30"/>
          <w:szCs w:val="30"/>
          <w:lang w:val="en-US" w:eastAsia="zh-CN"/>
        </w:rPr>
        <w:t>芙蓉（怀化）</w:t>
      </w:r>
      <w:r>
        <w:rPr>
          <w:rFonts w:hint="eastAsia" w:ascii="仿宋" w:hAnsi="仿宋" w:eastAsia="仿宋"/>
          <w:sz w:val="30"/>
          <w:szCs w:val="30"/>
        </w:rPr>
        <w:t>律师事务所（怀化市鹤城区</w:t>
      </w:r>
      <w:r>
        <w:rPr>
          <w:rFonts w:hint="eastAsia" w:ascii="仿宋" w:hAnsi="仿宋" w:eastAsia="仿宋"/>
          <w:sz w:val="30"/>
          <w:szCs w:val="30"/>
          <w:lang w:val="en-US" w:eastAsia="zh-CN"/>
        </w:rPr>
        <w:t>紫东路维也纳酒店20楼芙蓉律所</w:t>
      </w:r>
      <w:r>
        <w:rPr>
          <w:rFonts w:ascii="仿宋" w:hAnsi="仿宋" w:eastAsia="仿宋"/>
          <w:sz w:val="30"/>
          <w:szCs w:val="30"/>
        </w:rPr>
        <w:t>）。</w:t>
      </w:r>
    </w:p>
    <w:p w14:paraId="04E05BD4">
      <w:pPr>
        <w:spacing w:line="560" w:lineRule="exact"/>
        <w:ind w:firstLine="600" w:firstLineChars="200"/>
        <w:rPr>
          <w:rFonts w:ascii="仿宋" w:hAnsi="仿宋" w:eastAsia="仿宋"/>
          <w:sz w:val="30"/>
          <w:szCs w:val="30"/>
        </w:rPr>
      </w:pPr>
      <w:r>
        <w:rPr>
          <w:rFonts w:hint="eastAsia" w:ascii="仿宋" w:hAnsi="仿宋" w:eastAsia="仿宋"/>
          <w:sz w:val="30"/>
          <w:szCs w:val="30"/>
        </w:rPr>
        <w:t>联系人和联系电话：</w:t>
      </w:r>
    </w:p>
    <w:p w14:paraId="4E641741">
      <w:pPr>
        <w:spacing w:line="560" w:lineRule="exact"/>
        <w:ind w:firstLine="600" w:firstLineChars="200"/>
        <w:rPr>
          <w:rFonts w:hint="default" w:ascii="仿宋" w:hAnsi="仿宋" w:eastAsia="仿宋"/>
          <w:sz w:val="30"/>
          <w:szCs w:val="30"/>
          <w:lang w:val="en-US" w:eastAsia="zh-CN"/>
        </w:rPr>
      </w:pPr>
      <w:r>
        <w:rPr>
          <w:rFonts w:hint="eastAsia" w:ascii="仿宋" w:hAnsi="仿宋" w:eastAsia="仿宋"/>
          <w:sz w:val="30"/>
          <w:szCs w:val="30"/>
          <w:lang w:val="en-US" w:eastAsia="zh-CN"/>
        </w:rPr>
        <w:t>黄娟</w:t>
      </w:r>
      <w:r>
        <w:rPr>
          <w:rFonts w:hint="eastAsia" w:ascii="仿宋" w:hAnsi="仿宋" w:eastAsia="仿宋"/>
          <w:sz w:val="30"/>
          <w:szCs w:val="30"/>
        </w:rPr>
        <w:t xml:space="preserve"> </w:t>
      </w:r>
      <w:r>
        <w:rPr>
          <w:rFonts w:hint="eastAsia" w:ascii="仿宋" w:hAnsi="仿宋" w:eastAsia="仿宋"/>
          <w:sz w:val="30"/>
          <w:szCs w:val="30"/>
          <w:lang w:val="en-US" w:eastAsia="zh-CN"/>
        </w:rPr>
        <w:t>18897486202</w:t>
      </w:r>
      <w:r>
        <w:rPr>
          <w:rFonts w:hint="eastAsia" w:ascii="仿宋" w:hAnsi="仿宋" w:eastAsia="仿宋"/>
          <w:sz w:val="30"/>
          <w:szCs w:val="30"/>
        </w:rPr>
        <w:t>；</w:t>
      </w:r>
      <w:r>
        <w:rPr>
          <w:rFonts w:hint="eastAsia" w:ascii="仿宋" w:hAnsi="仿宋" w:eastAsia="仿宋"/>
          <w:sz w:val="30"/>
          <w:szCs w:val="30"/>
          <w:lang w:val="en-US" w:eastAsia="zh-CN"/>
        </w:rPr>
        <w:t>夏婉蓉15576511279</w:t>
      </w:r>
      <w:r>
        <w:rPr>
          <w:rFonts w:ascii="仿宋" w:hAnsi="仿宋" w:eastAsia="仿宋"/>
          <w:sz w:val="30"/>
          <w:szCs w:val="30"/>
        </w:rPr>
        <w:t xml:space="preserve"> </w:t>
      </w:r>
    </w:p>
    <w:p w14:paraId="58D3E598">
      <w:pPr>
        <w:spacing w:line="560" w:lineRule="exact"/>
        <w:ind w:firstLine="600" w:firstLineChars="200"/>
        <w:rPr>
          <w:rFonts w:ascii="仿宋" w:hAnsi="仿宋" w:eastAsia="仿宋"/>
          <w:sz w:val="30"/>
          <w:szCs w:val="30"/>
        </w:rPr>
      </w:pPr>
      <w:r>
        <w:rPr>
          <w:rFonts w:hint="eastAsia" w:ascii="仿宋" w:hAnsi="仿宋" w:eastAsia="仿宋"/>
          <w:sz w:val="30"/>
          <w:szCs w:val="30"/>
        </w:rPr>
        <w:t>申报工作时间：</w:t>
      </w:r>
    </w:p>
    <w:p w14:paraId="56EDA1D4">
      <w:pPr>
        <w:spacing w:line="560" w:lineRule="exact"/>
        <w:ind w:firstLine="600" w:firstLineChars="200"/>
        <w:rPr>
          <w:rFonts w:ascii="仿宋" w:hAnsi="仿宋" w:eastAsia="仿宋"/>
          <w:sz w:val="30"/>
          <w:szCs w:val="30"/>
        </w:rPr>
      </w:pPr>
      <w:r>
        <w:rPr>
          <w:rFonts w:hint="eastAsia" w:ascii="仿宋" w:hAnsi="仿宋" w:eastAsia="仿宋"/>
          <w:sz w:val="30"/>
          <w:szCs w:val="30"/>
        </w:rPr>
        <w:t>工作日的上午</w:t>
      </w:r>
      <w:r>
        <w:rPr>
          <w:rFonts w:ascii="仿宋" w:hAnsi="仿宋" w:eastAsia="仿宋"/>
          <w:sz w:val="30"/>
          <w:szCs w:val="30"/>
        </w:rPr>
        <w:t>9：00-1</w:t>
      </w:r>
      <w:r>
        <w:rPr>
          <w:rFonts w:hint="eastAsia" w:ascii="仿宋" w:hAnsi="仿宋" w:eastAsia="仿宋"/>
          <w:sz w:val="30"/>
          <w:szCs w:val="30"/>
          <w:lang w:val="en-US" w:eastAsia="zh-CN"/>
        </w:rPr>
        <w:t>2</w:t>
      </w:r>
      <w:r>
        <w:rPr>
          <w:rFonts w:ascii="仿宋" w:hAnsi="仿宋" w:eastAsia="仿宋"/>
          <w:sz w:val="30"/>
          <w:szCs w:val="30"/>
        </w:rPr>
        <w:t>：</w:t>
      </w:r>
      <w:r>
        <w:rPr>
          <w:rFonts w:hint="eastAsia" w:ascii="仿宋" w:hAnsi="仿宋" w:eastAsia="仿宋"/>
          <w:sz w:val="30"/>
          <w:szCs w:val="30"/>
          <w:lang w:val="en-US" w:eastAsia="zh-CN"/>
        </w:rPr>
        <w:t>0</w:t>
      </w:r>
      <w:r>
        <w:rPr>
          <w:rFonts w:ascii="仿宋" w:hAnsi="仿宋" w:eastAsia="仿宋"/>
          <w:sz w:val="30"/>
          <w:szCs w:val="30"/>
        </w:rPr>
        <w:t>0，下午1</w:t>
      </w:r>
      <w:r>
        <w:rPr>
          <w:rFonts w:hint="eastAsia" w:ascii="仿宋" w:hAnsi="仿宋" w:eastAsia="仿宋"/>
          <w:sz w:val="30"/>
          <w:szCs w:val="30"/>
          <w:lang w:val="en-US" w:eastAsia="zh-CN"/>
        </w:rPr>
        <w:t>4</w:t>
      </w:r>
      <w:r>
        <w:rPr>
          <w:rFonts w:ascii="仿宋" w:hAnsi="仿宋" w:eastAsia="仿宋"/>
          <w:sz w:val="30"/>
          <w:szCs w:val="30"/>
        </w:rPr>
        <w:t>：</w:t>
      </w:r>
      <w:r>
        <w:rPr>
          <w:rFonts w:hint="eastAsia" w:ascii="仿宋" w:hAnsi="仿宋" w:eastAsia="仿宋"/>
          <w:sz w:val="30"/>
          <w:szCs w:val="30"/>
          <w:lang w:val="en-US" w:eastAsia="zh-CN"/>
        </w:rPr>
        <w:t>3</w:t>
      </w:r>
      <w:r>
        <w:rPr>
          <w:rFonts w:ascii="仿宋" w:hAnsi="仿宋" w:eastAsia="仿宋"/>
          <w:sz w:val="30"/>
          <w:szCs w:val="30"/>
        </w:rPr>
        <w:t>0-17：30。</w:t>
      </w:r>
    </w:p>
    <w:p w14:paraId="745AF40E">
      <w:pPr>
        <w:spacing w:line="560" w:lineRule="exact"/>
        <w:ind w:firstLine="600" w:firstLineChars="200"/>
        <w:rPr>
          <w:rFonts w:ascii="仿宋" w:hAnsi="仿宋" w:eastAsia="仿宋"/>
          <w:sz w:val="30"/>
          <w:szCs w:val="30"/>
        </w:rPr>
      </w:pPr>
      <w:r>
        <w:rPr>
          <w:rFonts w:hint="eastAsia" w:ascii="仿宋" w:hAnsi="仿宋" w:eastAsia="仿宋"/>
          <w:sz w:val="30"/>
          <w:szCs w:val="30"/>
        </w:rPr>
        <w:t>六、第一次债权人会议</w:t>
      </w:r>
    </w:p>
    <w:p w14:paraId="2255D265">
      <w:pPr>
        <w:spacing w:line="560" w:lineRule="exact"/>
        <w:ind w:firstLine="600" w:firstLineChars="200"/>
        <w:rPr>
          <w:rFonts w:hint="eastAsia" w:ascii="仿宋" w:hAnsi="仿宋" w:eastAsia="仿宋"/>
          <w:color w:val="0000FF"/>
          <w:sz w:val="30"/>
          <w:szCs w:val="30"/>
          <w:lang w:val="en-US" w:eastAsia="zh-CN"/>
        </w:rPr>
      </w:pPr>
      <w:r>
        <w:rPr>
          <w:rFonts w:hint="eastAsia" w:ascii="仿宋" w:hAnsi="仿宋" w:eastAsia="仿宋"/>
          <w:sz w:val="30"/>
          <w:szCs w:val="30"/>
          <w:lang w:val="en-US" w:eastAsia="zh-CN"/>
        </w:rPr>
        <w:t>湖南绿蔓薯业有限</w:t>
      </w:r>
      <w:r>
        <w:rPr>
          <w:rFonts w:hint="eastAsia" w:ascii="仿宋" w:hAnsi="仿宋" w:eastAsia="仿宋"/>
          <w:sz w:val="30"/>
          <w:szCs w:val="30"/>
          <w:lang w:eastAsia="zh-CN"/>
        </w:rPr>
        <w:t>公司</w:t>
      </w:r>
      <w:r>
        <w:rPr>
          <w:rFonts w:hint="eastAsia" w:ascii="仿宋" w:hAnsi="仿宋" w:eastAsia="仿宋"/>
          <w:sz w:val="30"/>
          <w:szCs w:val="30"/>
          <w:lang w:val="en-US" w:eastAsia="zh-CN"/>
        </w:rPr>
        <w:t>破产清算案</w:t>
      </w:r>
      <w:r>
        <w:rPr>
          <w:rFonts w:hint="eastAsia" w:ascii="仿宋" w:hAnsi="仿宋" w:eastAsia="仿宋"/>
          <w:color w:val="0000FF"/>
          <w:sz w:val="30"/>
          <w:szCs w:val="30"/>
          <w:lang w:val="en-US" w:eastAsia="zh-CN"/>
        </w:rPr>
        <w:t>第一次债权人会议于2026年4月1日上午10:00在靖州苗族侗族自治县人民法院第一审判庭召开。</w:t>
      </w:r>
    </w:p>
    <w:p w14:paraId="76AF31A6">
      <w:pPr>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lang w:val="en-US" w:eastAsia="zh-CN"/>
        </w:rPr>
        <w:t>依法申报债权的债权人有权参加债权人会议。参加会议的债权人系法人或者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6293B7F1">
      <w:pPr>
        <w:spacing w:line="560" w:lineRule="exact"/>
        <w:ind w:firstLine="600" w:firstLineChars="200"/>
        <w:rPr>
          <w:rFonts w:ascii="仿宋" w:hAnsi="仿宋" w:eastAsia="仿宋"/>
          <w:sz w:val="30"/>
          <w:szCs w:val="30"/>
        </w:rPr>
      </w:pPr>
      <w:r>
        <w:rPr>
          <w:rFonts w:hint="eastAsia" w:ascii="仿宋" w:hAnsi="仿宋" w:eastAsia="仿宋"/>
          <w:sz w:val="30"/>
          <w:szCs w:val="30"/>
        </w:rPr>
        <w:t>特此公告</w:t>
      </w:r>
    </w:p>
    <w:p w14:paraId="21FD2A6A">
      <w:pPr>
        <w:spacing w:line="560" w:lineRule="exact"/>
        <w:ind w:firstLine="600" w:firstLineChars="200"/>
        <w:jc w:val="right"/>
        <w:rPr>
          <w:rFonts w:ascii="仿宋" w:hAnsi="仿宋" w:eastAsia="仿宋"/>
          <w:sz w:val="30"/>
          <w:szCs w:val="30"/>
        </w:rPr>
      </w:pPr>
      <w:r>
        <w:rPr>
          <w:rFonts w:hint="eastAsia" w:ascii="仿宋" w:hAnsi="仿宋" w:eastAsia="仿宋"/>
          <w:sz w:val="30"/>
          <w:szCs w:val="30"/>
          <w:lang w:eastAsia="zh-CN"/>
        </w:rPr>
        <w:t>湖南</w:t>
      </w:r>
      <w:r>
        <w:rPr>
          <w:rFonts w:hint="eastAsia" w:ascii="仿宋" w:hAnsi="仿宋" w:eastAsia="仿宋"/>
          <w:sz w:val="30"/>
          <w:szCs w:val="30"/>
          <w:lang w:val="en-US" w:eastAsia="zh-CN"/>
        </w:rPr>
        <w:t>绿蔓薯业有限公司</w:t>
      </w:r>
      <w:r>
        <w:rPr>
          <w:rFonts w:hint="eastAsia" w:ascii="仿宋" w:hAnsi="仿宋" w:eastAsia="仿宋"/>
          <w:sz w:val="30"/>
          <w:szCs w:val="30"/>
        </w:rPr>
        <w:t>管理人</w:t>
      </w:r>
    </w:p>
    <w:p w14:paraId="2526518E">
      <w:pPr>
        <w:spacing w:line="560" w:lineRule="exact"/>
        <w:ind w:firstLine="600" w:firstLineChars="200"/>
        <w:jc w:val="right"/>
        <w:rPr>
          <w:rFonts w:ascii="仿宋" w:hAnsi="仿宋" w:eastAsia="仿宋"/>
          <w:sz w:val="30"/>
          <w:szCs w:val="30"/>
        </w:rPr>
      </w:pPr>
      <w:r>
        <w:rPr>
          <w:rFonts w:ascii="仿宋" w:hAnsi="仿宋" w:eastAsia="仿宋"/>
          <w:sz w:val="30"/>
          <w:szCs w:val="30"/>
        </w:rPr>
        <w:t xml:space="preserve">                               202</w:t>
      </w:r>
      <w:r>
        <w:rPr>
          <w:rFonts w:hint="eastAsia" w:ascii="仿宋" w:hAnsi="仿宋" w:eastAsia="仿宋"/>
          <w:sz w:val="30"/>
          <w:szCs w:val="30"/>
          <w:lang w:val="en-US" w:eastAsia="zh-CN"/>
        </w:rPr>
        <w:t>6</w:t>
      </w:r>
      <w:r>
        <w:rPr>
          <w:rFonts w:ascii="仿宋" w:hAnsi="仿宋" w:eastAsia="仿宋"/>
          <w:sz w:val="30"/>
          <w:szCs w:val="30"/>
        </w:rPr>
        <w:t>年</w:t>
      </w:r>
      <w:r>
        <w:rPr>
          <w:rFonts w:hint="eastAsia" w:ascii="仿宋" w:hAnsi="仿宋" w:eastAsia="仿宋"/>
          <w:sz w:val="30"/>
          <w:szCs w:val="30"/>
          <w:lang w:val="en-US" w:eastAsia="zh-CN"/>
        </w:rPr>
        <w:t>2</w:t>
      </w:r>
      <w:r>
        <w:rPr>
          <w:rFonts w:ascii="仿宋" w:hAnsi="仿宋" w:eastAsia="仿宋"/>
          <w:sz w:val="30"/>
          <w:szCs w:val="30"/>
        </w:rPr>
        <w:t>月</w:t>
      </w:r>
      <w:r>
        <w:rPr>
          <w:rFonts w:hint="eastAsia" w:ascii="仿宋" w:hAnsi="仿宋" w:eastAsia="仿宋"/>
          <w:sz w:val="30"/>
          <w:szCs w:val="30"/>
          <w:lang w:val="en-US" w:eastAsia="zh-CN"/>
        </w:rPr>
        <w:t>2</w:t>
      </w:r>
      <w:r>
        <w:rPr>
          <w:rFonts w:ascii="仿宋" w:hAnsi="仿宋" w:eastAsia="仿宋"/>
          <w:sz w:val="30"/>
          <w:szCs w:val="30"/>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42636"/>
    </w:sdtPr>
    <w:sdtContent>
      <w:p w14:paraId="3E10AD12">
        <w:pPr>
          <w:pStyle w:val="2"/>
          <w:jc w:val="center"/>
        </w:pPr>
        <w:r>
          <w:fldChar w:fldCharType="begin"/>
        </w:r>
        <w:r>
          <w:instrText xml:space="preserve">PAGE   \* MERGEFORMAT</w:instrText>
        </w:r>
        <w:r>
          <w:fldChar w:fldCharType="separate"/>
        </w:r>
        <w:r>
          <w:rPr>
            <w:lang w:val="zh-CN"/>
          </w:rPr>
          <w:t>3</w:t>
        </w:r>
        <w:r>
          <w:fldChar w:fldCharType="end"/>
        </w:r>
      </w:p>
    </w:sdtContent>
  </w:sdt>
  <w:p w14:paraId="4DC0EE75">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1YmZiYjkwMTVlNzAxODBjYmQyNTkyNjM0YzkyNmEifQ=="/>
  </w:docVars>
  <w:rsids>
    <w:rsidRoot w:val="00187431"/>
    <w:rsid w:val="00187431"/>
    <w:rsid w:val="00192731"/>
    <w:rsid w:val="00392EEA"/>
    <w:rsid w:val="00492A91"/>
    <w:rsid w:val="005E4384"/>
    <w:rsid w:val="006B4842"/>
    <w:rsid w:val="006F0503"/>
    <w:rsid w:val="00783599"/>
    <w:rsid w:val="007B737D"/>
    <w:rsid w:val="00806CF4"/>
    <w:rsid w:val="0085644E"/>
    <w:rsid w:val="00884E93"/>
    <w:rsid w:val="00897F0E"/>
    <w:rsid w:val="008B48F6"/>
    <w:rsid w:val="00A41FE7"/>
    <w:rsid w:val="00B54AEE"/>
    <w:rsid w:val="00BB700E"/>
    <w:rsid w:val="00C63C4D"/>
    <w:rsid w:val="00C67AF5"/>
    <w:rsid w:val="00CA2E72"/>
    <w:rsid w:val="00D12B5F"/>
    <w:rsid w:val="00D563F2"/>
    <w:rsid w:val="039C66F7"/>
    <w:rsid w:val="05DE60F3"/>
    <w:rsid w:val="06E56CA5"/>
    <w:rsid w:val="07B70A9C"/>
    <w:rsid w:val="08A94889"/>
    <w:rsid w:val="093C74AB"/>
    <w:rsid w:val="0C0E4BBB"/>
    <w:rsid w:val="0E417312"/>
    <w:rsid w:val="0FFA101A"/>
    <w:rsid w:val="101A606C"/>
    <w:rsid w:val="14F94669"/>
    <w:rsid w:val="172C5003"/>
    <w:rsid w:val="182C1032"/>
    <w:rsid w:val="198E2E15"/>
    <w:rsid w:val="19F67CCD"/>
    <w:rsid w:val="1A0F29BA"/>
    <w:rsid w:val="1B063DBD"/>
    <w:rsid w:val="1C3E30E2"/>
    <w:rsid w:val="223905D4"/>
    <w:rsid w:val="242F1897"/>
    <w:rsid w:val="26603F2B"/>
    <w:rsid w:val="320504D2"/>
    <w:rsid w:val="40152228"/>
    <w:rsid w:val="449A0F4E"/>
    <w:rsid w:val="45BE2A1A"/>
    <w:rsid w:val="54667951"/>
    <w:rsid w:val="552D54C7"/>
    <w:rsid w:val="58C16652"/>
    <w:rsid w:val="597C6A1D"/>
    <w:rsid w:val="59FE5684"/>
    <w:rsid w:val="5C02145B"/>
    <w:rsid w:val="5EBB3B43"/>
    <w:rsid w:val="61357BDD"/>
    <w:rsid w:val="65EC0A86"/>
    <w:rsid w:val="66B71094"/>
    <w:rsid w:val="679A69EC"/>
    <w:rsid w:val="683A3D2B"/>
    <w:rsid w:val="6C927EFD"/>
    <w:rsid w:val="6DB91B96"/>
    <w:rsid w:val="6E192728"/>
    <w:rsid w:val="762D4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2677</Words>
  <Characters>2756</Characters>
  <Lines>19</Lines>
  <Paragraphs>5</Paragraphs>
  <TotalTime>28</TotalTime>
  <ScaleCrop>false</ScaleCrop>
  <LinksUpToDate>false</LinksUpToDate>
  <CharactersWithSpaces>2792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2024-08-01T01:42:00Z</dcterms:created>
  <dc:creator>Administrator</dc:creator>
  <cp:lastModifiedBy>黄娟</cp:lastModifiedBy>
  <dcterms:modified xsi:type="dcterms:W3CDTF">2026-02-02T03:05:59Z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37940B4BC0DC4F6CA2EBE85F0DC62BA9_13</vt:lpwstr>
  </property>
  <property fmtid="{D5CDD505-2E9C-101B-9397-08002B2CF9AE}" pid="4" name="KSOTemplateDocerSaveRecord">
    <vt:lpwstr>eyJoZGlkIjoiNzVlNjU4NDEzNzYxNjE3Y2U4YmVkZTgxZDQ5NjdmNTIiLCJ1c2VySWQiOiI0MjU2NzQ1MDIifQ==</vt:lpwstr>
  </property>
</Properties>
</file>