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1C768E">
      <w:pPr>
        <w:pStyle w:val="3"/>
        <w:widowControl/>
        <w:kinsoku w:val="0"/>
        <w:autoSpaceDE w:val="0"/>
        <w:autoSpaceDN w:val="0"/>
        <w:adjustRightInd w:val="0"/>
        <w:snapToGrid w:val="0"/>
        <w:spacing w:before="120" w:beforeLines="-2147483648" w:after="0" w:line="460" w:lineRule="exact"/>
        <w:jc w:val="center"/>
        <w:textAlignment w:val="baseline"/>
        <w:outlineLvl w:val="0"/>
        <w:rPr>
          <w:rFonts w:hint="eastAsia" w:ascii="仿宋" w:hAnsi="仿宋" w:eastAsia="仿宋" w:cs="仿宋"/>
          <w:b/>
          <w:bCs/>
          <w:snapToGrid w:val="0"/>
          <w:color w:val="auto"/>
          <w:kern w:val="0"/>
          <w:sz w:val="36"/>
          <w:szCs w:val="36"/>
          <w:lang w:eastAsia="zh-CN"/>
        </w:rPr>
      </w:pPr>
      <w:bookmarkStart w:id="0" w:name="bookmark0"/>
      <w:bookmarkStart w:id="1" w:name="bookmark2"/>
      <w:bookmarkStart w:id="2" w:name="bookmark1"/>
      <w:bookmarkStart w:id="3" w:name="_Hlk126657238"/>
      <w:r>
        <w:rPr>
          <w:rFonts w:hint="eastAsia" w:ascii="仿宋" w:hAnsi="仿宋" w:eastAsia="仿宋" w:cs="仿宋"/>
          <w:b/>
          <w:bCs/>
          <w:snapToGrid w:val="0"/>
          <w:color w:val="auto"/>
          <w:kern w:val="0"/>
          <w:sz w:val="36"/>
          <w:szCs w:val="36"/>
          <w:lang w:eastAsia="zh-CN"/>
        </w:rPr>
        <w:t>河北乐颐房地产开发集团有限公司</w:t>
      </w:r>
    </w:p>
    <w:p w14:paraId="07FCFBAF">
      <w:pPr>
        <w:pStyle w:val="3"/>
        <w:widowControl/>
        <w:kinsoku w:val="0"/>
        <w:autoSpaceDE w:val="0"/>
        <w:autoSpaceDN w:val="0"/>
        <w:adjustRightInd w:val="0"/>
        <w:snapToGrid w:val="0"/>
        <w:spacing w:before="120" w:after="0" w:afterLines="-2147483648" w:line="460" w:lineRule="exact"/>
        <w:jc w:val="center"/>
        <w:textAlignment w:val="baseline"/>
        <w:outlineLvl w:val="0"/>
        <w:rPr>
          <w:rFonts w:hint="eastAsia" w:ascii="仿宋" w:hAnsi="仿宋" w:eastAsia="仿宋" w:cs="仿宋"/>
          <w:b/>
          <w:bCs/>
          <w:snapToGrid w:val="0"/>
          <w:color w:val="auto"/>
          <w:kern w:val="0"/>
          <w:sz w:val="36"/>
          <w:szCs w:val="36"/>
          <w:lang w:eastAsia="zh-CN"/>
        </w:rPr>
      </w:pPr>
      <w:r>
        <w:rPr>
          <w:rFonts w:hint="eastAsia" w:ascii="仿宋" w:hAnsi="仿宋" w:eastAsia="仿宋" w:cs="仿宋"/>
          <w:b/>
          <w:bCs/>
          <w:snapToGrid w:val="0"/>
          <w:color w:val="auto"/>
          <w:kern w:val="0"/>
          <w:sz w:val="36"/>
          <w:szCs w:val="36"/>
          <w:lang w:eastAsia="zh-CN"/>
        </w:rPr>
        <w:t>债权申报指引</w:t>
      </w:r>
      <w:bookmarkEnd w:id="0"/>
      <w:bookmarkEnd w:id="1"/>
      <w:bookmarkEnd w:id="2"/>
    </w:p>
    <w:p w14:paraId="63559C57">
      <w:pPr>
        <w:pStyle w:val="3"/>
        <w:widowControl/>
        <w:kinsoku w:val="0"/>
        <w:autoSpaceDE w:val="0"/>
        <w:autoSpaceDN w:val="0"/>
        <w:adjustRightInd w:val="0"/>
        <w:snapToGrid w:val="0"/>
        <w:spacing w:before="120" w:after="0" w:afterLines="-2147483648" w:line="460" w:lineRule="exact"/>
        <w:jc w:val="center"/>
        <w:textAlignment w:val="baseline"/>
        <w:outlineLvl w:val="0"/>
        <w:rPr>
          <w:rFonts w:hint="eastAsia" w:ascii="仿宋" w:hAnsi="仿宋" w:eastAsia="仿宋" w:cs="仿宋"/>
          <w:b/>
          <w:bCs/>
          <w:snapToGrid w:val="0"/>
          <w:color w:val="auto"/>
          <w:kern w:val="0"/>
          <w:sz w:val="36"/>
          <w:szCs w:val="36"/>
          <w:lang w:eastAsia="zh-CN"/>
        </w:rPr>
      </w:pPr>
    </w:p>
    <w:bookmarkEnd w:id="3"/>
    <w:p w14:paraId="0D9EE3ED">
      <w:pPr>
        <w:widowControl/>
        <w:spacing w:before="176" w:beforeLines="30" w:after="176" w:afterLines="30" w:line="480" w:lineRule="exact"/>
        <w:rPr>
          <w:rFonts w:hint="eastAsia" w:ascii="仿宋" w:hAnsi="仿宋" w:eastAsia="仿宋" w:cs="仿宋"/>
          <w:b/>
          <w:bCs/>
          <w:kern w:val="0"/>
          <w:sz w:val="32"/>
          <w:szCs w:val="32"/>
        </w:rPr>
      </w:pPr>
      <w:r>
        <w:rPr>
          <w:rFonts w:hint="eastAsia" w:ascii="仿宋" w:hAnsi="仿宋" w:eastAsia="仿宋" w:cs="仿宋"/>
          <w:b/>
          <w:bCs/>
          <w:kern w:val="0"/>
          <w:sz w:val="32"/>
          <w:szCs w:val="32"/>
          <w:lang w:eastAsia="zh-CN"/>
        </w:rPr>
        <w:t>河北乐颐房地产开发集团有限公司</w:t>
      </w:r>
      <w:r>
        <w:rPr>
          <w:rFonts w:hint="eastAsia" w:ascii="仿宋" w:hAnsi="仿宋" w:eastAsia="仿宋" w:cs="仿宋"/>
          <w:b/>
          <w:bCs/>
          <w:kern w:val="0"/>
          <w:sz w:val="32"/>
          <w:szCs w:val="32"/>
        </w:rPr>
        <w:t>债权人：</w:t>
      </w:r>
    </w:p>
    <w:p w14:paraId="16F409B2">
      <w:pPr>
        <w:widowControl/>
        <w:spacing w:before="176" w:beforeLines="30" w:after="176" w:afterLines="30" w:line="480" w:lineRule="exact"/>
        <w:ind w:firstLine="620" w:firstLineChars="200"/>
        <w:rPr>
          <w:rFonts w:hint="eastAsia" w:ascii="仿宋" w:hAnsi="仿宋" w:eastAsia="仿宋" w:cs="仿宋"/>
          <w:snapToGrid w:val="0"/>
          <w:color w:val="auto"/>
          <w:spacing w:val="-3"/>
          <w:kern w:val="0"/>
          <w:sz w:val="32"/>
          <w:szCs w:val="32"/>
        </w:rPr>
      </w:pPr>
      <w:r>
        <w:rPr>
          <w:rFonts w:hint="eastAsia" w:ascii="仿宋" w:hAnsi="仿宋" w:eastAsia="仿宋" w:cs="仿宋"/>
          <w:snapToGrid w:val="0"/>
          <w:color w:val="auto"/>
          <w:spacing w:val="-3"/>
          <w:kern w:val="0"/>
          <w:sz w:val="32"/>
          <w:szCs w:val="32"/>
          <w:lang w:val="en-US" w:eastAsia="zh-CN"/>
        </w:rPr>
        <w:t>邯郸市</w:t>
      </w:r>
      <w:r>
        <w:rPr>
          <w:rFonts w:hint="eastAsia" w:ascii="仿宋" w:hAnsi="仿宋" w:eastAsia="仿宋" w:cs="仿宋"/>
          <w:snapToGrid w:val="0"/>
          <w:color w:val="auto"/>
          <w:spacing w:val="-3"/>
          <w:kern w:val="0"/>
          <w:sz w:val="32"/>
          <w:szCs w:val="32"/>
          <w:lang w:eastAsia="zh-CN"/>
        </w:rPr>
        <w:t>中级人民法院（以下简称“</w:t>
      </w:r>
      <w:r>
        <w:rPr>
          <w:rFonts w:hint="eastAsia" w:ascii="仿宋" w:hAnsi="仿宋" w:eastAsia="仿宋" w:cs="仿宋"/>
          <w:snapToGrid w:val="0"/>
          <w:color w:val="auto"/>
          <w:spacing w:val="-3"/>
          <w:kern w:val="0"/>
          <w:sz w:val="32"/>
          <w:szCs w:val="32"/>
          <w:lang w:val="en-US" w:eastAsia="zh-CN"/>
        </w:rPr>
        <w:t>邯郸</w:t>
      </w:r>
      <w:r>
        <w:rPr>
          <w:rFonts w:hint="eastAsia" w:ascii="仿宋" w:hAnsi="仿宋" w:eastAsia="仿宋" w:cs="仿宋"/>
          <w:snapToGrid w:val="0"/>
          <w:color w:val="auto"/>
          <w:spacing w:val="-3"/>
          <w:kern w:val="0"/>
          <w:sz w:val="32"/>
          <w:szCs w:val="32"/>
          <w:lang w:eastAsia="zh-CN"/>
        </w:rPr>
        <w:t>中院”）</w:t>
      </w:r>
      <w:r>
        <w:rPr>
          <w:rFonts w:hint="eastAsia" w:ascii="仿宋" w:hAnsi="仿宋" w:eastAsia="仿宋" w:cs="仿宋"/>
          <w:snapToGrid w:val="0"/>
          <w:color w:val="auto"/>
          <w:spacing w:val="-3"/>
          <w:kern w:val="0"/>
          <w:sz w:val="32"/>
          <w:szCs w:val="32"/>
          <w:lang w:val="en-US" w:eastAsia="zh-CN"/>
        </w:rPr>
        <w:t>根据</w:t>
      </w:r>
      <w:r>
        <w:rPr>
          <w:rFonts w:hint="eastAsia" w:ascii="仿宋" w:hAnsi="仿宋" w:eastAsia="仿宋" w:cs="仿宋"/>
          <w:snapToGrid w:val="0"/>
          <w:color w:val="auto"/>
          <w:spacing w:val="-3"/>
          <w:kern w:val="0"/>
          <w:sz w:val="32"/>
          <w:szCs w:val="32"/>
          <w:lang w:eastAsia="zh-CN"/>
        </w:rPr>
        <w:t>河北乐颐房地产开发集团有限公司（以下简称“</w:t>
      </w:r>
      <w:r>
        <w:rPr>
          <w:rFonts w:hint="eastAsia" w:ascii="仿宋" w:hAnsi="仿宋" w:eastAsia="仿宋" w:cs="仿宋"/>
          <w:snapToGrid w:val="0"/>
          <w:color w:val="auto"/>
          <w:spacing w:val="-3"/>
          <w:kern w:val="0"/>
          <w:sz w:val="32"/>
          <w:szCs w:val="32"/>
          <w:lang w:val="en-US" w:eastAsia="zh-CN"/>
        </w:rPr>
        <w:t>乐颐公司</w:t>
      </w:r>
      <w:r>
        <w:rPr>
          <w:rFonts w:hint="eastAsia" w:ascii="仿宋" w:hAnsi="仿宋" w:eastAsia="仿宋" w:cs="仿宋"/>
          <w:snapToGrid w:val="0"/>
          <w:color w:val="auto"/>
          <w:spacing w:val="-3"/>
          <w:kern w:val="0"/>
          <w:sz w:val="32"/>
          <w:szCs w:val="32"/>
          <w:lang w:eastAsia="zh-CN"/>
        </w:rPr>
        <w:t>”或“公司”）</w:t>
      </w:r>
      <w:r>
        <w:rPr>
          <w:rFonts w:hint="eastAsia" w:ascii="仿宋" w:hAnsi="仿宋" w:eastAsia="仿宋" w:cs="仿宋"/>
          <w:snapToGrid w:val="0"/>
          <w:color w:val="auto"/>
          <w:spacing w:val="-3"/>
          <w:kern w:val="0"/>
          <w:sz w:val="32"/>
          <w:szCs w:val="32"/>
          <w:lang w:val="en-US" w:eastAsia="zh-CN"/>
        </w:rPr>
        <w:t>申请，于2026年2月13日裁定受理河北乐颐房地产开发集团有限公司和解申请，并于同日指定河北乐颐房地产开发集团有限公司清算组担任河北乐颐房地产开发集团有限公司管理人。</w:t>
      </w:r>
      <w:r>
        <w:rPr>
          <w:rFonts w:hint="eastAsia" w:ascii="仿宋" w:hAnsi="仿宋" w:eastAsia="仿宋" w:cs="仿宋"/>
          <w:snapToGrid w:val="0"/>
          <w:color w:val="auto"/>
          <w:spacing w:val="-3"/>
          <w:kern w:val="0"/>
          <w:sz w:val="32"/>
          <w:szCs w:val="32"/>
          <w:lang w:eastAsia="zh-CN"/>
        </w:rPr>
        <w:t>为规范债权申报工作，明确债权申报有关事项，便于债权人行使权利，根据相关法律法规及司法解释规定，结合乐颐公司实际情况，现就债权申报作如下指引</w:t>
      </w:r>
      <w:r>
        <w:rPr>
          <w:rFonts w:hint="eastAsia" w:ascii="仿宋" w:hAnsi="仿宋" w:eastAsia="仿宋" w:cs="仿宋"/>
          <w:snapToGrid w:val="0"/>
          <w:color w:val="auto"/>
          <w:spacing w:val="-3"/>
          <w:kern w:val="0"/>
          <w:sz w:val="32"/>
          <w:szCs w:val="32"/>
        </w:rPr>
        <w:t>：</w:t>
      </w:r>
    </w:p>
    <w:p w14:paraId="2B24BA3C">
      <w:pPr>
        <w:widowControl/>
        <w:numPr>
          <w:ilvl w:val="0"/>
          <w:numId w:val="1"/>
        </w:numPr>
        <w:spacing w:before="176" w:beforeLines="30" w:after="176" w:afterLines="30" w:line="480" w:lineRule="exact"/>
        <w:ind w:firstLine="632" w:firstLineChars="200"/>
        <w:rPr>
          <w:rFonts w:hint="eastAsia" w:ascii="仿宋" w:hAnsi="仿宋" w:eastAsia="仿宋" w:cs="仿宋"/>
          <w:b/>
          <w:kern w:val="0"/>
          <w:sz w:val="32"/>
          <w:szCs w:val="32"/>
        </w:rPr>
      </w:pPr>
      <w:r>
        <w:rPr>
          <w:rFonts w:hint="eastAsia" w:ascii="仿宋" w:hAnsi="仿宋" w:eastAsia="仿宋" w:cs="仿宋"/>
          <w:b/>
          <w:kern w:val="0"/>
          <w:sz w:val="32"/>
          <w:szCs w:val="32"/>
        </w:rPr>
        <w:t>债权申报主体</w:t>
      </w:r>
    </w:p>
    <w:p w14:paraId="3B095358">
      <w:pPr>
        <w:widowControl/>
        <w:spacing w:before="176" w:beforeLines="30" w:after="176" w:afterLines="30" w:line="480" w:lineRule="exact"/>
        <w:ind w:firstLine="632" w:firstLineChars="200"/>
        <w:rPr>
          <w:rFonts w:hint="eastAsia" w:ascii="仿宋" w:hAnsi="仿宋" w:eastAsia="仿宋" w:cs="仿宋"/>
          <w:kern w:val="0"/>
          <w:sz w:val="32"/>
          <w:szCs w:val="32"/>
        </w:rPr>
      </w:pPr>
      <w:r>
        <w:rPr>
          <w:rFonts w:hint="eastAsia" w:ascii="仿宋" w:hAnsi="仿宋" w:eastAsia="仿宋" w:cs="仿宋"/>
          <w:kern w:val="0"/>
          <w:sz w:val="32"/>
          <w:szCs w:val="32"/>
        </w:rPr>
        <w:t>截至</w:t>
      </w:r>
      <w:r>
        <w:rPr>
          <w:rFonts w:hint="eastAsia" w:ascii="仿宋" w:hAnsi="仿宋" w:eastAsia="仿宋" w:cs="仿宋"/>
          <w:b/>
          <w:bCs/>
          <w:kern w:val="0"/>
          <w:sz w:val="32"/>
          <w:szCs w:val="32"/>
          <w:u w:val="single"/>
          <w:lang w:val="en-US" w:eastAsia="zh-CN"/>
        </w:rPr>
        <w:t>2026</w:t>
      </w:r>
      <w:r>
        <w:rPr>
          <w:rFonts w:hint="eastAsia" w:ascii="仿宋" w:hAnsi="仿宋" w:eastAsia="仿宋" w:cs="仿宋"/>
          <w:b/>
          <w:bCs/>
          <w:kern w:val="0"/>
          <w:sz w:val="32"/>
          <w:szCs w:val="32"/>
          <w:u w:val="single"/>
          <w:lang w:eastAsia="zh-CN"/>
        </w:rPr>
        <w:t>年</w:t>
      </w:r>
      <w:r>
        <w:rPr>
          <w:rFonts w:hint="eastAsia" w:ascii="仿宋" w:hAnsi="仿宋" w:eastAsia="仿宋" w:cs="仿宋"/>
          <w:b/>
          <w:bCs/>
          <w:kern w:val="0"/>
          <w:sz w:val="32"/>
          <w:szCs w:val="32"/>
          <w:u w:val="single"/>
          <w:lang w:val="en-US" w:eastAsia="zh-CN"/>
        </w:rPr>
        <w:t>2</w:t>
      </w:r>
      <w:r>
        <w:rPr>
          <w:rFonts w:hint="eastAsia" w:ascii="仿宋" w:hAnsi="仿宋" w:eastAsia="仿宋" w:cs="仿宋"/>
          <w:b/>
          <w:bCs/>
          <w:kern w:val="0"/>
          <w:sz w:val="32"/>
          <w:szCs w:val="32"/>
          <w:u w:val="single"/>
          <w:lang w:eastAsia="zh-CN"/>
        </w:rPr>
        <w:t>月</w:t>
      </w:r>
      <w:r>
        <w:rPr>
          <w:rFonts w:hint="eastAsia" w:ascii="仿宋" w:hAnsi="仿宋" w:eastAsia="仿宋" w:cs="仿宋"/>
          <w:b/>
          <w:bCs/>
          <w:kern w:val="0"/>
          <w:sz w:val="32"/>
          <w:szCs w:val="32"/>
          <w:u w:val="single"/>
          <w:lang w:val="en-US" w:eastAsia="zh-CN"/>
        </w:rPr>
        <w:t>13</w:t>
      </w:r>
      <w:r>
        <w:rPr>
          <w:rFonts w:hint="eastAsia" w:ascii="仿宋" w:hAnsi="仿宋" w:eastAsia="仿宋" w:cs="仿宋"/>
          <w:b/>
          <w:bCs/>
          <w:kern w:val="0"/>
          <w:sz w:val="32"/>
          <w:szCs w:val="32"/>
          <w:u w:val="single"/>
          <w:lang w:eastAsia="zh-CN"/>
        </w:rPr>
        <w:t>日</w:t>
      </w:r>
      <w:r>
        <w:rPr>
          <w:rFonts w:hint="eastAsia" w:ascii="仿宋" w:hAnsi="仿宋" w:eastAsia="仿宋" w:cs="仿宋"/>
          <w:kern w:val="0"/>
          <w:sz w:val="32"/>
          <w:szCs w:val="32"/>
        </w:rPr>
        <w:t>，对</w:t>
      </w:r>
      <w:r>
        <w:rPr>
          <w:rFonts w:hint="eastAsia" w:ascii="仿宋" w:hAnsi="仿宋" w:eastAsia="仿宋" w:cs="仿宋"/>
          <w:kern w:val="0"/>
          <w:sz w:val="32"/>
          <w:szCs w:val="32"/>
          <w:lang w:eastAsia="zh-CN"/>
        </w:rPr>
        <w:t>乐颐公司</w:t>
      </w:r>
      <w:bookmarkStart w:id="9" w:name="_GoBack"/>
      <w:bookmarkEnd w:id="9"/>
      <w:r>
        <w:rPr>
          <w:rFonts w:hint="eastAsia" w:ascii="仿宋" w:hAnsi="仿宋" w:eastAsia="仿宋" w:cs="仿宋"/>
          <w:kern w:val="0"/>
          <w:sz w:val="32"/>
          <w:szCs w:val="32"/>
        </w:rPr>
        <w:t>（不包括</w:t>
      </w:r>
      <w:r>
        <w:rPr>
          <w:rFonts w:hint="eastAsia" w:ascii="仿宋" w:hAnsi="仿宋" w:eastAsia="仿宋" w:cs="仿宋"/>
          <w:kern w:val="0"/>
          <w:sz w:val="32"/>
          <w:szCs w:val="32"/>
          <w:lang w:eastAsia="zh-CN"/>
        </w:rPr>
        <w:t>乐颐公司</w:t>
      </w:r>
      <w:r>
        <w:rPr>
          <w:rFonts w:hint="eastAsia" w:ascii="仿宋" w:hAnsi="仿宋" w:eastAsia="仿宋" w:cs="仿宋"/>
          <w:kern w:val="0"/>
          <w:sz w:val="32"/>
          <w:szCs w:val="32"/>
        </w:rPr>
        <w:t>子公司及其它关联方）享有债权的自然人、法人或其他组织，均可向</w:t>
      </w:r>
      <w:r>
        <w:rPr>
          <w:rFonts w:hint="eastAsia" w:ascii="仿宋" w:hAnsi="仿宋" w:eastAsia="仿宋" w:cs="仿宋"/>
          <w:kern w:val="0"/>
          <w:sz w:val="32"/>
          <w:szCs w:val="32"/>
          <w:lang w:val="en-US" w:eastAsia="zh-CN"/>
        </w:rPr>
        <w:t>管理人</w:t>
      </w:r>
      <w:r>
        <w:rPr>
          <w:rFonts w:hint="eastAsia" w:ascii="仿宋" w:hAnsi="仿宋" w:eastAsia="仿宋" w:cs="仿宋"/>
          <w:kern w:val="0"/>
          <w:sz w:val="32"/>
          <w:szCs w:val="32"/>
        </w:rPr>
        <w:t>申报债</w:t>
      </w:r>
      <w:r>
        <w:rPr>
          <w:rFonts w:hint="eastAsia" w:ascii="仿宋" w:hAnsi="仿宋" w:eastAsia="仿宋" w:cs="仿宋"/>
          <w:kern w:val="0"/>
          <w:sz w:val="32"/>
          <w:szCs w:val="32"/>
          <w:lang w:val="zh-CN"/>
        </w:rPr>
        <w:t>权。</w:t>
      </w:r>
      <w:r>
        <w:rPr>
          <w:rFonts w:hint="eastAsia" w:ascii="仿宋" w:hAnsi="仿宋" w:eastAsia="仿宋" w:cs="仿宋"/>
          <w:kern w:val="0"/>
          <w:sz w:val="32"/>
          <w:szCs w:val="32"/>
        </w:rPr>
        <w:t>附条件、附期限的债权和诉讼、仲裁未决的债权，债权人可以申报，但应特别注明涉诉、涉仲裁和采取执行措施、财产保全等情形。</w:t>
      </w:r>
    </w:p>
    <w:p w14:paraId="6FCF3A5C">
      <w:pPr>
        <w:widowControl/>
        <w:numPr>
          <w:ilvl w:val="0"/>
          <w:numId w:val="1"/>
        </w:numPr>
        <w:spacing w:before="176" w:beforeLines="30" w:after="176" w:afterLines="30" w:line="480" w:lineRule="exact"/>
        <w:ind w:firstLine="632" w:firstLineChars="200"/>
        <w:rPr>
          <w:rFonts w:hint="eastAsia" w:ascii="仿宋" w:hAnsi="仿宋" w:eastAsia="仿宋" w:cs="仿宋"/>
          <w:b/>
          <w:kern w:val="0"/>
          <w:sz w:val="32"/>
          <w:szCs w:val="32"/>
        </w:rPr>
      </w:pPr>
      <w:r>
        <w:rPr>
          <w:rFonts w:hint="eastAsia" w:ascii="仿宋" w:hAnsi="仿宋" w:eastAsia="仿宋" w:cs="仿宋"/>
          <w:b/>
          <w:kern w:val="0"/>
          <w:sz w:val="32"/>
          <w:szCs w:val="32"/>
        </w:rPr>
        <w:t>债权申报期限</w:t>
      </w:r>
    </w:p>
    <w:p w14:paraId="7BFEC66B">
      <w:pPr>
        <w:widowControl/>
        <w:spacing w:before="176" w:beforeLines="30" w:after="176" w:afterLines="30" w:line="480" w:lineRule="exact"/>
        <w:ind w:firstLine="632" w:firstLineChars="200"/>
        <w:rPr>
          <w:rFonts w:hint="eastAsia" w:ascii="仿宋" w:hAnsi="仿宋" w:eastAsia="仿宋" w:cs="仿宋"/>
          <w:kern w:val="0"/>
          <w:sz w:val="32"/>
          <w:szCs w:val="32"/>
        </w:rPr>
      </w:pPr>
      <w:r>
        <w:rPr>
          <w:rFonts w:hint="eastAsia" w:ascii="仿宋" w:hAnsi="仿宋" w:eastAsia="仿宋" w:cs="仿宋"/>
          <w:kern w:val="0"/>
          <w:sz w:val="32"/>
          <w:szCs w:val="32"/>
        </w:rPr>
        <w:t>债权申报截止日为</w:t>
      </w:r>
      <w:r>
        <w:rPr>
          <w:rFonts w:hint="eastAsia" w:ascii="仿宋" w:hAnsi="仿宋" w:eastAsia="仿宋" w:cs="仿宋"/>
          <w:b/>
          <w:bCs/>
          <w:kern w:val="0"/>
          <w:sz w:val="32"/>
          <w:szCs w:val="32"/>
          <w:u w:val="single"/>
          <w:lang w:val="en-US" w:eastAsia="zh-CN"/>
        </w:rPr>
        <w:t>2026</w:t>
      </w:r>
      <w:r>
        <w:rPr>
          <w:rFonts w:hint="eastAsia" w:ascii="仿宋" w:hAnsi="仿宋" w:eastAsia="仿宋" w:cs="仿宋"/>
          <w:b/>
          <w:bCs/>
          <w:kern w:val="0"/>
          <w:sz w:val="32"/>
          <w:szCs w:val="32"/>
          <w:u w:val="single"/>
        </w:rPr>
        <w:t>年</w:t>
      </w:r>
      <w:r>
        <w:rPr>
          <w:rFonts w:hint="eastAsia" w:ascii="仿宋" w:hAnsi="仿宋" w:eastAsia="仿宋" w:cs="仿宋"/>
          <w:b/>
          <w:bCs/>
          <w:kern w:val="0"/>
          <w:sz w:val="32"/>
          <w:szCs w:val="32"/>
          <w:u w:val="single"/>
          <w:lang w:val="en-US" w:eastAsia="zh-CN"/>
        </w:rPr>
        <w:t>3</w:t>
      </w:r>
      <w:r>
        <w:rPr>
          <w:rFonts w:hint="eastAsia" w:ascii="仿宋" w:hAnsi="仿宋" w:eastAsia="仿宋" w:cs="仿宋"/>
          <w:b/>
          <w:bCs/>
          <w:kern w:val="0"/>
          <w:sz w:val="32"/>
          <w:szCs w:val="32"/>
          <w:u w:val="single"/>
        </w:rPr>
        <w:t>月</w:t>
      </w:r>
      <w:r>
        <w:rPr>
          <w:rFonts w:hint="eastAsia" w:ascii="仿宋" w:hAnsi="仿宋" w:eastAsia="仿宋" w:cs="仿宋"/>
          <w:b/>
          <w:bCs/>
          <w:kern w:val="0"/>
          <w:sz w:val="32"/>
          <w:szCs w:val="32"/>
          <w:u w:val="single"/>
          <w:lang w:val="en-US" w:eastAsia="zh-CN"/>
        </w:rPr>
        <w:t>20</w:t>
      </w:r>
      <w:r>
        <w:rPr>
          <w:rFonts w:hint="eastAsia" w:ascii="仿宋" w:hAnsi="仿宋" w:eastAsia="仿宋" w:cs="仿宋"/>
          <w:b/>
          <w:bCs/>
          <w:kern w:val="0"/>
          <w:sz w:val="32"/>
          <w:szCs w:val="32"/>
          <w:u w:val="single"/>
        </w:rPr>
        <w:t>日</w:t>
      </w:r>
      <w:r>
        <w:rPr>
          <w:rFonts w:hint="eastAsia" w:ascii="仿宋" w:hAnsi="仿宋" w:eastAsia="仿宋" w:cs="仿宋"/>
          <w:b/>
          <w:bCs/>
          <w:kern w:val="0"/>
          <w:sz w:val="32"/>
          <w:szCs w:val="32"/>
          <w:u w:val="single"/>
          <w:lang w:eastAsia="zh-CN"/>
        </w:rPr>
        <w:t>1</w:t>
      </w:r>
      <w:r>
        <w:rPr>
          <w:rFonts w:hint="eastAsia" w:ascii="仿宋" w:hAnsi="仿宋" w:eastAsia="仿宋" w:cs="仿宋"/>
          <w:b/>
          <w:bCs/>
          <w:kern w:val="0"/>
          <w:sz w:val="32"/>
          <w:szCs w:val="32"/>
          <w:u w:val="single"/>
          <w:lang w:val="en-US" w:eastAsia="zh-CN"/>
        </w:rPr>
        <w:t>8时</w:t>
      </w:r>
      <w:r>
        <w:rPr>
          <w:rFonts w:hint="eastAsia" w:ascii="仿宋" w:hAnsi="仿宋" w:eastAsia="仿宋" w:cs="仿宋"/>
          <w:kern w:val="0"/>
          <w:sz w:val="32"/>
          <w:szCs w:val="32"/>
        </w:rPr>
        <w:t>。为维护债权人利益，建议债权人尽快申报债权，以便</w:t>
      </w:r>
      <w:r>
        <w:rPr>
          <w:rFonts w:hint="eastAsia" w:ascii="仿宋" w:hAnsi="仿宋" w:eastAsia="仿宋" w:cs="仿宋"/>
          <w:kern w:val="0"/>
          <w:sz w:val="32"/>
          <w:szCs w:val="32"/>
          <w:lang w:eastAsia="zh-CN"/>
        </w:rPr>
        <w:t>管理人</w:t>
      </w:r>
      <w:r>
        <w:rPr>
          <w:rFonts w:hint="eastAsia" w:ascii="仿宋" w:hAnsi="仿宋" w:eastAsia="仿宋" w:cs="仿宋"/>
          <w:kern w:val="0"/>
          <w:sz w:val="32"/>
          <w:szCs w:val="32"/>
        </w:rPr>
        <w:t>尽快进行审查。</w:t>
      </w:r>
    </w:p>
    <w:p w14:paraId="780EDF65">
      <w:pPr>
        <w:widowControl/>
        <w:numPr>
          <w:ilvl w:val="0"/>
          <w:numId w:val="1"/>
        </w:numPr>
        <w:spacing w:before="176" w:beforeLines="30" w:after="176" w:afterLines="30" w:line="480" w:lineRule="exact"/>
        <w:ind w:firstLine="632" w:firstLineChars="200"/>
        <w:rPr>
          <w:rFonts w:hint="eastAsia" w:ascii="仿宋" w:hAnsi="仿宋" w:eastAsia="仿宋" w:cs="仿宋"/>
          <w:b/>
          <w:kern w:val="0"/>
          <w:sz w:val="32"/>
          <w:szCs w:val="32"/>
        </w:rPr>
      </w:pPr>
      <w:r>
        <w:rPr>
          <w:rFonts w:hint="eastAsia" w:ascii="仿宋" w:hAnsi="仿宋" w:eastAsia="仿宋" w:cs="仿宋"/>
          <w:b/>
          <w:kern w:val="0"/>
          <w:sz w:val="32"/>
          <w:szCs w:val="32"/>
        </w:rPr>
        <w:t>债权申报要求</w:t>
      </w:r>
    </w:p>
    <w:p w14:paraId="00FD36B2">
      <w:pPr>
        <w:widowControl/>
        <w:spacing w:before="176" w:beforeLines="30" w:after="176" w:afterLines="30" w:line="480" w:lineRule="exact"/>
        <w:ind w:firstLine="632" w:firstLineChars="200"/>
        <w:rPr>
          <w:rFonts w:hint="eastAsia" w:ascii="仿宋" w:hAnsi="仿宋" w:eastAsia="仿宋" w:cs="仿宋"/>
          <w:kern w:val="0"/>
          <w:sz w:val="32"/>
          <w:szCs w:val="32"/>
        </w:rPr>
      </w:pPr>
      <w:r>
        <w:rPr>
          <w:rFonts w:hint="eastAsia" w:ascii="仿宋" w:hAnsi="仿宋" w:eastAsia="仿宋" w:cs="仿宋"/>
          <w:kern w:val="0"/>
          <w:sz w:val="32"/>
          <w:szCs w:val="32"/>
        </w:rPr>
        <w:t>为降低债权人申报成本，本次</w:t>
      </w:r>
      <w:r>
        <w:rPr>
          <w:rFonts w:hint="eastAsia" w:ascii="仿宋" w:hAnsi="仿宋" w:eastAsia="仿宋" w:cs="仿宋"/>
          <w:kern w:val="0"/>
          <w:sz w:val="32"/>
          <w:szCs w:val="32"/>
          <w:lang w:eastAsia="zh-CN"/>
        </w:rPr>
        <w:t>乐颐公司</w:t>
      </w:r>
      <w:r>
        <w:rPr>
          <w:rFonts w:hint="eastAsia" w:ascii="仿宋" w:hAnsi="仿宋" w:eastAsia="仿宋" w:cs="仿宋"/>
          <w:kern w:val="0"/>
          <w:sz w:val="32"/>
          <w:szCs w:val="32"/>
        </w:rPr>
        <w:t>债权申报采取</w:t>
      </w:r>
      <w:r>
        <w:rPr>
          <w:rFonts w:hint="eastAsia" w:ascii="仿宋" w:hAnsi="仿宋" w:eastAsia="仿宋" w:cs="仿宋"/>
          <w:b/>
          <w:bCs/>
          <w:kern w:val="0"/>
          <w:sz w:val="32"/>
          <w:szCs w:val="32"/>
          <w:u w:val="single"/>
          <w:lang w:val="en-US" w:eastAsia="zh-CN"/>
        </w:rPr>
        <w:t>现场申报、邮寄申报加电子邮件申报</w:t>
      </w:r>
      <w:r>
        <w:rPr>
          <w:rFonts w:hint="eastAsia" w:ascii="仿宋" w:hAnsi="仿宋" w:eastAsia="仿宋" w:cs="仿宋"/>
          <w:kern w:val="0"/>
          <w:sz w:val="32"/>
          <w:szCs w:val="32"/>
          <w:lang w:val="en-US" w:eastAsia="zh-CN"/>
        </w:rPr>
        <w:t>形式</w:t>
      </w:r>
      <w:r>
        <w:rPr>
          <w:rFonts w:hint="eastAsia" w:ascii="仿宋" w:hAnsi="仿宋" w:eastAsia="仿宋" w:cs="仿宋"/>
          <w:kern w:val="0"/>
          <w:sz w:val="32"/>
          <w:szCs w:val="32"/>
        </w:rPr>
        <w:t>。</w:t>
      </w:r>
      <w:r>
        <w:rPr>
          <w:rFonts w:hint="eastAsia" w:ascii="仿宋" w:hAnsi="仿宋" w:eastAsia="仿宋" w:cs="仿宋"/>
          <w:kern w:val="0"/>
          <w:sz w:val="32"/>
          <w:szCs w:val="32"/>
          <w:lang w:val="en-US" w:eastAsia="zh-CN"/>
        </w:rPr>
        <w:t>以</w:t>
      </w:r>
      <w:r>
        <w:rPr>
          <w:rFonts w:hint="eastAsia" w:ascii="仿宋" w:hAnsi="仿宋" w:eastAsia="仿宋" w:cs="仿宋"/>
          <w:b/>
          <w:bCs/>
          <w:kern w:val="0"/>
          <w:sz w:val="32"/>
          <w:szCs w:val="32"/>
          <w:u w:val="single"/>
          <w:lang w:val="en-US" w:eastAsia="zh-CN"/>
        </w:rPr>
        <w:t>电子邮件形式申报的，需补充邮寄申报材料</w:t>
      </w:r>
      <w:r>
        <w:rPr>
          <w:rFonts w:hint="eastAsia" w:ascii="仿宋" w:hAnsi="仿宋" w:eastAsia="仿宋" w:cs="仿宋"/>
          <w:kern w:val="0"/>
          <w:sz w:val="32"/>
          <w:szCs w:val="32"/>
          <w:lang w:val="en-US" w:eastAsia="zh-CN"/>
        </w:rPr>
        <w:t>。</w:t>
      </w:r>
      <w:r>
        <w:rPr>
          <w:rFonts w:hint="eastAsia" w:ascii="仿宋" w:hAnsi="仿宋" w:eastAsia="仿宋" w:cs="仿宋"/>
          <w:kern w:val="0"/>
          <w:sz w:val="32"/>
          <w:szCs w:val="32"/>
          <w:lang w:eastAsia="zh-CN"/>
        </w:rPr>
        <w:t>管理人</w:t>
      </w:r>
      <w:r>
        <w:rPr>
          <w:rFonts w:hint="eastAsia" w:ascii="仿宋" w:hAnsi="仿宋" w:eastAsia="仿宋" w:cs="仿宋"/>
          <w:kern w:val="0"/>
          <w:sz w:val="32"/>
          <w:szCs w:val="32"/>
        </w:rPr>
        <w:t>有权要求债权人补充债权申报材料</w:t>
      </w:r>
      <w:r>
        <w:rPr>
          <w:rFonts w:hint="eastAsia" w:ascii="仿宋" w:hAnsi="仿宋" w:eastAsia="仿宋" w:cs="仿宋"/>
          <w:kern w:val="0"/>
          <w:sz w:val="32"/>
          <w:szCs w:val="32"/>
          <w:lang w:eastAsia="zh-CN"/>
        </w:rPr>
        <w:t>，</w:t>
      </w:r>
      <w:r>
        <w:rPr>
          <w:rFonts w:hint="eastAsia" w:ascii="仿宋" w:hAnsi="仿宋" w:eastAsia="仿宋" w:cs="仿宋"/>
          <w:kern w:val="0"/>
          <w:sz w:val="32"/>
          <w:szCs w:val="32"/>
        </w:rPr>
        <w:t>直至满足审查要求。对不符合要求的债权申报材料，</w:t>
      </w:r>
      <w:r>
        <w:rPr>
          <w:rFonts w:hint="eastAsia" w:ascii="仿宋" w:hAnsi="仿宋" w:eastAsia="仿宋" w:cs="仿宋"/>
          <w:kern w:val="0"/>
          <w:sz w:val="32"/>
          <w:szCs w:val="32"/>
          <w:lang w:eastAsia="zh-CN"/>
        </w:rPr>
        <w:t>管理人</w:t>
      </w:r>
      <w:r>
        <w:rPr>
          <w:rFonts w:hint="eastAsia" w:ascii="仿宋" w:hAnsi="仿宋" w:eastAsia="仿宋" w:cs="仿宋"/>
          <w:kern w:val="0"/>
          <w:sz w:val="32"/>
          <w:szCs w:val="32"/>
        </w:rPr>
        <w:t>有权在编制债权表时不予登记。</w:t>
      </w:r>
      <w:r>
        <w:rPr>
          <w:rFonts w:hint="eastAsia" w:ascii="仿宋" w:hAnsi="仿宋" w:eastAsia="仿宋" w:cs="仿宋"/>
          <w:kern w:val="0"/>
          <w:sz w:val="32"/>
          <w:szCs w:val="32"/>
          <w:lang w:val="en-US" w:eastAsia="zh-CN"/>
        </w:rPr>
        <w:t>债权申报</w:t>
      </w:r>
      <w:r>
        <w:rPr>
          <w:rFonts w:hint="eastAsia" w:ascii="仿宋" w:hAnsi="仿宋" w:eastAsia="仿宋" w:cs="仿宋"/>
          <w:kern w:val="0"/>
          <w:sz w:val="32"/>
          <w:szCs w:val="32"/>
        </w:rPr>
        <w:t>具体要求如下：</w:t>
      </w:r>
    </w:p>
    <w:p w14:paraId="0F38D3E6">
      <w:pPr>
        <w:widowControl/>
        <w:spacing w:before="176" w:beforeLines="30" w:after="176" w:afterLines="30" w:line="480" w:lineRule="exact"/>
        <w:ind w:firstLine="632" w:firstLineChars="200"/>
        <w:rPr>
          <w:rFonts w:hint="eastAsia" w:ascii="仿宋" w:hAnsi="仿宋" w:eastAsia="仿宋" w:cs="仿宋"/>
          <w:kern w:val="0"/>
          <w:sz w:val="32"/>
          <w:szCs w:val="32"/>
        </w:rPr>
      </w:pPr>
      <w:r>
        <w:rPr>
          <w:rFonts w:hint="eastAsia" w:ascii="仿宋" w:hAnsi="仿宋" w:eastAsia="仿宋" w:cs="仿宋"/>
          <w:kern w:val="0"/>
          <w:sz w:val="32"/>
          <w:szCs w:val="32"/>
        </w:rPr>
        <w:t>（一）申报材料基本要求</w:t>
      </w:r>
    </w:p>
    <w:p w14:paraId="0BC20120">
      <w:pPr>
        <w:widowControl/>
        <w:spacing w:before="176" w:beforeLines="30" w:after="176" w:afterLines="30" w:line="480" w:lineRule="exact"/>
        <w:ind w:firstLine="632" w:firstLineChars="200"/>
        <w:rPr>
          <w:rFonts w:hint="eastAsia" w:ascii="仿宋" w:hAnsi="仿宋" w:eastAsia="仿宋" w:cs="仿宋"/>
          <w:kern w:val="0"/>
          <w:sz w:val="32"/>
          <w:szCs w:val="32"/>
        </w:rPr>
      </w:pPr>
      <w:r>
        <w:rPr>
          <w:rFonts w:hint="eastAsia" w:ascii="仿宋" w:hAnsi="仿宋" w:eastAsia="仿宋" w:cs="仿宋"/>
          <w:kern w:val="0"/>
          <w:sz w:val="32"/>
          <w:szCs w:val="32"/>
        </w:rPr>
        <w:t>申报材料应按要求提供</w:t>
      </w:r>
      <w:r>
        <w:rPr>
          <w:rFonts w:hint="eastAsia" w:ascii="仿宋" w:hAnsi="仿宋" w:eastAsia="仿宋" w:cs="仿宋"/>
          <w:b/>
          <w:kern w:val="0"/>
          <w:sz w:val="32"/>
          <w:szCs w:val="32"/>
          <w:u w:val="single"/>
        </w:rPr>
        <w:t>一式三份</w:t>
      </w:r>
      <w:r>
        <w:rPr>
          <w:rFonts w:hint="eastAsia" w:ascii="仿宋" w:hAnsi="仿宋" w:eastAsia="仿宋" w:cs="仿宋"/>
          <w:kern w:val="0"/>
          <w:sz w:val="32"/>
          <w:szCs w:val="32"/>
        </w:rPr>
        <w:t>（详见本指引“四、债权申报应当提交的材料”），采用A4纸打印后按照附件顺序装订（建议使用活页夹固定，切勿胶装）。建议使用中国邮政特快专递（EMS）邮寄，申报日期以寄出之日为准。债权申报材料制作及邮寄的费用由债权人自行承担，</w:t>
      </w:r>
      <w:r>
        <w:rPr>
          <w:rFonts w:hint="eastAsia" w:ascii="仿宋" w:hAnsi="仿宋" w:eastAsia="仿宋" w:cs="仿宋"/>
          <w:b/>
          <w:kern w:val="0"/>
          <w:sz w:val="32"/>
          <w:szCs w:val="32"/>
          <w:u w:val="single"/>
          <w:lang w:eastAsia="zh-CN"/>
        </w:rPr>
        <w:t>管理人</w:t>
      </w:r>
      <w:r>
        <w:rPr>
          <w:rFonts w:hint="eastAsia" w:ascii="仿宋" w:hAnsi="仿宋" w:eastAsia="仿宋" w:cs="仿宋"/>
          <w:b/>
          <w:kern w:val="0"/>
          <w:sz w:val="32"/>
          <w:szCs w:val="32"/>
          <w:u w:val="single"/>
        </w:rPr>
        <w:t>不接受以到付方式邮寄的债权申报材料</w:t>
      </w:r>
      <w:r>
        <w:rPr>
          <w:rFonts w:hint="eastAsia" w:ascii="仿宋" w:hAnsi="仿宋" w:eastAsia="仿宋" w:cs="仿宋"/>
          <w:b/>
          <w:kern w:val="0"/>
          <w:sz w:val="32"/>
          <w:szCs w:val="32"/>
        </w:rPr>
        <w:t>。</w:t>
      </w:r>
    </w:p>
    <w:p w14:paraId="0D6CF59B">
      <w:pPr>
        <w:widowControl/>
        <w:spacing w:before="176" w:beforeLines="30" w:after="176" w:afterLines="30" w:line="480" w:lineRule="exact"/>
        <w:ind w:firstLine="632" w:firstLineChars="200"/>
        <w:rPr>
          <w:rFonts w:hint="eastAsia" w:ascii="仿宋" w:hAnsi="仿宋" w:eastAsia="仿宋" w:cs="仿宋"/>
          <w:kern w:val="0"/>
          <w:sz w:val="32"/>
          <w:szCs w:val="32"/>
        </w:rPr>
      </w:pPr>
      <w:r>
        <w:rPr>
          <w:rFonts w:hint="eastAsia" w:ascii="仿宋" w:hAnsi="仿宋" w:eastAsia="仿宋" w:cs="仿宋"/>
          <w:kern w:val="0"/>
          <w:sz w:val="32"/>
          <w:szCs w:val="32"/>
        </w:rPr>
        <w:t>（二）纸质申报材料接收地址</w:t>
      </w:r>
    </w:p>
    <w:p w14:paraId="443E30BC">
      <w:pPr>
        <w:widowControl/>
        <w:spacing w:before="176" w:beforeLines="30" w:after="176" w:afterLines="30" w:line="480" w:lineRule="exact"/>
        <w:ind w:firstLine="632" w:firstLineChars="200"/>
        <w:rPr>
          <w:rFonts w:hint="eastAsia" w:ascii="仿宋" w:hAnsi="仿宋" w:eastAsia="仿宋" w:cs="仿宋"/>
          <w:kern w:val="0"/>
          <w:sz w:val="32"/>
          <w:szCs w:val="32"/>
        </w:rPr>
      </w:pPr>
      <w:r>
        <w:rPr>
          <w:rFonts w:hint="eastAsia" w:ascii="仿宋" w:hAnsi="仿宋" w:eastAsia="仿宋" w:cs="仿宋"/>
          <w:kern w:val="0"/>
          <w:sz w:val="32"/>
          <w:szCs w:val="32"/>
        </w:rPr>
        <w:t>联系人：</w:t>
      </w:r>
      <w:r>
        <w:rPr>
          <w:rFonts w:hint="eastAsia" w:ascii="仿宋" w:hAnsi="仿宋" w:eastAsia="仿宋" w:cs="仿宋"/>
          <w:kern w:val="0"/>
          <w:sz w:val="32"/>
          <w:szCs w:val="32"/>
          <w:lang w:val="en-US" w:eastAsia="zh-CN"/>
        </w:rPr>
        <w:t>胡律师</w:t>
      </w:r>
      <w:r>
        <w:rPr>
          <w:rFonts w:hint="eastAsia" w:ascii="仿宋" w:hAnsi="仿宋" w:eastAsia="仿宋" w:cs="仿宋"/>
          <w:kern w:val="0"/>
          <w:sz w:val="32"/>
          <w:szCs w:val="32"/>
        </w:rPr>
        <w:t>、</w:t>
      </w:r>
      <w:r>
        <w:rPr>
          <w:rFonts w:hint="eastAsia" w:ascii="仿宋" w:hAnsi="仿宋" w:eastAsia="仿宋" w:cs="仿宋"/>
          <w:kern w:val="0"/>
          <w:sz w:val="32"/>
          <w:szCs w:val="32"/>
          <w:lang w:val="en-US" w:eastAsia="zh-CN"/>
        </w:rPr>
        <w:t>潘</w:t>
      </w:r>
      <w:r>
        <w:rPr>
          <w:rFonts w:hint="eastAsia" w:ascii="仿宋" w:hAnsi="仿宋" w:eastAsia="仿宋" w:cs="仿宋"/>
          <w:kern w:val="0"/>
          <w:sz w:val="32"/>
          <w:szCs w:val="32"/>
        </w:rPr>
        <w:t>律师</w:t>
      </w:r>
    </w:p>
    <w:p w14:paraId="20E06B93">
      <w:pPr>
        <w:widowControl/>
        <w:spacing w:before="176" w:beforeLines="30" w:after="176" w:afterLines="30" w:line="480" w:lineRule="exact"/>
        <w:ind w:firstLine="632" w:firstLineChars="200"/>
        <w:rPr>
          <w:rFonts w:hint="eastAsia" w:ascii="仿宋" w:hAnsi="仿宋" w:eastAsia="仿宋" w:cs="仿宋"/>
          <w:kern w:val="0"/>
          <w:sz w:val="32"/>
          <w:szCs w:val="32"/>
        </w:rPr>
      </w:pPr>
      <w:r>
        <w:rPr>
          <w:rFonts w:hint="eastAsia" w:ascii="仿宋" w:hAnsi="仿宋" w:eastAsia="仿宋" w:cs="仿宋"/>
          <w:kern w:val="0"/>
          <w:sz w:val="32"/>
          <w:szCs w:val="32"/>
        </w:rPr>
        <w:t>电话：</w:t>
      </w:r>
      <w:r>
        <w:rPr>
          <w:rFonts w:hint="eastAsia" w:ascii="仿宋" w:hAnsi="仿宋" w:eastAsia="仿宋" w:cs="仿宋"/>
          <w:kern w:val="0"/>
          <w:sz w:val="32"/>
          <w:szCs w:val="32"/>
          <w:lang w:eastAsia="zh-CN"/>
        </w:rPr>
        <w:t>13681163412</w:t>
      </w:r>
    </w:p>
    <w:p w14:paraId="5C8BA09F">
      <w:pPr>
        <w:widowControl/>
        <w:spacing w:before="176" w:beforeLines="30" w:after="176" w:afterLines="30" w:line="480" w:lineRule="exact"/>
        <w:ind w:firstLine="632" w:firstLineChars="200"/>
        <w:rPr>
          <w:rFonts w:hint="eastAsia" w:ascii="仿宋" w:hAnsi="仿宋" w:eastAsia="仿宋" w:cs="仿宋"/>
          <w:kern w:val="0"/>
          <w:sz w:val="32"/>
          <w:szCs w:val="32"/>
        </w:rPr>
      </w:pPr>
      <w:r>
        <w:rPr>
          <w:rFonts w:hint="eastAsia" w:ascii="仿宋" w:hAnsi="仿宋" w:eastAsia="仿宋" w:cs="仿宋"/>
          <w:kern w:val="0"/>
          <w:sz w:val="32"/>
          <w:szCs w:val="32"/>
        </w:rPr>
        <w:t>地址：</w:t>
      </w:r>
      <w:r>
        <w:rPr>
          <w:rFonts w:hint="eastAsia" w:ascii="仿宋" w:hAnsi="仿宋" w:eastAsia="仿宋" w:cs="仿宋"/>
          <w:kern w:val="0"/>
          <w:sz w:val="32"/>
          <w:szCs w:val="32"/>
          <w:lang w:val="en-US" w:eastAsia="zh-CN"/>
        </w:rPr>
        <w:t>河北省邯郸市丛台区和平街道陵西北大街38号乐颐电脑大厦503房504房</w:t>
      </w:r>
    </w:p>
    <w:p w14:paraId="3E663752">
      <w:pPr>
        <w:widowControl/>
        <w:spacing w:before="176" w:beforeLines="30" w:after="176" w:afterLines="30" w:line="480" w:lineRule="exact"/>
        <w:ind w:firstLine="632" w:firstLineChars="200"/>
        <w:rPr>
          <w:rFonts w:hint="eastAsia" w:ascii="仿宋" w:hAnsi="仿宋" w:eastAsia="仿宋" w:cs="仿宋"/>
          <w:kern w:val="0"/>
          <w:sz w:val="32"/>
          <w:szCs w:val="32"/>
        </w:rPr>
      </w:pPr>
      <w:r>
        <w:rPr>
          <w:rFonts w:hint="eastAsia" w:ascii="仿宋" w:hAnsi="仿宋" w:eastAsia="仿宋" w:cs="仿宋"/>
          <w:kern w:val="0"/>
          <w:sz w:val="32"/>
          <w:szCs w:val="32"/>
        </w:rPr>
        <w:t>工作时间：</w:t>
      </w:r>
      <w:r>
        <w:rPr>
          <w:rFonts w:hint="eastAsia" w:ascii="仿宋" w:hAnsi="仿宋" w:eastAsia="仿宋" w:cs="仿宋"/>
          <w:kern w:val="0"/>
          <w:sz w:val="32"/>
          <w:szCs w:val="32"/>
          <w:lang w:val="en-US" w:eastAsia="zh-CN"/>
        </w:rPr>
        <w:t>法定</w:t>
      </w:r>
      <w:r>
        <w:rPr>
          <w:rFonts w:hint="eastAsia" w:ascii="仿宋" w:hAnsi="仿宋" w:eastAsia="仿宋" w:cs="仿宋"/>
          <w:kern w:val="0"/>
          <w:sz w:val="32"/>
          <w:szCs w:val="32"/>
        </w:rPr>
        <w:t>工作日上午9:00-11:30、下午2:</w:t>
      </w:r>
      <w:r>
        <w:rPr>
          <w:rFonts w:hint="eastAsia" w:ascii="仿宋" w:hAnsi="仿宋" w:eastAsia="仿宋" w:cs="仿宋"/>
          <w:kern w:val="0"/>
          <w:sz w:val="32"/>
          <w:szCs w:val="32"/>
          <w:lang w:val="en-US" w:eastAsia="zh-CN"/>
        </w:rPr>
        <w:t>00</w:t>
      </w:r>
      <w:r>
        <w:rPr>
          <w:rFonts w:hint="eastAsia" w:ascii="仿宋" w:hAnsi="仿宋" w:eastAsia="仿宋" w:cs="仿宋"/>
          <w:kern w:val="0"/>
          <w:sz w:val="32"/>
          <w:szCs w:val="32"/>
        </w:rPr>
        <w:t>-</w:t>
      </w:r>
      <w:r>
        <w:rPr>
          <w:rFonts w:hint="eastAsia" w:ascii="仿宋" w:hAnsi="仿宋" w:eastAsia="仿宋" w:cs="仿宋"/>
          <w:kern w:val="0"/>
          <w:sz w:val="32"/>
          <w:szCs w:val="32"/>
          <w:lang w:val="en-US" w:eastAsia="zh-CN"/>
        </w:rPr>
        <w:t>6</w:t>
      </w:r>
      <w:r>
        <w:rPr>
          <w:rFonts w:hint="eastAsia" w:ascii="仿宋" w:hAnsi="仿宋" w:eastAsia="仿宋" w:cs="仿宋"/>
          <w:kern w:val="0"/>
          <w:sz w:val="32"/>
          <w:szCs w:val="32"/>
        </w:rPr>
        <w:t>:</w:t>
      </w:r>
      <w:r>
        <w:rPr>
          <w:rFonts w:hint="eastAsia" w:ascii="仿宋" w:hAnsi="仿宋" w:eastAsia="仿宋" w:cs="仿宋"/>
          <w:kern w:val="0"/>
          <w:sz w:val="32"/>
          <w:szCs w:val="32"/>
          <w:lang w:val="en-US" w:eastAsia="zh-CN"/>
        </w:rPr>
        <w:t>0</w:t>
      </w:r>
      <w:r>
        <w:rPr>
          <w:rFonts w:hint="eastAsia" w:ascii="仿宋" w:hAnsi="仿宋" w:eastAsia="仿宋" w:cs="仿宋"/>
          <w:kern w:val="0"/>
          <w:sz w:val="32"/>
          <w:szCs w:val="32"/>
        </w:rPr>
        <w:t>0</w:t>
      </w:r>
    </w:p>
    <w:p w14:paraId="16B5DC2C">
      <w:pPr>
        <w:widowControl/>
        <w:spacing w:before="176" w:beforeLines="30" w:after="176" w:afterLines="30" w:line="480" w:lineRule="exact"/>
        <w:ind w:firstLine="632" w:firstLineChars="200"/>
        <w:rPr>
          <w:rFonts w:hint="eastAsia" w:ascii="仿宋" w:hAnsi="仿宋" w:eastAsia="仿宋" w:cs="仿宋"/>
          <w:kern w:val="0"/>
          <w:sz w:val="32"/>
          <w:szCs w:val="32"/>
        </w:rPr>
      </w:pPr>
      <w:r>
        <w:rPr>
          <w:rFonts w:hint="eastAsia" w:ascii="仿宋" w:hAnsi="仿宋" w:eastAsia="仿宋" w:cs="仿宋"/>
          <w:kern w:val="0"/>
          <w:sz w:val="32"/>
          <w:szCs w:val="32"/>
        </w:rPr>
        <w:t>邮寄材料包装外部应当注明“</w:t>
      </w:r>
      <w:r>
        <w:rPr>
          <w:rFonts w:hint="eastAsia" w:ascii="仿宋" w:hAnsi="仿宋" w:eastAsia="仿宋" w:cs="仿宋"/>
          <w:kern w:val="0"/>
          <w:sz w:val="32"/>
          <w:szCs w:val="32"/>
          <w:lang w:eastAsia="zh-CN"/>
        </w:rPr>
        <w:t>乐颐公司</w:t>
      </w:r>
      <w:r>
        <w:rPr>
          <w:rFonts w:hint="eastAsia" w:ascii="仿宋" w:hAnsi="仿宋" w:eastAsia="仿宋" w:cs="仿宋"/>
          <w:kern w:val="0"/>
          <w:sz w:val="32"/>
          <w:szCs w:val="32"/>
        </w:rPr>
        <w:t>债权申报”。</w:t>
      </w:r>
    </w:p>
    <w:p w14:paraId="12DA7A31">
      <w:pPr>
        <w:widowControl/>
        <w:spacing w:before="176" w:beforeLines="30" w:after="176" w:afterLines="30" w:line="480" w:lineRule="exact"/>
        <w:ind w:firstLine="632" w:firstLineChars="200"/>
        <w:rPr>
          <w:rFonts w:hint="eastAsia" w:ascii="仿宋" w:hAnsi="仿宋" w:eastAsia="仿宋" w:cs="仿宋"/>
          <w:kern w:val="0"/>
          <w:sz w:val="32"/>
          <w:szCs w:val="32"/>
        </w:rPr>
      </w:pPr>
      <w:r>
        <w:rPr>
          <w:rFonts w:hint="eastAsia" w:ascii="仿宋" w:hAnsi="仿宋" w:eastAsia="仿宋" w:cs="仿宋"/>
          <w:kern w:val="0"/>
          <w:sz w:val="32"/>
          <w:szCs w:val="32"/>
        </w:rPr>
        <w:t>（三）</w:t>
      </w:r>
      <w:r>
        <w:rPr>
          <w:rFonts w:hint="eastAsia" w:ascii="仿宋" w:hAnsi="仿宋" w:eastAsia="仿宋" w:cs="仿宋"/>
          <w:kern w:val="0"/>
          <w:sz w:val="32"/>
          <w:szCs w:val="32"/>
          <w:lang w:val="en-US" w:eastAsia="zh-CN"/>
        </w:rPr>
        <w:t>电子版</w:t>
      </w:r>
      <w:r>
        <w:rPr>
          <w:rFonts w:hint="eastAsia" w:ascii="仿宋" w:hAnsi="仿宋" w:eastAsia="仿宋" w:cs="仿宋"/>
          <w:kern w:val="0"/>
          <w:sz w:val="32"/>
          <w:szCs w:val="32"/>
        </w:rPr>
        <w:t>申报材料接收邮箱</w:t>
      </w:r>
    </w:p>
    <w:p w14:paraId="628E721B">
      <w:pPr>
        <w:widowControl/>
        <w:spacing w:before="176" w:beforeLines="30" w:after="176" w:afterLines="30" w:line="480" w:lineRule="exact"/>
        <w:ind w:firstLine="632" w:firstLineChars="200"/>
        <w:rPr>
          <w:rFonts w:hint="eastAsia" w:ascii="仿宋" w:hAnsi="仿宋" w:eastAsia="仿宋" w:cs="仿宋"/>
          <w:kern w:val="0"/>
          <w:sz w:val="32"/>
          <w:szCs w:val="32"/>
          <w:lang w:eastAsia="zh-CN"/>
        </w:rPr>
      </w:pPr>
      <w:r>
        <w:rPr>
          <w:rFonts w:hint="eastAsia" w:ascii="仿宋" w:hAnsi="仿宋" w:eastAsia="仿宋" w:cs="仿宋"/>
          <w:kern w:val="0"/>
          <w:sz w:val="32"/>
          <w:szCs w:val="32"/>
        </w:rPr>
        <w:t>债权申报材料指定接收邮箱：</w:t>
      </w:r>
      <w:r>
        <w:rPr>
          <w:rFonts w:hint="eastAsia" w:ascii="仿宋" w:hAnsi="仿宋" w:eastAsia="仿宋" w:cs="仿宋"/>
          <w:kern w:val="0"/>
          <w:sz w:val="32"/>
          <w:szCs w:val="32"/>
          <w:lang w:val="en-US" w:eastAsia="zh-CN"/>
        </w:rPr>
        <w:t>leyiqingsuanzu@sina.com</w:t>
      </w:r>
    </w:p>
    <w:p w14:paraId="0DBC5A84">
      <w:pPr>
        <w:widowControl/>
        <w:spacing w:before="176" w:beforeLines="30" w:after="176" w:afterLines="30" w:line="480" w:lineRule="exact"/>
        <w:ind w:firstLine="632" w:firstLineChars="200"/>
        <w:rPr>
          <w:rFonts w:hint="eastAsia" w:ascii="仿宋" w:hAnsi="仿宋" w:eastAsia="仿宋" w:cs="仿宋"/>
          <w:kern w:val="0"/>
          <w:sz w:val="32"/>
          <w:szCs w:val="32"/>
        </w:rPr>
      </w:pPr>
      <w:r>
        <w:rPr>
          <w:rFonts w:hint="eastAsia" w:ascii="仿宋" w:hAnsi="仿宋" w:eastAsia="仿宋" w:cs="仿宋"/>
          <w:kern w:val="0"/>
          <w:sz w:val="32"/>
          <w:szCs w:val="32"/>
        </w:rPr>
        <w:t>申报邮件主题请注明“债权申报材料-债权人名称或</w:t>
      </w:r>
      <w:r>
        <w:rPr>
          <w:rFonts w:hint="eastAsia" w:ascii="仿宋" w:hAnsi="仿宋" w:eastAsia="仿宋" w:cs="仿宋"/>
          <w:kern w:val="0"/>
          <w:sz w:val="32"/>
          <w:szCs w:val="32"/>
          <w:lang w:val="zh-CN"/>
        </w:rPr>
        <w:t>姓名</w:t>
      </w:r>
      <w:r>
        <w:rPr>
          <w:rFonts w:hint="eastAsia" w:ascii="仿宋" w:hAnsi="仿宋" w:eastAsia="仿宋" w:cs="仿宋"/>
          <w:kern w:val="0"/>
          <w:sz w:val="32"/>
          <w:szCs w:val="32"/>
        </w:rPr>
        <w:t>”</w:t>
      </w:r>
    </w:p>
    <w:p w14:paraId="72650D77">
      <w:pPr>
        <w:widowControl/>
        <w:numPr>
          <w:ilvl w:val="0"/>
          <w:numId w:val="1"/>
        </w:numPr>
        <w:spacing w:before="176" w:beforeLines="30" w:after="176" w:afterLines="30" w:line="480" w:lineRule="exact"/>
        <w:rPr>
          <w:rFonts w:hint="eastAsia" w:ascii="仿宋" w:hAnsi="仿宋" w:eastAsia="仿宋" w:cs="仿宋"/>
          <w:b/>
          <w:kern w:val="0"/>
          <w:sz w:val="32"/>
          <w:szCs w:val="32"/>
        </w:rPr>
      </w:pPr>
      <w:r>
        <w:rPr>
          <w:rFonts w:hint="eastAsia" w:ascii="仿宋" w:hAnsi="仿宋" w:eastAsia="仿宋" w:cs="仿宋"/>
          <w:b/>
          <w:kern w:val="0"/>
          <w:sz w:val="32"/>
          <w:szCs w:val="32"/>
        </w:rPr>
        <w:t>债权申报应当提交的材料</w:t>
      </w:r>
    </w:p>
    <w:p w14:paraId="29C295C7">
      <w:pPr>
        <w:widowControl/>
        <w:spacing w:before="176" w:beforeLines="30" w:after="176" w:afterLines="30" w:line="480" w:lineRule="exact"/>
        <w:ind w:firstLine="632" w:firstLineChars="200"/>
        <w:rPr>
          <w:rFonts w:hint="eastAsia" w:ascii="仿宋" w:hAnsi="仿宋" w:eastAsia="仿宋" w:cs="仿宋"/>
          <w:kern w:val="0"/>
          <w:sz w:val="32"/>
          <w:szCs w:val="32"/>
        </w:rPr>
      </w:pPr>
      <w:r>
        <w:rPr>
          <w:rFonts w:hint="eastAsia" w:ascii="仿宋" w:hAnsi="仿宋" w:eastAsia="仿宋" w:cs="仿宋"/>
          <w:kern w:val="0"/>
          <w:sz w:val="32"/>
          <w:szCs w:val="32"/>
        </w:rPr>
        <w:t>债权申报材料应包含以下全部文件的纸质版原件或复印件：</w:t>
      </w:r>
    </w:p>
    <w:p w14:paraId="28F8BD66">
      <w:pPr>
        <w:widowControl/>
        <w:numPr>
          <w:ilvl w:val="0"/>
          <w:numId w:val="2"/>
        </w:numPr>
        <w:spacing w:before="176" w:beforeLines="30" w:after="176" w:afterLines="30" w:line="480" w:lineRule="exact"/>
        <w:ind w:firstLine="632" w:firstLineChars="200"/>
        <w:rPr>
          <w:rFonts w:hint="eastAsia" w:ascii="仿宋" w:hAnsi="仿宋" w:eastAsia="仿宋" w:cs="仿宋"/>
          <w:kern w:val="0"/>
          <w:sz w:val="32"/>
          <w:szCs w:val="32"/>
        </w:rPr>
      </w:pPr>
      <w:r>
        <w:rPr>
          <w:rFonts w:hint="eastAsia" w:ascii="仿宋" w:hAnsi="仿宋" w:eastAsia="仿宋" w:cs="仿宋"/>
          <w:kern w:val="0"/>
          <w:sz w:val="32"/>
          <w:szCs w:val="32"/>
        </w:rPr>
        <w:t>债权人主体资格证明材料</w:t>
      </w:r>
    </w:p>
    <w:p w14:paraId="6986BE2E">
      <w:pPr>
        <w:widowControl/>
        <w:numPr>
          <w:ilvl w:val="0"/>
          <w:numId w:val="3"/>
        </w:numPr>
        <w:spacing w:before="176" w:beforeLines="30" w:after="176" w:afterLines="30" w:line="480" w:lineRule="exact"/>
        <w:ind w:firstLine="632" w:firstLineChars="200"/>
        <w:rPr>
          <w:rFonts w:hint="eastAsia" w:ascii="仿宋" w:hAnsi="仿宋" w:eastAsia="仿宋" w:cs="仿宋"/>
          <w:kern w:val="0"/>
          <w:sz w:val="32"/>
          <w:szCs w:val="32"/>
        </w:rPr>
      </w:pPr>
      <w:r>
        <w:rPr>
          <w:rFonts w:hint="eastAsia" w:ascii="仿宋" w:hAnsi="仿宋" w:eastAsia="仿宋" w:cs="仿宋"/>
          <w:kern w:val="0"/>
          <w:sz w:val="32"/>
          <w:szCs w:val="32"/>
        </w:rPr>
        <w:t>债权人为机构的，应提供如下主体资格证明材料：</w:t>
      </w:r>
    </w:p>
    <w:p w14:paraId="713AD987">
      <w:pPr>
        <w:widowControl/>
        <w:numPr>
          <w:ilvl w:val="0"/>
          <w:numId w:val="4"/>
        </w:numPr>
        <w:spacing w:before="176" w:beforeLines="30" w:after="176" w:afterLines="30" w:line="480" w:lineRule="exact"/>
        <w:ind w:firstLine="632" w:firstLineChars="200"/>
        <w:rPr>
          <w:rFonts w:hint="eastAsia" w:ascii="仿宋" w:hAnsi="仿宋" w:eastAsia="仿宋" w:cs="仿宋"/>
          <w:kern w:val="0"/>
          <w:sz w:val="32"/>
          <w:szCs w:val="32"/>
        </w:rPr>
      </w:pPr>
      <w:r>
        <w:rPr>
          <w:rFonts w:hint="eastAsia" w:ascii="仿宋" w:hAnsi="仿宋" w:eastAsia="仿宋" w:cs="仿宋"/>
          <w:kern w:val="0"/>
          <w:sz w:val="32"/>
          <w:szCs w:val="32"/>
        </w:rPr>
        <w:t>有效的营业执照、事业和社团法人登记证书或其他合法主体证明文件（须加盖公章）；</w:t>
      </w:r>
    </w:p>
    <w:p w14:paraId="79B802AE">
      <w:pPr>
        <w:widowControl/>
        <w:spacing w:before="176" w:beforeLines="30" w:after="176" w:afterLines="30" w:line="480" w:lineRule="exact"/>
        <w:ind w:firstLine="632" w:firstLineChars="200"/>
        <w:rPr>
          <w:rFonts w:hint="eastAsia" w:ascii="仿宋" w:hAnsi="仿宋" w:eastAsia="仿宋" w:cs="仿宋"/>
          <w:kern w:val="0"/>
          <w:sz w:val="32"/>
          <w:szCs w:val="32"/>
          <w:highlight w:val="none"/>
        </w:rPr>
      </w:pPr>
      <w:r>
        <w:rPr>
          <w:rFonts w:hint="eastAsia" w:ascii="仿宋" w:hAnsi="仿宋" w:eastAsia="仿宋" w:cs="仿宋"/>
          <w:kern w:val="0"/>
          <w:sz w:val="32"/>
          <w:szCs w:val="32"/>
        </w:rPr>
        <w:t>（2）法定代表人（或负责人、执行事务合伙人等）身份证明书</w:t>
      </w:r>
      <w:r>
        <w:rPr>
          <w:rFonts w:hint="eastAsia" w:ascii="仿宋" w:hAnsi="仿宋" w:eastAsia="仿宋" w:cs="仿宋"/>
          <w:kern w:val="0"/>
          <w:sz w:val="32"/>
          <w:szCs w:val="32"/>
          <w:highlight w:val="none"/>
        </w:rPr>
        <w:t>（示范文本见债权申报材料二）；</w:t>
      </w:r>
    </w:p>
    <w:p w14:paraId="234BCA1E">
      <w:pPr>
        <w:widowControl/>
        <w:spacing w:before="176" w:beforeLines="30" w:after="176" w:afterLines="30" w:line="480" w:lineRule="exact"/>
        <w:ind w:firstLine="632" w:firstLineChars="200"/>
        <w:rPr>
          <w:rFonts w:hint="eastAsia" w:ascii="仿宋" w:hAnsi="仿宋" w:eastAsia="仿宋" w:cs="仿宋"/>
          <w:kern w:val="0"/>
          <w:sz w:val="32"/>
          <w:szCs w:val="32"/>
          <w:highlight w:val="none"/>
        </w:rPr>
      </w:pPr>
      <w:r>
        <w:rPr>
          <w:rFonts w:hint="eastAsia" w:ascii="仿宋" w:hAnsi="仿宋" w:eastAsia="仿宋" w:cs="仿宋"/>
          <w:kern w:val="0"/>
          <w:sz w:val="32"/>
          <w:szCs w:val="32"/>
          <w:highlight w:val="none"/>
        </w:rPr>
        <w:t>（3）法定代表人（或负责人、执行事务合伙人等）身份证件复印件（须加盖公章）。</w:t>
      </w:r>
    </w:p>
    <w:p w14:paraId="2D95B2F2">
      <w:pPr>
        <w:widowControl/>
        <w:numPr>
          <w:ilvl w:val="0"/>
          <w:numId w:val="3"/>
        </w:numPr>
        <w:spacing w:before="176" w:beforeLines="30" w:after="176" w:afterLines="30" w:line="480" w:lineRule="exact"/>
        <w:ind w:firstLine="632" w:firstLineChars="200"/>
        <w:rPr>
          <w:rFonts w:hint="eastAsia" w:ascii="仿宋" w:hAnsi="仿宋" w:eastAsia="仿宋" w:cs="仿宋"/>
          <w:kern w:val="0"/>
          <w:sz w:val="32"/>
          <w:szCs w:val="32"/>
          <w:highlight w:val="none"/>
        </w:rPr>
      </w:pPr>
      <w:r>
        <w:rPr>
          <w:rFonts w:hint="eastAsia" w:ascii="仿宋" w:hAnsi="仿宋" w:eastAsia="仿宋" w:cs="仿宋"/>
          <w:kern w:val="0"/>
          <w:sz w:val="32"/>
          <w:szCs w:val="32"/>
          <w:highlight w:val="none"/>
        </w:rPr>
        <w:t>债权人为自然人的，应提供债权人身份证或其他有效证件复印件（需签字并捺印）。</w:t>
      </w:r>
    </w:p>
    <w:p w14:paraId="62FEC3C8">
      <w:pPr>
        <w:widowControl/>
        <w:numPr>
          <w:ilvl w:val="0"/>
          <w:numId w:val="3"/>
        </w:numPr>
        <w:spacing w:before="176" w:beforeLines="30" w:after="176" w:afterLines="30" w:line="480" w:lineRule="exact"/>
        <w:ind w:firstLine="632" w:firstLineChars="200"/>
        <w:rPr>
          <w:rFonts w:hint="eastAsia" w:ascii="仿宋" w:hAnsi="仿宋" w:eastAsia="仿宋" w:cs="仿宋"/>
          <w:kern w:val="0"/>
          <w:sz w:val="32"/>
          <w:szCs w:val="32"/>
          <w:highlight w:val="none"/>
        </w:rPr>
      </w:pPr>
      <w:r>
        <w:rPr>
          <w:rFonts w:hint="eastAsia" w:ascii="仿宋" w:hAnsi="仿宋" w:eastAsia="仿宋" w:cs="仿宋"/>
          <w:kern w:val="0"/>
          <w:sz w:val="32"/>
          <w:szCs w:val="32"/>
          <w:highlight w:val="none"/>
        </w:rPr>
        <w:t>授权委托书及受托人身份证件（仅委托他人申报的提交）。若委托他人申报的，债权人应提交授权委托书（示范文本见债权申报材料三）、受托人身份证件复印件；受托人是律师的，还应提交律师执业证复印件及律师事务所指派函。</w:t>
      </w:r>
      <w:bookmarkStart w:id="4" w:name="bookmark11"/>
      <w:bookmarkEnd w:id="4"/>
    </w:p>
    <w:p w14:paraId="62A9AFA3">
      <w:pPr>
        <w:widowControl/>
        <w:numPr>
          <w:ilvl w:val="0"/>
          <w:numId w:val="2"/>
        </w:numPr>
        <w:spacing w:before="176" w:beforeLines="30" w:after="176" w:afterLines="30" w:line="480" w:lineRule="exact"/>
        <w:ind w:firstLine="632" w:firstLineChars="200"/>
        <w:rPr>
          <w:rFonts w:hint="eastAsia" w:ascii="仿宋" w:hAnsi="仿宋" w:eastAsia="仿宋" w:cs="仿宋"/>
          <w:kern w:val="0"/>
          <w:sz w:val="32"/>
          <w:szCs w:val="32"/>
          <w:highlight w:val="none"/>
        </w:rPr>
      </w:pPr>
      <w:r>
        <w:rPr>
          <w:rFonts w:hint="eastAsia" w:ascii="仿宋" w:hAnsi="仿宋" w:eastAsia="仿宋" w:cs="仿宋"/>
          <w:kern w:val="0"/>
          <w:sz w:val="32"/>
          <w:szCs w:val="32"/>
          <w:highlight w:val="none"/>
        </w:rPr>
        <w:t>债权人送达地址确认书、</w:t>
      </w:r>
      <w:bookmarkStart w:id="5" w:name="_Hlk126787420"/>
      <w:r>
        <w:rPr>
          <w:rFonts w:hint="eastAsia" w:ascii="仿宋" w:hAnsi="仿宋" w:eastAsia="仿宋" w:cs="仿宋"/>
          <w:kern w:val="0"/>
          <w:sz w:val="32"/>
          <w:szCs w:val="32"/>
          <w:highlight w:val="none"/>
        </w:rPr>
        <w:t>债权人虚假申报债权法律风险告知书和诚信申报承诺书</w:t>
      </w:r>
      <w:bookmarkEnd w:id="5"/>
      <w:r>
        <w:rPr>
          <w:rFonts w:hint="eastAsia" w:ascii="仿宋" w:hAnsi="仿宋" w:eastAsia="仿宋" w:cs="仿宋"/>
          <w:kern w:val="0"/>
          <w:sz w:val="32"/>
          <w:szCs w:val="32"/>
          <w:highlight w:val="none"/>
        </w:rPr>
        <w:t>、债权申报表、债权人关于诉讼费用的承诺函、证据材料复印件</w:t>
      </w:r>
    </w:p>
    <w:p w14:paraId="7DE10E8E">
      <w:pPr>
        <w:widowControl/>
        <w:numPr>
          <w:ilvl w:val="0"/>
          <w:numId w:val="5"/>
        </w:numPr>
        <w:spacing w:before="176" w:beforeLines="30" w:after="176" w:afterLines="30" w:line="480" w:lineRule="exact"/>
        <w:ind w:firstLine="632" w:firstLineChars="200"/>
        <w:rPr>
          <w:rFonts w:hint="eastAsia" w:ascii="仿宋" w:hAnsi="仿宋" w:eastAsia="仿宋" w:cs="仿宋"/>
          <w:kern w:val="0"/>
          <w:sz w:val="32"/>
          <w:szCs w:val="32"/>
          <w:highlight w:val="none"/>
        </w:rPr>
      </w:pPr>
      <w:r>
        <w:rPr>
          <w:rFonts w:hint="eastAsia" w:ascii="仿宋" w:hAnsi="仿宋" w:eastAsia="仿宋" w:cs="仿宋"/>
          <w:kern w:val="0"/>
          <w:sz w:val="32"/>
          <w:szCs w:val="32"/>
          <w:highlight w:val="none"/>
        </w:rPr>
        <w:t>债权人送达地址确认书（示范文本见债权申报材料四）中记载的“接收网络债权人会议用户名和密码的手机号码”将作为接收债权人会议（如召开）信息的手机号，债权人及其委托代理人应当保证提供的手机号码真实有效并保持畅通，以免影响沟通及债权人行使权利。债权人更换债权申报材料中的手机号（包括债权人送达地址确认书中的手机号和授权委托书中的手机号）的，应以书面形式告知</w:t>
      </w:r>
      <w:r>
        <w:rPr>
          <w:rFonts w:hint="eastAsia" w:ascii="仿宋" w:hAnsi="仿宋" w:eastAsia="仿宋" w:cs="仿宋"/>
          <w:kern w:val="0"/>
          <w:sz w:val="32"/>
          <w:szCs w:val="32"/>
          <w:highlight w:val="none"/>
          <w:lang w:eastAsia="zh-CN"/>
        </w:rPr>
        <w:t>管理人</w:t>
      </w:r>
      <w:r>
        <w:rPr>
          <w:rFonts w:hint="eastAsia" w:ascii="仿宋" w:hAnsi="仿宋" w:eastAsia="仿宋" w:cs="仿宋"/>
          <w:kern w:val="0"/>
          <w:sz w:val="32"/>
          <w:szCs w:val="32"/>
          <w:highlight w:val="none"/>
        </w:rPr>
        <w:t>。</w:t>
      </w:r>
    </w:p>
    <w:p w14:paraId="22C3F435">
      <w:pPr>
        <w:widowControl/>
        <w:numPr>
          <w:ilvl w:val="0"/>
          <w:numId w:val="5"/>
        </w:numPr>
        <w:spacing w:before="176" w:beforeLines="30" w:after="176" w:afterLines="30" w:line="480" w:lineRule="exact"/>
        <w:ind w:firstLine="632" w:firstLineChars="200"/>
        <w:rPr>
          <w:rFonts w:hint="eastAsia" w:ascii="仿宋" w:hAnsi="仿宋" w:eastAsia="仿宋" w:cs="仿宋"/>
          <w:kern w:val="0"/>
          <w:sz w:val="32"/>
          <w:szCs w:val="32"/>
          <w:highlight w:val="none"/>
        </w:rPr>
      </w:pPr>
      <w:r>
        <w:rPr>
          <w:rFonts w:hint="eastAsia" w:ascii="仿宋" w:hAnsi="仿宋" w:eastAsia="仿宋" w:cs="仿宋"/>
          <w:kern w:val="0"/>
          <w:sz w:val="32"/>
          <w:szCs w:val="32"/>
          <w:highlight w:val="none"/>
        </w:rPr>
        <w:t>请在债权申报表（见债权申报材料五）中填写债权申报人的基本信息、债权申报金额、是否存在担保以及诉讼、仲裁、保全、执行等情况；具体写明债权构成，利息计算方法及过程，债权性质、债权形成原因及经过等情况。利息部分涉及复利、罚息的，请与利息部分区分列示。违约金（如有）应列入“其他”部分。同一债权人申报多笔债权的，请分别填写多张债权申报表。</w:t>
      </w:r>
    </w:p>
    <w:p w14:paraId="2C0E18E2">
      <w:pPr>
        <w:widowControl/>
        <w:numPr>
          <w:ilvl w:val="0"/>
          <w:numId w:val="5"/>
        </w:numPr>
        <w:spacing w:before="176" w:beforeLines="30" w:after="176" w:afterLines="30" w:line="480" w:lineRule="exact"/>
        <w:ind w:firstLine="632" w:firstLineChars="200"/>
        <w:rPr>
          <w:rFonts w:hint="eastAsia" w:ascii="仿宋" w:hAnsi="仿宋" w:eastAsia="仿宋" w:cs="仿宋"/>
          <w:kern w:val="0"/>
          <w:sz w:val="32"/>
          <w:szCs w:val="32"/>
          <w:highlight w:val="none"/>
        </w:rPr>
      </w:pPr>
      <w:r>
        <w:rPr>
          <w:rFonts w:hint="eastAsia" w:ascii="仿宋" w:hAnsi="仿宋" w:eastAsia="仿宋" w:cs="仿宋"/>
          <w:kern w:val="0"/>
          <w:sz w:val="32"/>
          <w:szCs w:val="32"/>
          <w:highlight w:val="none"/>
        </w:rPr>
        <w:t>请申报人务必认真阅读债权人虚假申报债权法律风险告知书和诚信申报承诺书（见债权申报材料六）</w:t>
      </w:r>
      <w:r>
        <w:rPr>
          <w:rFonts w:hint="eastAsia" w:ascii="仿宋" w:hAnsi="仿宋" w:eastAsia="仿宋" w:cs="仿宋"/>
          <w:kern w:val="0"/>
          <w:sz w:val="32"/>
          <w:szCs w:val="32"/>
          <w:highlight w:val="none"/>
          <w:lang w:val="en-US" w:eastAsia="zh-CN"/>
        </w:rPr>
        <w:t>的内容，</w:t>
      </w:r>
      <w:r>
        <w:rPr>
          <w:rFonts w:hint="eastAsia" w:ascii="仿宋" w:hAnsi="仿宋" w:eastAsia="仿宋" w:cs="仿宋"/>
          <w:kern w:val="0"/>
          <w:sz w:val="32"/>
          <w:szCs w:val="32"/>
          <w:highlight w:val="none"/>
        </w:rPr>
        <w:t>并加盖申报人公章（机构）或签字并捺印（自然人）。</w:t>
      </w:r>
    </w:p>
    <w:p w14:paraId="13431D3F">
      <w:pPr>
        <w:widowControl/>
        <w:numPr>
          <w:ilvl w:val="0"/>
          <w:numId w:val="5"/>
        </w:numPr>
        <w:spacing w:before="176" w:beforeLines="30" w:after="176" w:afterLines="30" w:line="480" w:lineRule="exact"/>
        <w:ind w:firstLine="632" w:firstLineChars="200"/>
        <w:rPr>
          <w:rFonts w:hint="eastAsia" w:ascii="仿宋" w:hAnsi="仿宋" w:eastAsia="仿宋" w:cs="仿宋"/>
          <w:kern w:val="0"/>
          <w:sz w:val="32"/>
          <w:szCs w:val="32"/>
          <w:highlight w:val="none"/>
        </w:rPr>
      </w:pPr>
      <w:r>
        <w:rPr>
          <w:rFonts w:hint="eastAsia" w:ascii="仿宋" w:hAnsi="仿宋" w:eastAsia="仿宋" w:cs="仿宋"/>
          <w:kern w:val="0"/>
          <w:sz w:val="32"/>
          <w:szCs w:val="32"/>
          <w:highlight w:val="none"/>
        </w:rPr>
        <w:t>申报人若申报诉讼费用的，须签署债权人关于诉讼费用的承诺函（见债权申报材料七）。</w:t>
      </w:r>
    </w:p>
    <w:p w14:paraId="060773B6">
      <w:pPr>
        <w:widowControl/>
        <w:numPr>
          <w:ilvl w:val="0"/>
          <w:numId w:val="5"/>
        </w:numPr>
        <w:spacing w:before="176" w:beforeLines="30" w:after="176" w:afterLines="30" w:line="480" w:lineRule="exact"/>
        <w:ind w:firstLine="632" w:firstLineChars="200"/>
        <w:rPr>
          <w:rFonts w:hint="eastAsia" w:ascii="仿宋" w:hAnsi="仿宋" w:eastAsia="仿宋" w:cs="仿宋"/>
          <w:kern w:val="0"/>
          <w:sz w:val="32"/>
          <w:szCs w:val="32"/>
        </w:rPr>
      </w:pPr>
      <w:r>
        <w:rPr>
          <w:rFonts w:hint="eastAsia" w:ascii="仿宋" w:hAnsi="仿宋" w:eastAsia="仿宋" w:cs="仿宋"/>
          <w:kern w:val="0"/>
          <w:sz w:val="32"/>
          <w:szCs w:val="32"/>
        </w:rPr>
        <w:t>债权人提供的证据包括但不限于债权发生的基础性文件（如合同、协议、欠条等）、债权人支付凭证（如付款票据、转账单、对账单等）、债权人请求偿付的证明（如催告函）；相关公证文书（如有）；债权变更、存续，诉讼时效中止、中断、延长等证明；债务人已偿付债务证明（如有）；法院、仲裁机构文书（包括但不限于已经判决/正在审理/正在执行案件的起诉状/仲裁申请书、诉讼保全申请书/保全裁定书、判决书/调解书/裁决书/裁定书、执行案件通知书）等。申报有财产担保债权的，还应提交债权由债务人财产提供担保的证据，包括但不限于抵押合同、质押合同、担保物清单、股东（大）会决议/董事会决议，以及相关的担保登记证明（如适用）等。如有保证人、连带债务人等其他依法承担债务清偿义务的主体已依法清偿的，应当在债权申报文件</w:t>
      </w:r>
      <w:r>
        <w:rPr>
          <w:rFonts w:hint="eastAsia" w:ascii="仿宋" w:hAnsi="仿宋" w:eastAsia="仿宋" w:cs="仿宋"/>
          <w:kern w:val="0"/>
          <w:sz w:val="32"/>
          <w:szCs w:val="32"/>
          <w:lang w:val="en-US" w:eastAsia="zh-CN"/>
        </w:rPr>
        <w:t>中</w:t>
      </w:r>
      <w:r>
        <w:rPr>
          <w:rFonts w:hint="eastAsia" w:ascii="仿宋" w:hAnsi="仿宋" w:eastAsia="仿宋" w:cs="仿宋"/>
          <w:kern w:val="0"/>
          <w:sz w:val="32"/>
          <w:szCs w:val="32"/>
        </w:rPr>
        <w:t>说明有关情况（包括但不限于是否通过强制执行程序受偿、受偿时间、受偿金额等）。</w:t>
      </w:r>
    </w:p>
    <w:p w14:paraId="0D7FF2C0">
      <w:pPr>
        <w:widowControl/>
        <w:numPr>
          <w:ilvl w:val="0"/>
          <w:numId w:val="2"/>
        </w:numPr>
        <w:spacing w:before="176" w:beforeLines="30" w:after="176" w:afterLines="30" w:line="480" w:lineRule="exact"/>
        <w:ind w:firstLine="632" w:firstLineChars="200"/>
        <w:rPr>
          <w:rFonts w:hint="eastAsia" w:ascii="仿宋" w:hAnsi="仿宋" w:eastAsia="仿宋" w:cs="仿宋"/>
          <w:kern w:val="0"/>
          <w:sz w:val="32"/>
          <w:szCs w:val="32"/>
        </w:rPr>
      </w:pPr>
      <w:r>
        <w:rPr>
          <w:rFonts w:hint="eastAsia" w:ascii="仿宋" w:hAnsi="仿宋" w:eastAsia="仿宋" w:cs="仿宋"/>
          <w:kern w:val="0"/>
          <w:sz w:val="32"/>
          <w:szCs w:val="32"/>
        </w:rPr>
        <w:t>材料份数及用印要求</w:t>
      </w:r>
    </w:p>
    <w:p w14:paraId="3BCAE2EF">
      <w:pPr>
        <w:widowControl/>
        <w:spacing w:before="176" w:beforeLines="30" w:after="176" w:afterLines="30" w:line="480" w:lineRule="exact"/>
        <w:ind w:firstLine="708" w:firstLineChars="224"/>
        <w:rPr>
          <w:rFonts w:hint="eastAsia" w:ascii="仿宋" w:hAnsi="仿宋" w:eastAsia="仿宋" w:cs="仿宋"/>
          <w:kern w:val="0"/>
          <w:sz w:val="32"/>
          <w:szCs w:val="32"/>
        </w:rPr>
      </w:pPr>
      <w:r>
        <w:rPr>
          <w:rFonts w:hint="eastAsia" w:ascii="仿宋" w:hAnsi="仿宋" w:eastAsia="仿宋" w:cs="仿宋"/>
          <w:kern w:val="0"/>
          <w:sz w:val="32"/>
          <w:szCs w:val="32"/>
        </w:rPr>
        <w:t>债权人将申报材料准备齐全后应逐页加盖印章/加盖骑缝章（机构债权人）或逐页签字捺印（自然人债权人）。</w:t>
      </w:r>
    </w:p>
    <w:p w14:paraId="0B544156">
      <w:pPr>
        <w:widowControl/>
        <w:spacing w:before="176" w:beforeLines="30" w:after="176" w:afterLines="30" w:line="480" w:lineRule="exact"/>
        <w:ind w:firstLine="632" w:firstLineChars="200"/>
        <w:rPr>
          <w:rFonts w:hint="eastAsia" w:ascii="仿宋" w:hAnsi="仿宋" w:eastAsia="仿宋" w:cs="仿宋"/>
          <w:kern w:val="0"/>
          <w:sz w:val="32"/>
          <w:szCs w:val="32"/>
        </w:rPr>
      </w:pPr>
      <w:r>
        <w:rPr>
          <w:rFonts w:hint="eastAsia" w:ascii="仿宋" w:hAnsi="仿宋" w:eastAsia="仿宋" w:cs="仿宋"/>
          <w:kern w:val="0"/>
          <w:sz w:val="32"/>
          <w:szCs w:val="32"/>
        </w:rPr>
        <w:t>债权申报材料目录、债权人主体资格证明材料、法定代表人（负责人）身份证明书、授权委托书、债权人送达地址确认书、债权人虚假申报债权法律风险告知书和诚信申报承诺书，</w:t>
      </w:r>
      <w:r>
        <w:rPr>
          <w:rFonts w:hint="eastAsia" w:ascii="仿宋" w:hAnsi="仿宋" w:eastAsia="仿宋" w:cs="仿宋"/>
          <w:b/>
          <w:kern w:val="0"/>
          <w:sz w:val="32"/>
          <w:szCs w:val="32"/>
          <w:u w:val="single"/>
        </w:rPr>
        <w:t>每家债权人提供一式叁份</w:t>
      </w:r>
      <w:r>
        <w:rPr>
          <w:rFonts w:hint="eastAsia" w:ascii="仿宋" w:hAnsi="仿宋" w:eastAsia="仿宋" w:cs="仿宋"/>
          <w:kern w:val="0"/>
          <w:sz w:val="32"/>
          <w:szCs w:val="32"/>
        </w:rPr>
        <w:t>。</w:t>
      </w:r>
    </w:p>
    <w:p w14:paraId="70FA91E8">
      <w:pPr>
        <w:widowControl/>
        <w:spacing w:before="176" w:beforeLines="30" w:after="176" w:afterLines="30" w:line="480" w:lineRule="exact"/>
        <w:ind w:firstLine="632" w:firstLineChars="200"/>
        <w:rPr>
          <w:rFonts w:hint="eastAsia" w:ascii="仿宋" w:hAnsi="仿宋" w:eastAsia="仿宋" w:cs="仿宋"/>
          <w:kern w:val="0"/>
          <w:sz w:val="32"/>
          <w:szCs w:val="32"/>
        </w:rPr>
      </w:pPr>
      <w:r>
        <w:rPr>
          <w:rFonts w:hint="eastAsia" w:ascii="仿宋" w:hAnsi="仿宋" w:eastAsia="仿宋" w:cs="仿宋"/>
          <w:kern w:val="0"/>
          <w:sz w:val="32"/>
          <w:szCs w:val="32"/>
        </w:rPr>
        <w:t>单笔债权对应材料（债权申报表及证据材料、债权人关于诉讼费用的承诺函），</w:t>
      </w:r>
      <w:r>
        <w:rPr>
          <w:rFonts w:hint="eastAsia" w:ascii="仿宋" w:hAnsi="仿宋" w:eastAsia="仿宋" w:cs="仿宋"/>
          <w:b/>
          <w:kern w:val="0"/>
          <w:sz w:val="32"/>
          <w:szCs w:val="32"/>
          <w:u w:val="single"/>
        </w:rPr>
        <w:t>每笔债权提供一式叁份</w:t>
      </w:r>
      <w:r>
        <w:rPr>
          <w:rFonts w:hint="eastAsia" w:ascii="仿宋" w:hAnsi="仿宋" w:eastAsia="仿宋" w:cs="仿宋"/>
          <w:kern w:val="0"/>
          <w:sz w:val="32"/>
          <w:szCs w:val="32"/>
        </w:rPr>
        <w:t>。</w:t>
      </w:r>
    </w:p>
    <w:p w14:paraId="57BC5250">
      <w:pPr>
        <w:widowControl/>
        <w:numPr>
          <w:ilvl w:val="0"/>
          <w:numId w:val="1"/>
        </w:numPr>
        <w:spacing w:before="176" w:beforeLines="30" w:after="176" w:afterLines="30" w:line="480" w:lineRule="exact"/>
        <w:rPr>
          <w:rFonts w:hint="eastAsia" w:ascii="仿宋" w:hAnsi="仿宋" w:eastAsia="仿宋" w:cs="仿宋"/>
          <w:b/>
          <w:kern w:val="0"/>
          <w:sz w:val="32"/>
          <w:szCs w:val="32"/>
        </w:rPr>
      </w:pPr>
      <w:r>
        <w:rPr>
          <w:rFonts w:hint="eastAsia" w:ascii="仿宋" w:hAnsi="仿宋" w:eastAsia="仿宋" w:cs="仿宋"/>
          <w:b/>
          <w:kern w:val="0"/>
          <w:sz w:val="32"/>
          <w:szCs w:val="32"/>
        </w:rPr>
        <w:t>其他注意事项</w:t>
      </w:r>
    </w:p>
    <w:p w14:paraId="6EAEA997">
      <w:pPr>
        <w:widowControl/>
        <w:spacing w:before="176" w:beforeLines="30" w:after="176" w:afterLines="30" w:line="480" w:lineRule="exact"/>
        <w:ind w:left="567"/>
        <w:rPr>
          <w:rFonts w:hint="eastAsia" w:ascii="仿宋" w:hAnsi="仿宋" w:eastAsia="仿宋" w:cs="仿宋"/>
          <w:kern w:val="0"/>
          <w:sz w:val="32"/>
          <w:szCs w:val="32"/>
        </w:rPr>
      </w:pPr>
      <w:r>
        <w:rPr>
          <w:rFonts w:hint="eastAsia" w:ascii="仿宋" w:hAnsi="仿宋" w:eastAsia="仿宋" w:cs="仿宋"/>
          <w:kern w:val="0"/>
          <w:sz w:val="32"/>
          <w:szCs w:val="32"/>
        </w:rPr>
        <w:t>（一）境外债权人和债权为外币时申报注意事项</w:t>
      </w:r>
    </w:p>
    <w:p w14:paraId="6BA0A33B">
      <w:pPr>
        <w:widowControl/>
        <w:spacing w:before="176" w:beforeLines="30" w:after="176" w:afterLines="30" w:line="480" w:lineRule="exact"/>
        <w:ind w:firstLine="632" w:firstLineChars="200"/>
        <w:rPr>
          <w:rFonts w:hint="eastAsia" w:ascii="仿宋" w:hAnsi="仿宋" w:eastAsia="仿宋" w:cs="仿宋"/>
          <w:kern w:val="0"/>
          <w:sz w:val="32"/>
          <w:szCs w:val="32"/>
        </w:rPr>
      </w:pPr>
      <w:r>
        <w:rPr>
          <w:rFonts w:hint="eastAsia" w:ascii="仿宋" w:hAnsi="仿宋" w:eastAsia="仿宋" w:cs="仿宋"/>
          <w:kern w:val="0"/>
          <w:sz w:val="32"/>
          <w:szCs w:val="32"/>
        </w:rPr>
        <w:t>外国企业或者组织及其代表人提交的身份证明文件，在中国领域内没有住所的外国人、无国籍人及外国企业、组织从中国域外寄交或托交的授权委托书，应依法经所在国公证机关证明并经中国驻该国使、领馆认证，或者履行中国与该所在国订立的有关条约中规定的证明手续；外国人、外国企业或组织的代表人在中国境内签署的授权委托书，需经中国公证机构公证；债权人提交的在中国领域外形成的涉及身份关系的证据，应依法经所在国公证机关证明并经中国驻该国使、领馆认证，或者履行中国与该所在国订立的有关条约中规定的证明手续；债权人提交的在中国领域外形成的公文书证，应依法经所在国公证机关证明，或者履行中国与该所在国订立的有关条约中规定的证明手续。</w:t>
      </w:r>
    </w:p>
    <w:p w14:paraId="27EF45C3">
      <w:pPr>
        <w:widowControl/>
        <w:spacing w:before="176" w:beforeLines="30" w:after="176" w:afterLines="30" w:line="480" w:lineRule="exact"/>
        <w:ind w:firstLine="632" w:firstLineChars="200"/>
        <w:rPr>
          <w:rFonts w:hint="eastAsia" w:ascii="仿宋" w:hAnsi="仿宋" w:eastAsia="仿宋" w:cs="仿宋"/>
          <w:kern w:val="0"/>
          <w:sz w:val="32"/>
          <w:szCs w:val="32"/>
        </w:rPr>
      </w:pPr>
      <w:r>
        <w:rPr>
          <w:rFonts w:hint="eastAsia" w:ascii="仿宋" w:hAnsi="仿宋" w:eastAsia="仿宋" w:cs="仿宋"/>
          <w:kern w:val="0"/>
          <w:sz w:val="32"/>
          <w:szCs w:val="32"/>
        </w:rPr>
        <w:t>港澳债权人进行债权申报的，应提交经注册地公证、认证机构公证、认证的商业登记等身份证明材料，自然人为证明身份提交的港澳通行证等证件，无需再办理公证认证等证明手续；对于发生在香港地区的具有法律意义的事件和文书，需提交经中国司法部委托的委托公证人出具并经司法部中国法律服务（香港）有限公司审核加章转递的公证证明；澳门债权人提供的资料，需经澳门特区政府公证部门或内地认可的公证人核证，并经中国法律服务（澳门）公司加盖核验章；在港澳台地区形成的所有证据材料，均应当依法履行相关证明手续。</w:t>
      </w:r>
    </w:p>
    <w:p w14:paraId="3DAD0097">
      <w:pPr>
        <w:widowControl/>
        <w:spacing w:before="176" w:beforeLines="30" w:after="176" w:afterLines="30" w:line="480" w:lineRule="exact"/>
        <w:ind w:firstLine="632" w:firstLineChars="200"/>
        <w:rPr>
          <w:rFonts w:hint="eastAsia" w:ascii="仿宋" w:hAnsi="仿宋" w:eastAsia="仿宋" w:cs="仿宋"/>
          <w:kern w:val="0"/>
          <w:sz w:val="32"/>
          <w:szCs w:val="32"/>
        </w:rPr>
      </w:pPr>
      <w:r>
        <w:rPr>
          <w:rFonts w:hint="eastAsia" w:ascii="仿宋" w:hAnsi="仿宋" w:eastAsia="仿宋" w:cs="仿宋"/>
          <w:kern w:val="0"/>
          <w:sz w:val="32"/>
          <w:szCs w:val="32"/>
        </w:rPr>
        <w:t>申报债权币种为外币的，按照中国外汇交易中心或者中国人民银行授权机构公布的人民币与该种外币汇率中间价折算为人民币；没有中间价的，按照现汇买入价折算；没有现汇买入价的，按照现钞买入价折算。</w:t>
      </w:r>
    </w:p>
    <w:p w14:paraId="30FC68B7">
      <w:pPr>
        <w:widowControl/>
        <w:spacing w:before="176" w:beforeLines="30" w:after="176" w:afterLines="30" w:line="480" w:lineRule="exact"/>
        <w:ind w:left="567"/>
        <w:rPr>
          <w:rFonts w:hint="eastAsia" w:ascii="仿宋" w:hAnsi="仿宋" w:eastAsia="仿宋" w:cs="仿宋"/>
          <w:kern w:val="0"/>
          <w:sz w:val="32"/>
          <w:szCs w:val="32"/>
        </w:rPr>
      </w:pPr>
      <w:r>
        <w:rPr>
          <w:rFonts w:hint="eastAsia" w:ascii="仿宋" w:hAnsi="仿宋" w:eastAsia="仿宋" w:cs="仿宋"/>
          <w:kern w:val="0"/>
          <w:sz w:val="32"/>
          <w:szCs w:val="32"/>
        </w:rPr>
        <w:t>（二）</w:t>
      </w:r>
      <w:r>
        <w:rPr>
          <w:rFonts w:hint="eastAsia" w:ascii="仿宋" w:hAnsi="仿宋" w:eastAsia="仿宋" w:cs="仿宋"/>
          <w:kern w:val="0"/>
          <w:sz w:val="32"/>
          <w:szCs w:val="32"/>
          <w:lang w:val="en-US" w:eastAsia="zh-CN"/>
        </w:rPr>
        <w:t>和解程序与预重整程序的衔接</w:t>
      </w:r>
    </w:p>
    <w:p w14:paraId="5967F299">
      <w:pPr>
        <w:widowControl/>
        <w:spacing w:before="176" w:beforeLines="30" w:after="176" w:afterLines="30" w:line="480" w:lineRule="exact"/>
        <w:ind w:firstLine="632" w:firstLineChars="200"/>
        <w:rPr>
          <w:rFonts w:hint="eastAsia" w:ascii="仿宋" w:hAnsi="仿宋" w:eastAsia="仿宋" w:cs="仿宋"/>
          <w:kern w:val="0"/>
          <w:sz w:val="32"/>
          <w:szCs w:val="32"/>
        </w:rPr>
      </w:pPr>
      <w:bookmarkStart w:id="6" w:name="bookmark13"/>
      <w:bookmarkEnd w:id="6"/>
      <w:r>
        <w:rPr>
          <w:rFonts w:hint="eastAsia" w:ascii="仿宋" w:hAnsi="仿宋" w:eastAsia="仿宋" w:cs="仿宋"/>
          <w:kern w:val="0"/>
          <w:sz w:val="32"/>
          <w:szCs w:val="32"/>
          <w:lang w:val="en-US" w:eastAsia="zh-CN"/>
        </w:rPr>
        <w:t>1.</w:t>
      </w:r>
      <w:r>
        <w:rPr>
          <w:rFonts w:hint="eastAsia" w:ascii="仿宋" w:hAnsi="仿宋" w:eastAsia="仿宋" w:cs="仿宋"/>
          <w:kern w:val="0"/>
          <w:sz w:val="32"/>
          <w:szCs w:val="32"/>
        </w:rPr>
        <w:t>由债权人申报利息的，</w:t>
      </w:r>
      <w:r>
        <w:rPr>
          <w:rFonts w:hint="eastAsia" w:ascii="仿宋" w:hAnsi="仿宋" w:eastAsia="仿宋" w:cs="仿宋"/>
          <w:b/>
          <w:bCs/>
          <w:kern w:val="0"/>
          <w:sz w:val="32"/>
          <w:szCs w:val="32"/>
          <w:u w:val="single"/>
        </w:rPr>
        <w:t>利息计算至</w:t>
      </w:r>
      <w:r>
        <w:rPr>
          <w:rFonts w:hint="eastAsia" w:ascii="仿宋" w:hAnsi="仿宋" w:eastAsia="仿宋" w:cs="仿宋"/>
          <w:b/>
          <w:bCs/>
          <w:kern w:val="0"/>
          <w:sz w:val="32"/>
          <w:szCs w:val="32"/>
          <w:u w:val="single"/>
          <w:lang w:val="en-US" w:eastAsia="zh-CN"/>
        </w:rPr>
        <w:t>2026</w:t>
      </w:r>
      <w:r>
        <w:rPr>
          <w:rFonts w:hint="eastAsia" w:ascii="仿宋" w:hAnsi="仿宋" w:eastAsia="仿宋" w:cs="仿宋"/>
          <w:b/>
          <w:bCs/>
          <w:kern w:val="0"/>
          <w:sz w:val="32"/>
          <w:szCs w:val="32"/>
          <w:u w:val="single"/>
        </w:rPr>
        <w:t>年</w:t>
      </w:r>
      <w:r>
        <w:rPr>
          <w:rFonts w:hint="eastAsia" w:ascii="仿宋" w:hAnsi="仿宋" w:eastAsia="仿宋" w:cs="仿宋"/>
          <w:b/>
          <w:bCs/>
          <w:kern w:val="0"/>
          <w:sz w:val="32"/>
          <w:szCs w:val="32"/>
          <w:u w:val="single"/>
          <w:lang w:val="en-US" w:eastAsia="zh-CN"/>
        </w:rPr>
        <w:t>2</w:t>
      </w:r>
      <w:r>
        <w:rPr>
          <w:rFonts w:hint="eastAsia" w:ascii="仿宋" w:hAnsi="仿宋" w:eastAsia="仿宋" w:cs="仿宋"/>
          <w:b/>
          <w:bCs/>
          <w:kern w:val="0"/>
          <w:sz w:val="32"/>
          <w:szCs w:val="32"/>
          <w:u w:val="single"/>
        </w:rPr>
        <w:t>月</w:t>
      </w:r>
      <w:r>
        <w:rPr>
          <w:rFonts w:hint="eastAsia" w:ascii="仿宋" w:hAnsi="仿宋" w:eastAsia="仿宋" w:cs="仿宋"/>
          <w:b/>
          <w:bCs/>
          <w:kern w:val="0"/>
          <w:sz w:val="32"/>
          <w:szCs w:val="32"/>
          <w:u w:val="single"/>
          <w:lang w:val="en-US" w:eastAsia="zh-CN"/>
        </w:rPr>
        <w:t>13</w:t>
      </w:r>
      <w:r>
        <w:rPr>
          <w:rFonts w:hint="eastAsia" w:ascii="仿宋" w:hAnsi="仿宋" w:eastAsia="仿宋" w:cs="仿宋"/>
          <w:b/>
          <w:bCs/>
          <w:kern w:val="0"/>
          <w:sz w:val="32"/>
          <w:szCs w:val="32"/>
          <w:u w:val="single"/>
        </w:rPr>
        <w:t>日（含当日）</w:t>
      </w:r>
      <w:r>
        <w:rPr>
          <w:rFonts w:hint="eastAsia" w:ascii="仿宋" w:hAnsi="仿宋" w:eastAsia="仿宋" w:cs="仿宋"/>
          <w:kern w:val="0"/>
          <w:sz w:val="32"/>
          <w:szCs w:val="32"/>
        </w:rPr>
        <w:t>。</w:t>
      </w:r>
    </w:p>
    <w:p w14:paraId="37E76216">
      <w:pPr>
        <w:widowControl/>
        <w:spacing w:before="176" w:beforeLines="30" w:after="176" w:afterLines="30" w:line="480" w:lineRule="exact"/>
        <w:ind w:firstLine="632" w:firstLineChars="200"/>
        <w:rPr>
          <w:rFonts w:hint="eastAsia" w:ascii="仿宋" w:hAnsi="仿宋" w:eastAsia="仿宋" w:cs="仿宋"/>
          <w:kern w:val="0"/>
          <w:sz w:val="32"/>
          <w:szCs w:val="32"/>
        </w:rPr>
      </w:pPr>
      <w:r>
        <w:rPr>
          <w:rFonts w:hint="eastAsia" w:ascii="仿宋" w:hAnsi="仿宋" w:eastAsia="仿宋" w:cs="仿宋"/>
          <w:kern w:val="0"/>
          <w:sz w:val="32"/>
          <w:szCs w:val="32"/>
          <w:lang w:val="en-US" w:eastAsia="zh-CN"/>
        </w:rPr>
        <w:t>2.预重整</w:t>
      </w:r>
      <w:r>
        <w:rPr>
          <w:rFonts w:hint="eastAsia" w:ascii="仿宋" w:hAnsi="仿宋" w:eastAsia="仿宋" w:cs="仿宋"/>
          <w:kern w:val="0"/>
          <w:sz w:val="32"/>
          <w:szCs w:val="32"/>
        </w:rPr>
        <w:t>期间已向</w:t>
      </w:r>
      <w:r>
        <w:rPr>
          <w:rFonts w:hint="eastAsia" w:ascii="仿宋" w:hAnsi="仿宋" w:eastAsia="仿宋" w:cs="仿宋"/>
          <w:kern w:val="0"/>
          <w:sz w:val="32"/>
          <w:szCs w:val="32"/>
          <w:lang w:val="en-US" w:eastAsia="zh-CN"/>
        </w:rPr>
        <w:t>乐颐公司临时</w:t>
      </w:r>
      <w:r>
        <w:rPr>
          <w:rFonts w:hint="eastAsia" w:ascii="仿宋" w:hAnsi="仿宋" w:eastAsia="仿宋" w:cs="仿宋"/>
          <w:kern w:val="0"/>
          <w:sz w:val="32"/>
          <w:szCs w:val="32"/>
          <w:lang w:eastAsia="zh-CN"/>
        </w:rPr>
        <w:t>管理人</w:t>
      </w:r>
      <w:r>
        <w:rPr>
          <w:rFonts w:hint="eastAsia" w:ascii="仿宋" w:hAnsi="仿宋" w:eastAsia="仿宋" w:cs="仿宋"/>
          <w:kern w:val="0"/>
          <w:sz w:val="32"/>
          <w:szCs w:val="32"/>
        </w:rPr>
        <w:t>申报债权的债权人无需再向管理人申报债权。</w:t>
      </w:r>
      <w:r>
        <w:rPr>
          <w:rFonts w:hint="eastAsia" w:ascii="仿宋" w:hAnsi="仿宋" w:eastAsia="仿宋" w:cs="仿宋"/>
          <w:kern w:val="0"/>
          <w:sz w:val="32"/>
          <w:szCs w:val="32"/>
          <w:lang w:val="en-US" w:eastAsia="zh-CN"/>
        </w:rPr>
        <w:t>预重整</w:t>
      </w:r>
      <w:r>
        <w:rPr>
          <w:rFonts w:hint="eastAsia" w:ascii="仿宋" w:hAnsi="仿宋" w:eastAsia="仿宋" w:cs="仿宋"/>
          <w:kern w:val="0"/>
          <w:sz w:val="32"/>
          <w:szCs w:val="32"/>
        </w:rPr>
        <w:t>期间</w:t>
      </w:r>
      <w:r>
        <w:rPr>
          <w:rFonts w:hint="eastAsia" w:ascii="仿宋" w:hAnsi="仿宋" w:eastAsia="仿宋" w:cs="仿宋"/>
          <w:kern w:val="0"/>
          <w:sz w:val="32"/>
          <w:szCs w:val="32"/>
          <w:lang w:val="en-US" w:eastAsia="zh-CN"/>
        </w:rPr>
        <w:t>临时</w:t>
      </w:r>
      <w:r>
        <w:rPr>
          <w:rFonts w:hint="eastAsia" w:ascii="仿宋" w:hAnsi="仿宋" w:eastAsia="仿宋" w:cs="仿宋"/>
          <w:kern w:val="0"/>
          <w:sz w:val="32"/>
          <w:szCs w:val="32"/>
          <w:lang w:eastAsia="zh-CN"/>
        </w:rPr>
        <w:t>管理人</w:t>
      </w:r>
      <w:r>
        <w:rPr>
          <w:rFonts w:hint="eastAsia" w:ascii="仿宋" w:hAnsi="仿宋" w:eastAsia="仿宋" w:cs="仿宋"/>
          <w:kern w:val="0"/>
          <w:sz w:val="32"/>
          <w:szCs w:val="32"/>
        </w:rPr>
        <w:t>对法律关系成立与否、债权性质、债权本金的审查和确认在</w:t>
      </w:r>
      <w:r>
        <w:rPr>
          <w:rFonts w:hint="eastAsia" w:ascii="仿宋" w:hAnsi="仿宋" w:eastAsia="仿宋" w:cs="仿宋"/>
          <w:kern w:val="0"/>
          <w:sz w:val="32"/>
          <w:szCs w:val="32"/>
          <w:lang w:val="en-US" w:eastAsia="zh-CN"/>
        </w:rPr>
        <w:t>和解</w:t>
      </w:r>
      <w:r>
        <w:rPr>
          <w:rFonts w:hint="eastAsia" w:ascii="仿宋" w:hAnsi="仿宋" w:eastAsia="仿宋" w:cs="仿宋"/>
          <w:kern w:val="0"/>
          <w:sz w:val="32"/>
          <w:szCs w:val="32"/>
        </w:rPr>
        <w:t>程序中具有同等法律效力。</w:t>
      </w:r>
    </w:p>
    <w:p w14:paraId="52238729">
      <w:pPr>
        <w:widowControl/>
        <w:spacing w:before="176" w:beforeLines="30" w:after="176" w:afterLines="30" w:line="480" w:lineRule="exact"/>
        <w:ind w:firstLine="632" w:firstLineChars="200"/>
        <w:rPr>
          <w:rFonts w:hint="eastAsia" w:ascii="仿宋" w:hAnsi="仿宋" w:eastAsia="仿宋" w:cs="仿宋"/>
          <w:kern w:val="0"/>
          <w:sz w:val="32"/>
          <w:szCs w:val="32"/>
        </w:rPr>
      </w:pPr>
      <w:r>
        <w:rPr>
          <w:rFonts w:hint="eastAsia" w:ascii="仿宋" w:hAnsi="仿宋" w:eastAsia="仿宋" w:cs="仿宋"/>
          <w:kern w:val="0"/>
          <w:sz w:val="32"/>
          <w:szCs w:val="32"/>
          <w:lang w:val="en-US" w:eastAsia="zh-CN"/>
        </w:rPr>
        <w:t>3.</w:t>
      </w:r>
      <w:r>
        <w:rPr>
          <w:rFonts w:hint="eastAsia" w:ascii="仿宋" w:hAnsi="仿宋" w:eastAsia="仿宋" w:cs="仿宋"/>
          <w:kern w:val="0"/>
          <w:sz w:val="32"/>
          <w:szCs w:val="32"/>
          <w:lang w:eastAsia="zh-CN"/>
        </w:rPr>
        <w:t>邯郸中院</w:t>
      </w:r>
      <w:r>
        <w:rPr>
          <w:rFonts w:hint="eastAsia" w:ascii="仿宋" w:hAnsi="仿宋" w:eastAsia="仿宋" w:cs="仿宋"/>
          <w:kern w:val="0"/>
          <w:sz w:val="32"/>
          <w:szCs w:val="32"/>
        </w:rPr>
        <w:t>裁定受理</w:t>
      </w:r>
      <w:r>
        <w:rPr>
          <w:rFonts w:hint="eastAsia" w:ascii="仿宋" w:hAnsi="仿宋" w:eastAsia="仿宋" w:cs="仿宋"/>
          <w:kern w:val="0"/>
          <w:sz w:val="32"/>
          <w:szCs w:val="32"/>
          <w:lang w:eastAsia="zh-CN"/>
        </w:rPr>
        <w:t>乐颐公司</w:t>
      </w:r>
      <w:r>
        <w:rPr>
          <w:rFonts w:hint="eastAsia" w:ascii="仿宋" w:hAnsi="仿宋" w:eastAsia="仿宋" w:cs="仿宋"/>
          <w:kern w:val="0"/>
          <w:sz w:val="32"/>
          <w:szCs w:val="32"/>
        </w:rPr>
        <w:t>破产</w:t>
      </w:r>
      <w:r>
        <w:rPr>
          <w:rFonts w:hint="eastAsia" w:ascii="仿宋" w:hAnsi="仿宋" w:eastAsia="仿宋" w:cs="仿宋"/>
          <w:kern w:val="0"/>
          <w:sz w:val="32"/>
          <w:szCs w:val="32"/>
          <w:lang w:val="en-US" w:eastAsia="zh-CN"/>
        </w:rPr>
        <w:t>和解</w:t>
      </w:r>
      <w:r>
        <w:rPr>
          <w:rFonts w:hint="eastAsia" w:ascii="仿宋" w:hAnsi="仿宋" w:eastAsia="仿宋" w:cs="仿宋"/>
          <w:kern w:val="0"/>
          <w:sz w:val="32"/>
          <w:szCs w:val="32"/>
        </w:rPr>
        <w:t>并指定</w:t>
      </w:r>
      <w:r>
        <w:rPr>
          <w:rFonts w:hint="eastAsia" w:ascii="仿宋" w:hAnsi="仿宋" w:eastAsia="仿宋" w:cs="仿宋"/>
          <w:kern w:val="0"/>
          <w:sz w:val="32"/>
          <w:szCs w:val="32"/>
          <w:lang w:val="en-US" w:eastAsia="zh-CN"/>
        </w:rPr>
        <w:t>的</w:t>
      </w:r>
      <w:r>
        <w:rPr>
          <w:rFonts w:hint="eastAsia" w:ascii="仿宋" w:hAnsi="仿宋" w:eastAsia="仿宋" w:cs="仿宋"/>
          <w:kern w:val="0"/>
          <w:sz w:val="32"/>
          <w:szCs w:val="32"/>
        </w:rPr>
        <w:t>管理人，可以依照《中华人民共和国企业破产法》</w:t>
      </w:r>
      <w:r>
        <w:rPr>
          <w:rFonts w:hint="eastAsia" w:ascii="仿宋" w:hAnsi="仿宋" w:eastAsia="仿宋" w:cs="仿宋"/>
          <w:kern w:val="0"/>
          <w:sz w:val="32"/>
          <w:szCs w:val="32"/>
          <w:lang w:eastAsia="zh-CN"/>
        </w:rPr>
        <w:t>（</w:t>
      </w:r>
      <w:r>
        <w:rPr>
          <w:rFonts w:hint="eastAsia" w:ascii="仿宋" w:hAnsi="仿宋" w:eastAsia="仿宋" w:cs="仿宋"/>
          <w:kern w:val="0"/>
          <w:sz w:val="32"/>
          <w:szCs w:val="32"/>
          <w:lang w:val="en-US" w:eastAsia="zh-CN"/>
        </w:rPr>
        <w:t>以下简称“《企业破产法》”</w:t>
      </w:r>
      <w:r>
        <w:rPr>
          <w:rFonts w:hint="eastAsia" w:ascii="仿宋" w:hAnsi="仿宋" w:eastAsia="仿宋" w:cs="仿宋"/>
          <w:kern w:val="0"/>
          <w:sz w:val="32"/>
          <w:szCs w:val="32"/>
          <w:lang w:eastAsia="zh-CN"/>
        </w:rPr>
        <w:t>）</w:t>
      </w:r>
      <w:r>
        <w:rPr>
          <w:rFonts w:hint="eastAsia" w:ascii="仿宋" w:hAnsi="仿宋" w:eastAsia="仿宋" w:cs="仿宋"/>
          <w:kern w:val="0"/>
          <w:sz w:val="32"/>
          <w:szCs w:val="32"/>
        </w:rPr>
        <w:t>等法律法规的规定，对债权人享有的利息（如有）等债权部分依法调整。</w:t>
      </w:r>
      <w:bookmarkStart w:id="7" w:name="bookmark15"/>
      <w:bookmarkEnd w:id="7"/>
      <w:r>
        <w:rPr>
          <w:rFonts w:hint="eastAsia" w:ascii="仿宋" w:hAnsi="仿宋" w:eastAsia="仿宋" w:cs="仿宋"/>
          <w:kern w:val="0"/>
          <w:sz w:val="32"/>
          <w:szCs w:val="32"/>
        </w:rPr>
        <w:t>债权人在</w:t>
      </w:r>
      <w:r>
        <w:rPr>
          <w:rFonts w:hint="eastAsia" w:ascii="仿宋" w:hAnsi="仿宋" w:eastAsia="仿宋" w:cs="仿宋"/>
          <w:kern w:val="0"/>
          <w:sz w:val="32"/>
          <w:szCs w:val="32"/>
          <w:lang w:val="en-US" w:eastAsia="zh-CN"/>
        </w:rPr>
        <w:t>预重整</w:t>
      </w:r>
      <w:r>
        <w:rPr>
          <w:rFonts w:hint="eastAsia" w:ascii="仿宋" w:hAnsi="仿宋" w:eastAsia="仿宋" w:cs="仿宋"/>
          <w:kern w:val="0"/>
          <w:sz w:val="32"/>
          <w:szCs w:val="32"/>
        </w:rPr>
        <w:t>阶段已申报债权利息等费用的，管理人将根据《企业破产法》第四十六条第二款的规定追加计算利息等费用至</w:t>
      </w:r>
      <w:r>
        <w:rPr>
          <w:rFonts w:hint="eastAsia" w:ascii="仿宋" w:hAnsi="仿宋" w:eastAsia="仿宋" w:cs="仿宋"/>
          <w:kern w:val="0"/>
          <w:sz w:val="32"/>
          <w:szCs w:val="32"/>
          <w:lang w:val="en-US" w:eastAsia="zh-CN"/>
        </w:rPr>
        <w:t>和解受理之日</w:t>
      </w:r>
      <w:r>
        <w:rPr>
          <w:rFonts w:hint="eastAsia" w:ascii="仿宋" w:hAnsi="仿宋" w:eastAsia="仿宋" w:cs="仿宋"/>
          <w:kern w:val="0"/>
          <w:sz w:val="32"/>
          <w:szCs w:val="32"/>
        </w:rPr>
        <w:t>。</w:t>
      </w:r>
    </w:p>
    <w:p w14:paraId="12308CC0">
      <w:pPr>
        <w:widowControl/>
        <w:spacing w:before="176" w:beforeLines="30" w:after="176" w:afterLines="30" w:line="480" w:lineRule="exact"/>
        <w:ind w:firstLine="632" w:firstLineChars="200"/>
        <w:rPr>
          <w:rFonts w:hint="eastAsia" w:ascii="仿宋" w:hAnsi="仿宋" w:eastAsia="仿宋" w:cs="仿宋"/>
          <w:kern w:val="0"/>
          <w:sz w:val="32"/>
          <w:szCs w:val="32"/>
        </w:rPr>
      </w:pPr>
      <w:r>
        <w:rPr>
          <w:rFonts w:hint="eastAsia" w:ascii="仿宋" w:hAnsi="仿宋" w:eastAsia="仿宋" w:cs="仿宋"/>
          <w:kern w:val="0"/>
          <w:sz w:val="32"/>
          <w:szCs w:val="32"/>
          <w:lang w:val="en-US" w:eastAsia="zh-CN"/>
        </w:rPr>
        <w:t>4.</w:t>
      </w:r>
      <w:r>
        <w:rPr>
          <w:rFonts w:hint="eastAsia" w:ascii="仿宋" w:hAnsi="仿宋" w:eastAsia="仿宋" w:cs="仿宋"/>
          <w:kern w:val="0"/>
          <w:sz w:val="32"/>
          <w:szCs w:val="32"/>
          <w:lang w:eastAsia="zh-CN"/>
        </w:rPr>
        <w:t>邯郸中院</w:t>
      </w:r>
      <w:r>
        <w:rPr>
          <w:rFonts w:hint="eastAsia" w:ascii="仿宋" w:hAnsi="仿宋" w:eastAsia="仿宋" w:cs="仿宋"/>
          <w:kern w:val="0"/>
          <w:sz w:val="32"/>
          <w:szCs w:val="32"/>
        </w:rPr>
        <w:t>正式裁定受理</w:t>
      </w:r>
      <w:r>
        <w:rPr>
          <w:rFonts w:hint="eastAsia" w:ascii="仿宋" w:hAnsi="仿宋" w:eastAsia="仿宋" w:cs="仿宋"/>
          <w:kern w:val="0"/>
          <w:sz w:val="32"/>
          <w:szCs w:val="32"/>
          <w:lang w:val="en-US" w:eastAsia="zh-CN"/>
        </w:rPr>
        <w:t>和解</w:t>
      </w:r>
      <w:r>
        <w:rPr>
          <w:rFonts w:hint="eastAsia" w:ascii="仿宋" w:hAnsi="仿宋" w:eastAsia="仿宋" w:cs="仿宋"/>
          <w:kern w:val="0"/>
          <w:sz w:val="32"/>
          <w:szCs w:val="32"/>
        </w:rPr>
        <w:t>前，债权人已完成申报程序的，管理人可以依法根据债权人已提交的申报材料审查确认债权并提交债权人会议核查。</w:t>
      </w:r>
    </w:p>
    <w:p w14:paraId="6C218069">
      <w:pPr>
        <w:widowControl/>
        <w:spacing w:before="176" w:beforeLines="30" w:after="176" w:afterLines="30" w:line="480" w:lineRule="exact"/>
        <w:ind w:left="567"/>
        <w:rPr>
          <w:rFonts w:hint="eastAsia" w:ascii="仿宋" w:hAnsi="仿宋" w:eastAsia="仿宋" w:cs="仿宋"/>
          <w:kern w:val="0"/>
          <w:sz w:val="32"/>
          <w:szCs w:val="32"/>
        </w:rPr>
      </w:pPr>
      <w:r>
        <w:rPr>
          <w:rFonts w:hint="eastAsia" w:ascii="仿宋" w:hAnsi="仿宋" w:eastAsia="仿宋" w:cs="仿宋"/>
          <w:kern w:val="0"/>
          <w:sz w:val="32"/>
          <w:szCs w:val="32"/>
        </w:rPr>
        <w:t>（三）全面、完整、真实、清晰填写材料</w:t>
      </w:r>
    </w:p>
    <w:p w14:paraId="5C482F75">
      <w:pPr>
        <w:widowControl/>
        <w:spacing w:before="176" w:beforeLines="30" w:after="176" w:afterLines="30" w:line="480" w:lineRule="exact"/>
        <w:ind w:firstLine="632" w:firstLineChars="200"/>
        <w:rPr>
          <w:rFonts w:hint="eastAsia" w:ascii="仿宋" w:hAnsi="仿宋" w:eastAsia="仿宋" w:cs="仿宋"/>
          <w:kern w:val="0"/>
          <w:sz w:val="32"/>
          <w:szCs w:val="32"/>
        </w:rPr>
      </w:pPr>
      <w:r>
        <w:rPr>
          <w:rFonts w:hint="eastAsia" w:ascii="仿宋" w:hAnsi="仿宋" w:eastAsia="仿宋" w:cs="仿宋"/>
          <w:kern w:val="0"/>
          <w:sz w:val="32"/>
          <w:szCs w:val="32"/>
        </w:rPr>
        <w:t>为提高审查和沟通效率，各债权人向</w:t>
      </w:r>
      <w:r>
        <w:rPr>
          <w:rFonts w:hint="eastAsia" w:ascii="仿宋" w:hAnsi="仿宋" w:eastAsia="仿宋" w:cs="仿宋"/>
          <w:kern w:val="0"/>
          <w:sz w:val="32"/>
          <w:szCs w:val="32"/>
          <w:lang w:eastAsia="zh-CN"/>
        </w:rPr>
        <w:t>管理人</w:t>
      </w:r>
      <w:r>
        <w:rPr>
          <w:rFonts w:hint="eastAsia" w:ascii="仿宋" w:hAnsi="仿宋" w:eastAsia="仿宋" w:cs="仿宋"/>
          <w:kern w:val="0"/>
          <w:sz w:val="32"/>
          <w:szCs w:val="32"/>
        </w:rPr>
        <w:t>提交材料前，务必检查所有附件的空白部分是否均已填写、勾选，债权形成过程叙述是否清晰、完整、全面，证明各项债权情况的证据是否全部提交（如有关协议，判决书、裁定书、执行通知书等生效法律文书、有关法律文书的生效证明等）。若债权申报材料有增、删、修改痕迹的，应当于增、删、涂改处加盖公章（机构）或签字并捺印（自然人）。</w:t>
      </w:r>
    </w:p>
    <w:p w14:paraId="158A557C">
      <w:pPr>
        <w:widowControl/>
        <w:spacing w:before="176" w:beforeLines="30" w:after="176" w:afterLines="30" w:line="480" w:lineRule="exact"/>
        <w:ind w:firstLine="632" w:firstLineChars="200"/>
        <w:rPr>
          <w:rFonts w:hint="eastAsia" w:ascii="仿宋" w:hAnsi="仿宋" w:eastAsia="仿宋" w:cs="仿宋"/>
          <w:kern w:val="0"/>
          <w:sz w:val="32"/>
          <w:szCs w:val="32"/>
        </w:rPr>
      </w:pPr>
      <w:r>
        <w:rPr>
          <w:rFonts w:hint="eastAsia" w:ascii="仿宋" w:hAnsi="仿宋" w:eastAsia="仿宋" w:cs="仿宋"/>
          <w:kern w:val="0"/>
          <w:sz w:val="32"/>
          <w:szCs w:val="32"/>
        </w:rPr>
        <w:t>债权人申报虚假债权或提供虚假申报材料，损害其他债权人利益的，</w:t>
      </w:r>
      <w:r>
        <w:rPr>
          <w:rFonts w:hint="eastAsia" w:ascii="仿宋" w:hAnsi="仿宋" w:eastAsia="仿宋" w:cs="仿宋"/>
          <w:kern w:val="0"/>
          <w:sz w:val="32"/>
          <w:szCs w:val="32"/>
          <w:lang w:eastAsia="zh-CN"/>
        </w:rPr>
        <w:t>管理人</w:t>
      </w:r>
      <w:r>
        <w:rPr>
          <w:rFonts w:hint="eastAsia" w:ascii="仿宋" w:hAnsi="仿宋" w:eastAsia="仿宋" w:cs="仿宋"/>
          <w:kern w:val="0"/>
          <w:sz w:val="32"/>
          <w:szCs w:val="32"/>
        </w:rPr>
        <w:t>将及时向有关机构报告，并要求公司移送相关材料至公安机关或人民法院追究虚假申报人责任。</w:t>
      </w:r>
    </w:p>
    <w:p w14:paraId="1B084B07">
      <w:pPr>
        <w:widowControl/>
        <w:spacing w:before="176" w:beforeLines="30" w:after="176" w:afterLines="30" w:line="480" w:lineRule="exact"/>
        <w:ind w:firstLine="632" w:firstLineChars="200"/>
        <w:rPr>
          <w:rFonts w:hint="eastAsia" w:ascii="仿宋" w:hAnsi="仿宋" w:eastAsia="仿宋" w:cs="仿宋"/>
          <w:kern w:val="0"/>
          <w:sz w:val="32"/>
          <w:szCs w:val="32"/>
        </w:rPr>
      </w:pPr>
      <w:r>
        <w:rPr>
          <w:rFonts w:hint="eastAsia" w:ascii="仿宋" w:hAnsi="仿宋" w:eastAsia="仿宋" w:cs="仿宋"/>
          <w:kern w:val="0"/>
          <w:sz w:val="32"/>
          <w:szCs w:val="32"/>
        </w:rPr>
        <w:t>本次债权申报及登记不构成确权，不构成对无效债权（包括但不限于已过诉讼时效的债权等）的重新有效确认。</w:t>
      </w:r>
    </w:p>
    <w:p w14:paraId="58518A52">
      <w:pPr>
        <w:widowControl/>
        <w:spacing w:before="176" w:beforeLines="30" w:after="176" w:afterLines="30" w:line="480" w:lineRule="exact"/>
        <w:ind w:firstLine="632" w:firstLineChars="200"/>
        <w:rPr>
          <w:rFonts w:hint="eastAsia" w:ascii="仿宋" w:hAnsi="仿宋" w:eastAsia="仿宋" w:cs="仿宋"/>
          <w:kern w:val="0"/>
          <w:sz w:val="32"/>
          <w:szCs w:val="32"/>
        </w:rPr>
      </w:pPr>
      <w:r>
        <w:rPr>
          <w:rFonts w:hint="eastAsia" w:ascii="仿宋" w:hAnsi="仿宋" w:eastAsia="仿宋" w:cs="仿宋"/>
          <w:kern w:val="0"/>
          <w:sz w:val="32"/>
          <w:szCs w:val="32"/>
        </w:rPr>
        <w:t>债权申报材料清单如下：</w:t>
      </w:r>
    </w:p>
    <w:p w14:paraId="7DA47435">
      <w:pPr>
        <w:widowControl/>
        <w:numPr>
          <w:ilvl w:val="0"/>
          <w:numId w:val="6"/>
        </w:numPr>
        <w:spacing w:before="176" w:beforeLines="30" w:after="176" w:afterLines="30" w:line="480" w:lineRule="exact"/>
        <w:ind w:firstLine="28" w:firstLineChars="9"/>
        <w:rPr>
          <w:rFonts w:hint="eastAsia" w:ascii="仿宋" w:hAnsi="仿宋" w:eastAsia="仿宋" w:cs="仿宋"/>
          <w:kern w:val="0"/>
          <w:sz w:val="32"/>
          <w:szCs w:val="32"/>
        </w:rPr>
      </w:pPr>
      <w:r>
        <w:rPr>
          <w:rFonts w:hint="eastAsia" w:ascii="仿宋" w:hAnsi="仿宋" w:eastAsia="仿宋" w:cs="仿宋"/>
          <w:kern w:val="0"/>
          <w:sz w:val="32"/>
          <w:szCs w:val="32"/>
        </w:rPr>
        <w:t>债权申报材料目录</w:t>
      </w:r>
    </w:p>
    <w:p w14:paraId="4B345E6E">
      <w:pPr>
        <w:widowControl/>
        <w:numPr>
          <w:ilvl w:val="0"/>
          <w:numId w:val="6"/>
        </w:numPr>
        <w:spacing w:before="176" w:beforeLines="30" w:after="176" w:afterLines="30" w:line="480" w:lineRule="exact"/>
        <w:ind w:firstLine="28" w:firstLineChars="9"/>
        <w:rPr>
          <w:rFonts w:hint="eastAsia" w:ascii="仿宋" w:hAnsi="仿宋" w:eastAsia="仿宋" w:cs="仿宋"/>
          <w:kern w:val="0"/>
          <w:sz w:val="32"/>
          <w:szCs w:val="32"/>
        </w:rPr>
      </w:pPr>
      <w:r>
        <w:rPr>
          <w:rFonts w:hint="eastAsia" w:ascii="仿宋" w:hAnsi="仿宋" w:eastAsia="仿宋" w:cs="仿宋"/>
          <w:kern w:val="0"/>
          <w:sz w:val="32"/>
          <w:szCs w:val="32"/>
        </w:rPr>
        <w:t>法定代表人（负责人）身份证明书</w:t>
      </w:r>
    </w:p>
    <w:p w14:paraId="3317785B">
      <w:pPr>
        <w:widowControl/>
        <w:numPr>
          <w:ilvl w:val="0"/>
          <w:numId w:val="6"/>
        </w:numPr>
        <w:spacing w:before="176" w:beforeLines="30" w:after="176" w:afterLines="30" w:line="480" w:lineRule="exact"/>
        <w:ind w:firstLine="28" w:firstLineChars="9"/>
        <w:rPr>
          <w:rFonts w:hint="eastAsia" w:ascii="仿宋" w:hAnsi="仿宋" w:eastAsia="仿宋" w:cs="仿宋"/>
          <w:sz w:val="32"/>
          <w:szCs w:val="32"/>
        </w:rPr>
      </w:pPr>
      <w:r>
        <w:rPr>
          <w:rFonts w:hint="eastAsia" w:ascii="仿宋" w:hAnsi="仿宋" w:eastAsia="仿宋" w:cs="仿宋"/>
          <w:kern w:val="0"/>
          <w:sz w:val="32"/>
          <w:szCs w:val="32"/>
        </w:rPr>
        <w:t>授权委托书</w:t>
      </w:r>
      <w:bookmarkStart w:id="8" w:name="bookmark18"/>
      <w:bookmarkEnd w:id="8"/>
    </w:p>
    <w:p w14:paraId="2670FF18">
      <w:pPr>
        <w:widowControl/>
        <w:numPr>
          <w:ilvl w:val="0"/>
          <w:numId w:val="6"/>
        </w:numPr>
        <w:spacing w:before="176" w:beforeLines="30" w:after="176" w:afterLines="30" w:line="480" w:lineRule="exact"/>
        <w:ind w:firstLine="28" w:firstLineChars="9"/>
        <w:rPr>
          <w:rFonts w:hint="eastAsia" w:ascii="仿宋" w:hAnsi="仿宋" w:eastAsia="仿宋" w:cs="仿宋"/>
          <w:sz w:val="32"/>
          <w:szCs w:val="32"/>
        </w:rPr>
      </w:pPr>
      <w:r>
        <w:rPr>
          <w:rFonts w:hint="eastAsia" w:ascii="仿宋" w:hAnsi="仿宋" w:eastAsia="仿宋" w:cs="仿宋"/>
          <w:kern w:val="0"/>
          <w:sz w:val="32"/>
          <w:szCs w:val="32"/>
        </w:rPr>
        <w:t>债权人送达地址确认书</w:t>
      </w:r>
    </w:p>
    <w:p w14:paraId="55B4759E">
      <w:pPr>
        <w:widowControl/>
        <w:numPr>
          <w:ilvl w:val="0"/>
          <w:numId w:val="6"/>
        </w:numPr>
        <w:spacing w:before="176" w:beforeLines="30" w:after="176" w:afterLines="30" w:line="480" w:lineRule="exact"/>
        <w:ind w:firstLine="28" w:firstLineChars="9"/>
        <w:rPr>
          <w:rFonts w:hint="eastAsia" w:ascii="仿宋" w:hAnsi="仿宋" w:eastAsia="仿宋" w:cs="仿宋"/>
          <w:sz w:val="32"/>
          <w:szCs w:val="32"/>
        </w:rPr>
      </w:pPr>
      <w:r>
        <w:rPr>
          <w:rFonts w:hint="eastAsia" w:ascii="仿宋" w:hAnsi="仿宋" w:eastAsia="仿宋" w:cs="仿宋"/>
          <w:sz w:val="32"/>
          <w:szCs w:val="32"/>
        </w:rPr>
        <w:t>债权申报表</w:t>
      </w:r>
    </w:p>
    <w:p w14:paraId="08A1D9A8">
      <w:pPr>
        <w:widowControl/>
        <w:numPr>
          <w:ilvl w:val="0"/>
          <w:numId w:val="6"/>
        </w:numPr>
        <w:spacing w:before="176" w:beforeLines="30" w:after="176" w:afterLines="30" w:line="480" w:lineRule="exact"/>
        <w:ind w:firstLine="28" w:firstLineChars="9"/>
        <w:rPr>
          <w:rFonts w:hint="eastAsia" w:ascii="仿宋" w:hAnsi="仿宋" w:eastAsia="仿宋" w:cs="仿宋"/>
          <w:sz w:val="32"/>
          <w:szCs w:val="32"/>
        </w:rPr>
      </w:pPr>
      <w:r>
        <w:rPr>
          <w:rFonts w:hint="eastAsia" w:ascii="仿宋" w:hAnsi="仿宋" w:eastAsia="仿宋" w:cs="仿宋"/>
          <w:kern w:val="0"/>
          <w:sz w:val="32"/>
          <w:szCs w:val="32"/>
        </w:rPr>
        <w:t>债权人虚假申报债权法律风险告知书和诚信申报承诺书</w:t>
      </w:r>
    </w:p>
    <w:p w14:paraId="76D42263">
      <w:pPr>
        <w:widowControl/>
        <w:numPr>
          <w:ilvl w:val="0"/>
          <w:numId w:val="6"/>
        </w:numPr>
        <w:spacing w:before="176" w:beforeLines="30" w:after="176" w:afterLines="30" w:line="480" w:lineRule="exact"/>
        <w:ind w:firstLine="28" w:firstLineChars="9"/>
        <w:rPr>
          <w:rFonts w:hint="eastAsia" w:ascii="仿宋" w:hAnsi="仿宋" w:eastAsia="仿宋" w:cs="仿宋"/>
          <w:sz w:val="32"/>
          <w:szCs w:val="32"/>
        </w:rPr>
      </w:pPr>
      <w:r>
        <w:rPr>
          <w:rFonts w:hint="eastAsia" w:ascii="仿宋" w:hAnsi="仿宋" w:eastAsia="仿宋" w:cs="仿宋"/>
          <w:sz w:val="32"/>
          <w:szCs w:val="32"/>
        </w:rPr>
        <w:t>债权人关于诉讼费用的承诺函</w:t>
      </w:r>
    </w:p>
    <w:p w14:paraId="25B6A3C5">
      <w:pPr>
        <w:spacing w:before="176" w:beforeLines="30" w:after="176" w:afterLines="30" w:line="480" w:lineRule="exact"/>
        <w:rPr>
          <w:rFonts w:hint="eastAsia" w:ascii="仿宋" w:hAnsi="仿宋" w:eastAsia="仿宋" w:cs="仿宋"/>
          <w:sz w:val="32"/>
          <w:szCs w:val="32"/>
        </w:rPr>
      </w:pPr>
    </w:p>
    <w:sectPr>
      <w:footerReference r:id="rId3" w:type="default"/>
      <w:pgSz w:w="11906" w:h="16838"/>
      <w:pgMar w:top="2098" w:right="1474" w:bottom="1984" w:left="1587" w:header="851" w:footer="1400" w:gutter="0"/>
      <w:cols w:space="425" w:num="1"/>
      <w:docGrid w:type="linesAndChars" w:linePitch="57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docPartObj>
        <w:docPartGallery w:val="autotext"/>
      </w:docPartObj>
    </w:sdtPr>
    <w:sdtContent>
      <w:p w14:paraId="10802A62">
        <w:pPr>
          <w:pStyle w:val="6"/>
          <w:jc w:val="center"/>
        </w:pPr>
        <w:r>
          <w:fldChar w:fldCharType="begin"/>
        </w:r>
        <w:r>
          <w:instrText xml:space="preserve">PAGE   \* MERGEFORMAT</w:instrText>
        </w:r>
        <w:r>
          <w:fldChar w:fldCharType="separate"/>
        </w:r>
        <w:r>
          <w:rPr>
            <w:lang w:val="zh-CN"/>
          </w:rPr>
          <w:t>2</w:t>
        </w:r>
        <w:r>
          <w:fldChar w:fldCharType="end"/>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790F45"/>
    <w:multiLevelType w:val="singleLevel"/>
    <w:tmpl w:val="A7790F45"/>
    <w:lvl w:ilvl="0" w:tentative="0">
      <w:start w:val="1"/>
      <w:numFmt w:val="decimal"/>
      <w:suff w:val="nothing"/>
      <w:lvlText w:val="（%1）"/>
      <w:lvlJc w:val="left"/>
      <w:pPr>
        <w:ind w:left="0" w:firstLine="0"/>
      </w:pPr>
    </w:lvl>
  </w:abstractNum>
  <w:abstractNum w:abstractNumId="1">
    <w:nsid w:val="B2D9409A"/>
    <w:multiLevelType w:val="singleLevel"/>
    <w:tmpl w:val="B2D9409A"/>
    <w:lvl w:ilvl="0" w:tentative="0">
      <w:start w:val="1"/>
      <w:numFmt w:val="chineseCountingThousand"/>
      <w:lvlText w:val="%1、"/>
      <w:lvlJc w:val="left"/>
      <w:pPr>
        <w:ind w:left="820" w:hanging="420"/>
      </w:pPr>
    </w:lvl>
  </w:abstractNum>
  <w:abstractNum w:abstractNumId="2">
    <w:nsid w:val="B70C1563"/>
    <w:multiLevelType w:val="singleLevel"/>
    <w:tmpl w:val="B70C1563"/>
    <w:lvl w:ilvl="0" w:tentative="0">
      <w:start w:val="1"/>
      <w:numFmt w:val="decimal"/>
      <w:suff w:val="nothing"/>
      <w:lvlText w:val="%1."/>
      <w:lvlJc w:val="left"/>
      <w:pPr>
        <w:ind w:left="0" w:firstLine="40"/>
      </w:pPr>
    </w:lvl>
  </w:abstractNum>
  <w:abstractNum w:abstractNumId="3">
    <w:nsid w:val="E3D74A67"/>
    <w:multiLevelType w:val="singleLevel"/>
    <w:tmpl w:val="E3D74A67"/>
    <w:lvl w:ilvl="0" w:tentative="0">
      <w:start w:val="1"/>
      <w:numFmt w:val="chineseCounting"/>
      <w:suff w:val="nothing"/>
      <w:lvlText w:val="（%1）"/>
      <w:lvlJc w:val="left"/>
      <w:pPr>
        <w:ind w:left="0" w:firstLine="0"/>
      </w:pPr>
    </w:lvl>
  </w:abstractNum>
  <w:abstractNum w:abstractNumId="4">
    <w:nsid w:val="216D4E29"/>
    <w:multiLevelType w:val="singleLevel"/>
    <w:tmpl w:val="216D4E29"/>
    <w:lvl w:ilvl="0" w:tentative="0">
      <w:start w:val="1"/>
      <w:numFmt w:val="chineseCounting"/>
      <w:suff w:val="nothing"/>
      <w:lvlText w:val="%1、"/>
      <w:lvlJc w:val="left"/>
      <w:pPr>
        <w:ind w:left="0" w:firstLine="567"/>
      </w:pPr>
    </w:lvl>
  </w:abstractNum>
  <w:abstractNum w:abstractNumId="5">
    <w:nsid w:val="2C270A05"/>
    <w:multiLevelType w:val="singleLevel"/>
    <w:tmpl w:val="2C270A05"/>
    <w:lvl w:ilvl="0" w:tentative="0">
      <w:start w:val="1"/>
      <w:numFmt w:val="decimal"/>
      <w:suff w:val="nothing"/>
      <w:lvlText w:val="%1."/>
      <w:lvlJc w:val="left"/>
      <w:pPr>
        <w:ind w:left="0" w:firstLine="40"/>
      </w:pPr>
    </w:lvl>
  </w:abstractNum>
  <w:num w:numId="1">
    <w:abstractNumId w:val="4"/>
    <w:lvlOverride w:ilvl="0">
      <w:startOverride w:val="1"/>
    </w:lvlOverride>
  </w:num>
  <w:num w:numId="2">
    <w:abstractNumId w:val="3"/>
    <w:lvlOverride w:ilvl="0">
      <w:startOverride w:val="1"/>
    </w:lvlOverride>
  </w:num>
  <w:num w:numId="3">
    <w:abstractNumId w:val="2"/>
    <w:lvlOverride w:ilvl="0">
      <w:startOverride w:val="1"/>
    </w:lvlOverride>
  </w:num>
  <w:num w:numId="4">
    <w:abstractNumId w:val="0"/>
    <w:lvlOverride w:ilvl="0">
      <w:startOverride w:val="1"/>
    </w:lvlOverride>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1"/>
  <w:bordersDoNotSurroundFooter w:val="1"/>
  <w:trackRevisions w:val="1"/>
  <w:documentProtection w:enforcement="0"/>
  <w:defaultTabStop w:val="420"/>
  <w:drawingGridHorizontalSpacing w:val="158"/>
  <w:drawingGridVerticalSpacing w:val="579"/>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metasota_documentID" w:val="8311262544819331072"/>
  </w:docVars>
  <w:rsids>
    <w:rsidRoot w:val="00E96C33"/>
    <w:rsid w:val="000225DB"/>
    <w:rsid w:val="00041828"/>
    <w:rsid w:val="00045439"/>
    <w:rsid w:val="00065682"/>
    <w:rsid w:val="00066027"/>
    <w:rsid w:val="00072705"/>
    <w:rsid w:val="000770ED"/>
    <w:rsid w:val="0007721D"/>
    <w:rsid w:val="000946A0"/>
    <w:rsid w:val="000B0F3F"/>
    <w:rsid w:val="000B2387"/>
    <w:rsid w:val="000B3DD7"/>
    <w:rsid w:val="000B40F3"/>
    <w:rsid w:val="000E21E6"/>
    <w:rsid w:val="000E636D"/>
    <w:rsid w:val="000F0AEE"/>
    <w:rsid w:val="00116B2D"/>
    <w:rsid w:val="00133346"/>
    <w:rsid w:val="001448D1"/>
    <w:rsid w:val="00144FFB"/>
    <w:rsid w:val="001507AC"/>
    <w:rsid w:val="00154E69"/>
    <w:rsid w:val="00155BB9"/>
    <w:rsid w:val="00156E0D"/>
    <w:rsid w:val="001571E6"/>
    <w:rsid w:val="00165C08"/>
    <w:rsid w:val="00175292"/>
    <w:rsid w:val="0018214F"/>
    <w:rsid w:val="001A2F0E"/>
    <w:rsid w:val="001B6021"/>
    <w:rsid w:val="001C286E"/>
    <w:rsid w:val="001C62AB"/>
    <w:rsid w:val="001D6831"/>
    <w:rsid w:val="002056AB"/>
    <w:rsid w:val="0021007B"/>
    <w:rsid w:val="00214B22"/>
    <w:rsid w:val="00214CE1"/>
    <w:rsid w:val="0022321F"/>
    <w:rsid w:val="002244A2"/>
    <w:rsid w:val="0023491A"/>
    <w:rsid w:val="00240704"/>
    <w:rsid w:val="002512A7"/>
    <w:rsid w:val="002572F3"/>
    <w:rsid w:val="002576EA"/>
    <w:rsid w:val="0027541D"/>
    <w:rsid w:val="00281823"/>
    <w:rsid w:val="002B0D30"/>
    <w:rsid w:val="002B489B"/>
    <w:rsid w:val="002E353F"/>
    <w:rsid w:val="002F16BD"/>
    <w:rsid w:val="0030331E"/>
    <w:rsid w:val="003059CB"/>
    <w:rsid w:val="003060A0"/>
    <w:rsid w:val="003073BF"/>
    <w:rsid w:val="00323594"/>
    <w:rsid w:val="00326F53"/>
    <w:rsid w:val="00337DE9"/>
    <w:rsid w:val="00377970"/>
    <w:rsid w:val="00385FDF"/>
    <w:rsid w:val="00390528"/>
    <w:rsid w:val="0039333A"/>
    <w:rsid w:val="003A0F39"/>
    <w:rsid w:val="003A4C57"/>
    <w:rsid w:val="003A50FC"/>
    <w:rsid w:val="003B43EF"/>
    <w:rsid w:val="003B7951"/>
    <w:rsid w:val="003C0FE7"/>
    <w:rsid w:val="003D1464"/>
    <w:rsid w:val="003D32D9"/>
    <w:rsid w:val="003F57FE"/>
    <w:rsid w:val="00407C59"/>
    <w:rsid w:val="00417C86"/>
    <w:rsid w:val="00420510"/>
    <w:rsid w:val="0042594A"/>
    <w:rsid w:val="004422EB"/>
    <w:rsid w:val="00453639"/>
    <w:rsid w:val="004617BF"/>
    <w:rsid w:val="00464E11"/>
    <w:rsid w:val="00481669"/>
    <w:rsid w:val="004855DC"/>
    <w:rsid w:val="00490F5D"/>
    <w:rsid w:val="004A1315"/>
    <w:rsid w:val="004D4207"/>
    <w:rsid w:val="004E70AD"/>
    <w:rsid w:val="004F4532"/>
    <w:rsid w:val="004F6DDE"/>
    <w:rsid w:val="005274DB"/>
    <w:rsid w:val="00531934"/>
    <w:rsid w:val="0053617E"/>
    <w:rsid w:val="00561D08"/>
    <w:rsid w:val="005650E9"/>
    <w:rsid w:val="00567B9E"/>
    <w:rsid w:val="00571454"/>
    <w:rsid w:val="005763EF"/>
    <w:rsid w:val="00582AC0"/>
    <w:rsid w:val="005836BD"/>
    <w:rsid w:val="00597C26"/>
    <w:rsid w:val="005A2BA7"/>
    <w:rsid w:val="005B4AE0"/>
    <w:rsid w:val="005C4FA8"/>
    <w:rsid w:val="005E4A26"/>
    <w:rsid w:val="00606D8C"/>
    <w:rsid w:val="00616554"/>
    <w:rsid w:val="006203C3"/>
    <w:rsid w:val="006257B6"/>
    <w:rsid w:val="00626505"/>
    <w:rsid w:val="00646E10"/>
    <w:rsid w:val="0064766F"/>
    <w:rsid w:val="00655A10"/>
    <w:rsid w:val="0067018A"/>
    <w:rsid w:val="006841A6"/>
    <w:rsid w:val="0069616A"/>
    <w:rsid w:val="006A336D"/>
    <w:rsid w:val="006B746A"/>
    <w:rsid w:val="006B7A03"/>
    <w:rsid w:val="006C1731"/>
    <w:rsid w:val="006C70D3"/>
    <w:rsid w:val="006E687A"/>
    <w:rsid w:val="006F30A3"/>
    <w:rsid w:val="007032C2"/>
    <w:rsid w:val="007267D6"/>
    <w:rsid w:val="00730091"/>
    <w:rsid w:val="00730BF1"/>
    <w:rsid w:val="00740400"/>
    <w:rsid w:val="007421ED"/>
    <w:rsid w:val="00747181"/>
    <w:rsid w:val="0075064D"/>
    <w:rsid w:val="00750AC3"/>
    <w:rsid w:val="00762376"/>
    <w:rsid w:val="00773F7A"/>
    <w:rsid w:val="007805B5"/>
    <w:rsid w:val="00785A3F"/>
    <w:rsid w:val="007A28AE"/>
    <w:rsid w:val="007A2C72"/>
    <w:rsid w:val="007B3D58"/>
    <w:rsid w:val="007C30D6"/>
    <w:rsid w:val="007C48B5"/>
    <w:rsid w:val="007E4422"/>
    <w:rsid w:val="007E5866"/>
    <w:rsid w:val="007F6061"/>
    <w:rsid w:val="00805F2A"/>
    <w:rsid w:val="00810EAA"/>
    <w:rsid w:val="00811432"/>
    <w:rsid w:val="00827CD1"/>
    <w:rsid w:val="00835CB0"/>
    <w:rsid w:val="0083650D"/>
    <w:rsid w:val="00852D91"/>
    <w:rsid w:val="00861899"/>
    <w:rsid w:val="008810C1"/>
    <w:rsid w:val="00883CA5"/>
    <w:rsid w:val="00886E5F"/>
    <w:rsid w:val="008A2912"/>
    <w:rsid w:val="008B5906"/>
    <w:rsid w:val="008D17FE"/>
    <w:rsid w:val="008D5BF2"/>
    <w:rsid w:val="008E5D07"/>
    <w:rsid w:val="008F3276"/>
    <w:rsid w:val="008F4000"/>
    <w:rsid w:val="008F6C50"/>
    <w:rsid w:val="0090561F"/>
    <w:rsid w:val="009443AC"/>
    <w:rsid w:val="00954592"/>
    <w:rsid w:val="009747DF"/>
    <w:rsid w:val="00990B66"/>
    <w:rsid w:val="009A1C8C"/>
    <w:rsid w:val="009B21C9"/>
    <w:rsid w:val="009D5091"/>
    <w:rsid w:val="00A021EA"/>
    <w:rsid w:val="00A0494C"/>
    <w:rsid w:val="00A10993"/>
    <w:rsid w:val="00A257C5"/>
    <w:rsid w:val="00A27D65"/>
    <w:rsid w:val="00A30A0F"/>
    <w:rsid w:val="00A3114F"/>
    <w:rsid w:val="00A4111A"/>
    <w:rsid w:val="00A45EE5"/>
    <w:rsid w:val="00A56518"/>
    <w:rsid w:val="00A607BC"/>
    <w:rsid w:val="00A63042"/>
    <w:rsid w:val="00A70D22"/>
    <w:rsid w:val="00A74701"/>
    <w:rsid w:val="00A806F0"/>
    <w:rsid w:val="00A856E4"/>
    <w:rsid w:val="00A87A8F"/>
    <w:rsid w:val="00AA111D"/>
    <w:rsid w:val="00AB4D2C"/>
    <w:rsid w:val="00AB5D21"/>
    <w:rsid w:val="00AB5D47"/>
    <w:rsid w:val="00AC2B10"/>
    <w:rsid w:val="00AE4886"/>
    <w:rsid w:val="00AF5A8C"/>
    <w:rsid w:val="00AF5B51"/>
    <w:rsid w:val="00AF63F2"/>
    <w:rsid w:val="00B0138D"/>
    <w:rsid w:val="00B04687"/>
    <w:rsid w:val="00B304D9"/>
    <w:rsid w:val="00B30B4C"/>
    <w:rsid w:val="00B35BF2"/>
    <w:rsid w:val="00B44670"/>
    <w:rsid w:val="00B629D5"/>
    <w:rsid w:val="00B70ED6"/>
    <w:rsid w:val="00B84C91"/>
    <w:rsid w:val="00B946A8"/>
    <w:rsid w:val="00B95481"/>
    <w:rsid w:val="00BA4CD6"/>
    <w:rsid w:val="00BA56F8"/>
    <w:rsid w:val="00BB2B6D"/>
    <w:rsid w:val="00BC0629"/>
    <w:rsid w:val="00BC18AC"/>
    <w:rsid w:val="00BD7824"/>
    <w:rsid w:val="00BE6824"/>
    <w:rsid w:val="00BF656E"/>
    <w:rsid w:val="00BF7F9C"/>
    <w:rsid w:val="00C2454F"/>
    <w:rsid w:val="00C30591"/>
    <w:rsid w:val="00C34176"/>
    <w:rsid w:val="00C51C7C"/>
    <w:rsid w:val="00C7288A"/>
    <w:rsid w:val="00C8027A"/>
    <w:rsid w:val="00C858B6"/>
    <w:rsid w:val="00C865D1"/>
    <w:rsid w:val="00C9200E"/>
    <w:rsid w:val="00CA6D02"/>
    <w:rsid w:val="00CB56F2"/>
    <w:rsid w:val="00CC2B5E"/>
    <w:rsid w:val="00CD0B11"/>
    <w:rsid w:val="00CD64B6"/>
    <w:rsid w:val="00D4029E"/>
    <w:rsid w:val="00D5463E"/>
    <w:rsid w:val="00D63AC3"/>
    <w:rsid w:val="00D64F23"/>
    <w:rsid w:val="00D65239"/>
    <w:rsid w:val="00D70E85"/>
    <w:rsid w:val="00D8049E"/>
    <w:rsid w:val="00D82A30"/>
    <w:rsid w:val="00DA76DF"/>
    <w:rsid w:val="00DB11A5"/>
    <w:rsid w:val="00DC61AE"/>
    <w:rsid w:val="00DD0266"/>
    <w:rsid w:val="00DD3AE3"/>
    <w:rsid w:val="00DE7109"/>
    <w:rsid w:val="00DF2537"/>
    <w:rsid w:val="00DF511D"/>
    <w:rsid w:val="00DF6EE0"/>
    <w:rsid w:val="00E06C6F"/>
    <w:rsid w:val="00E06EEB"/>
    <w:rsid w:val="00E37C7C"/>
    <w:rsid w:val="00E405B2"/>
    <w:rsid w:val="00E53863"/>
    <w:rsid w:val="00E55EDF"/>
    <w:rsid w:val="00E672A9"/>
    <w:rsid w:val="00E80DB5"/>
    <w:rsid w:val="00E81AB6"/>
    <w:rsid w:val="00E822DE"/>
    <w:rsid w:val="00E910C7"/>
    <w:rsid w:val="00E91122"/>
    <w:rsid w:val="00E96C33"/>
    <w:rsid w:val="00EA6ABA"/>
    <w:rsid w:val="00ED2D93"/>
    <w:rsid w:val="00EE3DC1"/>
    <w:rsid w:val="00EE6102"/>
    <w:rsid w:val="00EF27E3"/>
    <w:rsid w:val="00F00095"/>
    <w:rsid w:val="00F02FAB"/>
    <w:rsid w:val="00F038BF"/>
    <w:rsid w:val="00F12DEA"/>
    <w:rsid w:val="00F30152"/>
    <w:rsid w:val="00F31D97"/>
    <w:rsid w:val="00F35C54"/>
    <w:rsid w:val="00F561AF"/>
    <w:rsid w:val="00F603D6"/>
    <w:rsid w:val="00F752DE"/>
    <w:rsid w:val="00F85432"/>
    <w:rsid w:val="00F92E75"/>
    <w:rsid w:val="00FA051F"/>
    <w:rsid w:val="00FA5C98"/>
    <w:rsid w:val="00FB7DFF"/>
    <w:rsid w:val="00FC0914"/>
    <w:rsid w:val="00FC2028"/>
    <w:rsid w:val="00FC65B6"/>
    <w:rsid w:val="00FC68F7"/>
    <w:rsid w:val="00FD78C9"/>
    <w:rsid w:val="00FE4B16"/>
    <w:rsid w:val="023959EE"/>
    <w:rsid w:val="038720C2"/>
    <w:rsid w:val="06DF5D71"/>
    <w:rsid w:val="0A5D3B7D"/>
    <w:rsid w:val="0D774F56"/>
    <w:rsid w:val="0EDB0027"/>
    <w:rsid w:val="0FD03282"/>
    <w:rsid w:val="0FE565AD"/>
    <w:rsid w:val="12FC5EFD"/>
    <w:rsid w:val="13A46379"/>
    <w:rsid w:val="13AE5449"/>
    <w:rsid w:val="15F15AC1"/>
    <w:rsid w:val="17EA0A1A"/>
    <w:rsid w:val="180E295A"/>
    <w:rsid w:val="1A7917D6"/>
    <w:rsid w:val="1BC17CE4"/>
    <w:rsid w:val="1EAF13E7"/>
    <w:rsid w:val="21CA7CFF"/>
    <w:rsid w:val="22433200"/>
    <w:rsid w:val="29FF0355"/>
    <w:rsid w:val="2BCE7FDF"/>
    <w:rsid w:val="2E045F3A"/>
    <w:rsid w:val="32E7407C"/>
    <w:rsid w:val="32EC51EE"/>
    <w:rsid w:val="337A6C9E"/>
    <w:rsid w:val="33CD3272"/>
    <w:rsid w:val="34601B4D"/>
    <w:rsid w:val="36714388"/>
    <w:rsid w:val="36D9180C"/>
    <w:rsid w:val="39D6583A"/>
    <w:rsid w:val="3A322081"/>
    <w:rsid w:val="3F7E3672"/>
    <w:rsid w:val="41B80C5C"/>
    <w:rsid w:val="432664FB"/>
    <w:rsid w:val="439873F8"/>
    <w:rsid w:val="485A1B01"/>
    <w:rsid w:val="48C447EC"/>
    <w:rsid w:val="48EA3B26"/>
    <w:rsid w:val="490635AB"/>
    <w:rsid w:val="49D22F38"/>
    <w:rsid w:val="5100482F"/>
    <w:rsid w:val="511E6A63"/>
    <w:rsid w:val="52350508"/>
    <w:rsid w:val="525C3CE7"/>
    <w:rsid w:val="534112A6"/>
    <w:rsid w:val="54AD7333"/>
    <w:rsid w:val="59796F2C"/>
    <w:rsid w:val="5A640094"/>
    <w:rsid w:val="5A6E45B7"/>
    <w:rsid w:val="5B555777"/>
    <w:rsid w:val="5BBB7CD0"/>
    <w:rsid w:val="5CF70B75"/>
    <w:rsid w:val="5D96269B"/>
    <w:rsid w:val="5FD56E87"/>
    <w:rsid w:val="616109D2"/>
    <w:rsid w:val="636C7B02"/>
    <w:rsid w:val="65091AAC"/>
    <w:rsid w:val="682E182A"/>
    <w:rsid w:val="6B0B7C00"/>
    <w:rsid w:val="6EAE7221"/>
    <w:rsid w:val="6F5002D8"/>
    <w:rsid w:val="6FAC7C04"/>
    <w:rsid w:val="708B7819"/>
    <w:rsid w:val="708D766C"/>
    <w:rsid w:val="70CD7E32"/>
    <w:rsid w:val="71FE6305"/>
    <w:rsid w:val="738B18DE"/>
    <w:rsid w:val="76E46124"/>
    <w:rsid w:val="7A08012D"/>
    <w:rsid w:val="7D0C1CE2"/>
    <w:rsid w:val="7D7F0706"/>
    <w:rsid w:val="7E59149E"/>
    <w:rsid w:val="7EF6482C"/>
    <w:rsid w:val="7F7B17C0"/>
    <w:rsid w:val="7FAF7ABA"/>
    <w:rsid w:val="977F798B"/>
    <w:rsid w:val="E3D72C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32"/>
      <w:szCs w:val="22"/>
      <w:lang w:val="en-US" w:eastAsia="zh-CN" w:bidi="ar-SA"/>
    </w:rPr>
  </w:style>
  <w:style w:type="paragraph" w:styleId="2">
    <w:name w:val="heading 1"/>
    <w:basedOn w:val="1"/>
    <w:next w:val="1"/>
    <w:link w:val="10"/>
    <w:qFormat/>
    <w:uiPriority w:val="9"/>
    <w:pPr>
      <w:keepNext/>
      <w:keepLines/>
      <w:spacing w:before="340" w:after="330" w:line="578" w:lineRule="auto"/>
      <w:outlineLvl w:val="0"/>
    </w:pPr>
    <w:rPr>
      <w:b/>
      <w:bCs/>
      <w:kern w:val="44"/>
      <w:sz w:val="44"/>
      <w:szCs w:val="44"/>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semiHidden/>
    <w:qFormat/>
    <w:uiPriority w:val="0"/>
    <w:rPr>
      <w:rFonts w:ascii="仿宋" w:hAnsi="仿宋" w:eastAsia="仿宋" w:cs="仿宋"/>
      <w:sz w:val="24"/>
      <w:szCs w:val="24"/>
      <w:lang w:val="en-US" w:eastAsia="en-US" w:bidi="ar-SA"/>
    </w:rPr>
  </w:style>
  <w:style w:type="paragraph" w:styleId="4">
    <w:name w:val="Date"/>
    <w:basedOn w:val="1"/>
    <w:next w:val="1"/>
    <w:link w:val="11"/>
    <w:semiHidden/>
    <w:unhideWhenUsed/>
    <w:qFormat/>
    <w:uiPriority w:val="99"/>
    <w:pPr>
      <w:ind w:left="100" w:leftChars="2500"/>
    </w:pPr>
  </w:style>
  <w:style w:type="paragraph" w:styleId="5">
    <w:name w:val="Balloon Text"/>
    <w:basedOn w:val="1"/>
    <w:link w:val="16"/>
    <w:semiHidden/>
    <w:unhideWhenUsed/>
    <w:qFormat/>
    <w:uiPriority w:val="99"/>
    <w:rPr>
      <w:sz w:val="18"/>
      <w:szCs w:val="18"/>
    </w:rPr>
  </w:style>
  <w:style w:type="paragraph" w:styleId="6">
    <w:name w:val="footer"/>
    <w:basedOn w:val="1"/>
    <w:link w:val="13"/>
    <w:unhideWhenUsed/>
    <w:qFormat/>
    <w:uiPriority w:val="99"/>
    <w:pPr>
      <w:tabs>
        <w:tab w:val="center" w:pos="4153"/>
        <w:tab w:val="right" w:pos="8306"/>
      </w:tabs>
      <w:snapToGrid w:val="0"/>
      <w:jc w:val="left"/>
    </w:pPr>
    <w:rPr>
      <w:sz w:val="18"/>
      <w:szCs w:val="18"/>
    </w:rPr>
  </w:style>
  <w:style w:type="paragraph" w:styleId="7">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10">
    <w:name w:val="标题 1 字符"/>
    <w:basedOn w:val="9"/>
    <w:link w:val="2"/>
    <w:qFormat/>
    <w:uiPriority w:val="9"/>
    <w:rPr>
      <w:b/>
      <w:bCs/>
      <w:kern w:val="44"/>
      <w:sz w:val="44"/>
      <w:szCs w:val="44"/>
    </w:rPr>
  </w:style>
  <w:style w:type="character" w:customStyle="1" w:styleId="11">
    <w:name w:val="日期 字符"/>
    <w:basedOn w:val="9"/>
    <w:link w:val="4"/>
    <w:semiHidden/>
    <w:qFormat/>
    <w:uiPriority w:val="99"/>
    <w:rPr>
      <w:sz w:val="32"/>
    </w:rPr>
  </w:style>
  <w:style w:type="character" w:customStyle="1" w:styleId="12">
    <w:name w:val="页眉 字符"/>
    <w:basedOn w:val="9"/>
    <w:link w:val="7"/>
    <w:qFormat/>
    <w:uiPriority w:val="99"/>
    <w:rPr>
      <w:sz w:val="18"/>
      <w:szCs w:val="18"/>
    </w:rPr>
  </w:style>
  <w:style w:type="character" w:customStyle="1" w:styleId="13">
    <w:name w:val="页脚 字符"/>
    <w:basedOn w:val="9"/>
    <w:link w:val="6"/>
    <w:qFormat/>
    <w:uiPriority w:val="99"/>
    <w:rPr>
      <w:sz w:val="18"/>
      <w:szCs w:val="18"/>
    </w:rPr>
  </w:style>
  <w:style w:type="paragraph" w:customStyle="1" w:styleId="14">
    <w:name w:val="Revision"/>
    <w:hidden/>
    <w:semiHidden/>
    <w:qFormat/>
    <w:uiPriority w:val="99"/>
    <w:rPr>
      <w:rFonts w:asciiTheme="minorHAnsi" w:hAnsiTheme="minorHAnsi" w:eastAsiaTheme="minorEastAsia" w:cstheme="minorBidi"/>
      <w:kern w:val="2"/>
      <w:sz w:val="32"/>
      <w:szCs w:val="22"/>
      <w:lang w:val="en-US" w:eastAsia="zh-CN" w:bidi="ar-SA"/>
    </w:rPr>
  </w:style>
  <w:style w:type="paragraph" w:styleId="15">
    <w:name w:val="List Paragraph"/>
    <w:basedOn w:val="1"/>
    <w:qFormat/>
    <w:uiPriority w:val="34"/>
    <w:pPr>
      <w:ind w:firstLine="420" w:firstLineChars="200"/>
    </w:pPr>
  </w:style>
  <w:style w:type="character" w:customStyle="1" w:styleId="16">
    <w:name w:val="批注框文本 字符"/>
    <w:basedOn w:val="9"/>
    <w:link w:val="5"/>
    <w:semiHidden/>
    <w:qFormat/>
    <w:uiPriority w:val="99"/>
    <w:rPr>
      <w:sz w:val="18"/>
      <w:szCs w:val="18"/>
    </w:rPr>
  </w:style>
  <w:style w:type="paragraph" w:customStyle="1" w:styleId="17">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ntractReview xmlns="http://schemas.wps.cn/vas-ai-hub/contract-review">
  <reviewItems>
    <reviewItem>
      <errorID>49e153a0-ce99-4063-969f-b71699d71092</errorID>
      <errorWord>予以</errorWord>
      <group>L1_Word</group>
      <groupName>字词问题</groupName>
      <ability>L2_Typo</ability>
      <abilityName>字词错误</abilityName>
      <candidateList>
        <item>予</item>
      </candidateList>
      <explain/>
      <paraID>  FD36B2</paraID>
      <start>118</start>
      <end>120</end>
      <status>unmodified</status>
      <modifiedWord/>
      <trackRevisions>false</trackRevisions>
    </reviewItem>
    <reviewItem>
      <errorID>d7bcd863-3c53-4833-bb43-b8144c73e998</errorID>
      <errorWord>《中华人民共和国企业破产法》（以下简称“《企业破产法》”）</errorWord>
      <group>L1_Knowledge</group>
      <groupName>知识性问题</groupName>
      <ability>L2_Knowledge</ability>
      <abilityName>其他知识</abilityName>
      <candidateList>
        <item>《中华人民共和国企业破产法》（以下简称“企业破产法”）</item>
      </candidateList>
      <explain>疑似政策文件、法律法规名称等书写不规范，请注意检查。</explain>
      <paraID>52238729</paraID>
      <start>30</start>
      <end>59</end>
      <status>unmodified</status>
      <modifiedWord/>
      <trackRevisions>false</trackRevisions>
    </reviewItem>
    <reviewItem>
      <errorID>2d66964b-a173-40dc-ae30-7e1031f68993</errorID>
      <errorWord>企业破产法</errorWord>
      <group>L1_Knowledge</group>
      <groupName>知识性问题</groupName>
      <ability>L2_Knowledge</ability>
      <abilityName>其他知识</abilityName>
      <candidateList>
        <item>中华人民共和国企业破产法</item>
      </candidateList>
      <explain>当前法律法规名称使用简称，请注意是否应当使用全称。</explain>
      <paraID>52238729</paraID>
      <start>119</start>
      <end>124</end>
      <status>unmodified</status>
      <modifiedWord/>
      <trackRevisions>false</trackRevisions>
    </reviewItem>
  </reviewItems>
  <config/>
</contractReview>
</file>

<file path=customXml/item2.xml><?xml version="1.0" encoding="utf-8"?>
<b:Sources xmlns="http://schemas.openxmlformats.org/officeDocument/2006/bibliography" xmlns:b="http://schemas.openxmlformats.org/officeDocument/2006/bibliography" StyleName="APA" Version="6" SelectedStyle="\APASixthEditionOfficeOnline.xsl"/>
</file>

<file path=customXml/itemProps1.xml><?xml version="1.0" encoding="utf-8"?>
<ds:datastoreItem xmlns:ds="http://schemas.openxmlformats.org/officeDocument/2006/customXml" ds:itemID="{200ce76b-4ac6-46cf-97b4-44ed7786f265}">
  <ds:schemaRefs/>
</ds:datastoreItem>
</file>

<file path=customXml/itemProps2.xml><?xml version="1.0" encoding="utf-8"?>
<ds:datastoreItem xmlns:ds="http://schemas.openxmlformats.org/officeDocument/2006/customXml" ds:itemID="{1BF5CFF9-0F0A-4AA5-9622-BE096C69F0F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3702</Words>
  <Characters>3780</Characters>
  <Lines>30</Lines>
  <Paragraphs>8</Paragraphs>
  <TotalTime>7</TotalTime>
  <ScaleCrop>false</ScaleCrop>
  <LinksUpToDate>false</LinksUpToDate>
  <CharactersWithSpaces>3780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2023-02-09T18:54:00Z</dcterms:created>
  <dc:creator>tiantong2</dc:creator>
  <cp:lastModifiedBy>pandd</cp:lastModifiedBy>
  <cp:lastPrinted>2023-02-08T17:40:00Z</cp:lastPrinted>
  <dcterms:modified xsi:type="dcterms:W3CDTF">2026-02-13T13:15:00Z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b5db7809c574077578a23acc0a33e0317158dca9d42c7df39f5c41e6db1f50dd</vt:lpwstr>
  </property>
  <property fmtid="{D5CDD505-2E9C-101B-9397-08002B2CF9AE}" pid="3" name="KSOProductBuildVer">
    <vt:lpwstr>2052-12.1.0.25225</vt:lpwstr>
  </property>
  <property fmtid="{D5CDD505-2E9C-101B-9397-08002B2CF9AE}" pid="4" name="ICV">
    <vt:lpwstr>CED07F2F461C41809C4FC152C516BC36_13</vt:lpwstr>
  </property>
  <property fmtid="{D5CDD505-2E9C-101B-9397-08002B2CF9AE}" pid="5" name="KSOTemplateDocerSaveRecord">
    <vt:lpwstr>eyJoZGlkIjoiY2ZmOWQ1ZjJlZWRlMGRmNDNhY2VlMWY3ZTM3ZmRlZTMiLCJ1c2VySWQiOiIzMjc5MTYwNjUifQ==</vt:lpwstr>
  </property>
</Properties>
</file>